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1485265</wp:posOffset>
            </wp:positionH>
            <wp:positionV relativeFrom="page">
              <wp:posOffset>740410</wp:posOffset>
            </wp:positionV>
            <wp:extent cx="45859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page">
              <wp:posOffset>1485265</wp:posOffset>
            </wp:positionH>
            <wp:positionV relativeFrom="page">
              <wp:posOffset>766445</wp:posOffset>
            </wp:positionV>
            <wp:extent cx="4585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8597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81915</wp:posOffset>
            </wp:positionV>
            <wp:extent cx="497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quarterly period ended September 30, 2023</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2"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 to 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253365</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77470</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9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98-1550750</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800" w:type="dxa"/>
            <w:vAlign w:val="bottom"/>
            <w:gridSpan w:val="7"/>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4440" w:type="dxa"/>
            <w:vAlign w:val="bottom"/>
          </w:tcPr>
          <w:p>
            <w:pPr>
              <w:spacing w:after="0"/>
              <w:rPr>
                <w:sz w:val="18"/>
                <w:szCs w:val="18"/>
                <w:color w:val="auto"/>
              </w:rPr>
            </w:pPr>
          </w:p>
        </w:tc>
      </w:tr>
      <w:tr>
        <w:trPr>
          <w:trHeight w:val="259"/>
        </w:trPr>
        <w:tc>
          <w:tcPr>
            <w:tcW w:w="3940" w:type="dxa"/>
            <w:vAlign w:val="bottom"/>
          </w:tcPr>
          <w:p>
            <w:pPr>
              <w:jc w:val="center"/>
              <w:ind w:left="1600"/>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40" w:type="dxa"/>
            <w:vAlign w:val="bottom"/>
          </w:tcPr>
          <w:p>
            <w:pPr>
              <w:jc w:val="right"/>
              <w:ind w:right="2506"/>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66"/>
        </w:trPr>
        <w:tc>
          <w:tcPr>
            <w:tcW w:w="3940" w:type="dxa"/>
            <w:vAlign w:val="bottom"/>
          </w:tcPr>
          <w:p>
            <w:pPr>
              <w:jc w:val="center"/>
              <w:ind w:left="16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tcPr>
          <w:p>
            <w:pPr>
              <w:jc w:val="center"/>
              <w:ind w:right="11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00"/>
        </w:trPr>
        <w:tc>
          <w:tcPr>
            <w:tcW w:w="11240" w:type="dxa"/>
            <w:vAlign w:val="bottom"/>
            <w:gridSpan w:val="8"/>
          </w:tcPr>
          <w:p>
            <w:pPr>
              <w:ind w:left="278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(678) 534-5849</w:t>
            </w:r>
          </w:p>
        </w:tc>
      </w:tr>
      <w:tr>
        <w:trPr>
          <w:trHeight w:val="102"/>
        </w:trPr>
        <w:tc>
          <w:tcPr>
            <w:tcW w:w="3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0" w:type="dxa"/>
            <w:vAlign w:val="bottom"/>
            <w:gridSpan w:val="2"/>
          </w:tcPr>
          <w:p>
            <w:pPr>
              <w:spacing w:after="0"/>
              <w:rPr>
                <w:sz w:val="8"/>
                <w:szCs w:val="8"/>
                <w:color w:val="auto"/>
              </w:rPr>
            </w:pPr>
          </w:p>
        </w:tc>
      </w:tr>
      <w:tr>
        <w:trPr>
          <w:trHeight w:val="338"/>
        </w:trPr>
        <w:tc>
          <w:tcPr>
            <w:tcW w:w="3940" w:type="dxa"/>
            <w:vAlign w:val="bottom"/>
          </w:tcPr>
          <w:p>
            <w:pPr>
              <w:spacing w:after="0"/>
              <w:rPr>
                <w:sz w:val="24"/>
                <w:szCs w:val="24"/>
                <w:color w:val="auto"/>
              </w:rPr>
            </w:pPr>
          </w:p>
        </w:tc>
        <w:tc>
          <w:tcPr>
            <w:tcW w:w="730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428"/>
        </w:trPr>
        <w:tc>
          <w:tcPr>
            <w:tcW w:w="39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4"/>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jc w:val="both"/>
        <w:ind w:firstLine="518"/>
        <w:spacing w:after="0" w:line="21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9"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18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00" w:firstLine="518"/>
        <w:spacing w:after="0" w:line="22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0" w:lineRule="exact"/>
        <w:rPr>
          <w:sz w:val="24"/>
          <w:szCs w:val="24"/>
          <w:color w:val="auto"/>
        </w:rPr>
      </w:pPr>
    </w:p>
    <w:p>
      <w:pPr>
        <w:ind w:right="60" w:firstLine="518"/>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280" w:firstLine="518"/>
        <w:spacing w:after="0" w:line="245" w:lineRule="auto"/>
        <w:rPr>
          <w:sz w:val="20"/>
          <w:szCs w:val="20"/>
          <w:color w:val="auto"/>
        </w:rPr>
      </w:pPr>
      <w:r>
        <w:rPr>
          <w:rFonts w:ascii="Times New Roman" w:cs="Times New Roman" w:eastAsia="Times New Roman" w:hAnsi="Times New Roman"/>
          <w:sz w:val="16"/>
          <w:szCs w:val="16"/>
          <w:color w:val="auto"/>
        </w:rPr>
        <w:t>As of November 10, 2023, there were 91,429,477 shares of the registrant’s Class A common stock, 183,234,872 shares of Class V common stock, and 7,140,808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53340</wp:posOffset>
            </wp:positionV>
            <wp:extent cx="466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78740</wp:posOffset>
            </wp:positionV>
            <wp:extent cx="4663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80" w:firstLine="440"/>
        <w:spacing w:after="0" w:line="242" w:lineRule="auto"/>
        <w:rPr>
          <w:sz w:val="20"/>
          <w:szCs w:val="20"/>
          <w:color w:val="auto"/>
        </w:rPr>
      </w:pPr>
      <w:r>
        <w:rPr>
          <w:rFonts w:ascii="Times New Roman" w:cs="Times New Roman" w:eastAsia="Times New Roman" w:hAnsi="Times New Roman"/>
          <w:sz w:val="18"/>
          <w:szCs w:val="18"/>
          <w:color w:val="auto"/>
        </w:rPr>
        <w:t>Bakkt Holdings, Inc. (Bakkt,” “we,” “us,” “our,” or the “Company”) is filing this Amendment No. 2 to its Quarterly Report on Form 10-Q/A for the quarterly period ended September 30, 2023 (this “Amended Form 10-Q” or “10-Q/A”), as originally filed with the U.S. Securities and Exchange Commission (the “SEC”) on November 14, 2023 (the “Original Form 10-Q”).</w:t>
      </w:r>
    </w:p>
    <w:p>
      <w:pPr>
        <w:spacing w:after="0" w:line="21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final paragraph of the explanatory note of Amendment 1 to the Original Form 10-Q inadvertently omitted certain context around our going concern risk factor, which paragraph has been corrected and revised as below.</w:t>
      </w:r>
    </w:p>
    <w:p>
      <w:pPr>
        <w:spacing w:after="0" w:line="203" w:lineRule="exact"/>
        <w:rPr>
          <w:sz w:val="20"/>
          <w:szCs w:val="20"/>
          <w:color w:val="auto"/>
        </w:rPr>
      </w:pPr>
    </w:p>
    <w:p>
      <w:pPr>
        <w:ind w:right="180" w:firstLine="440"/>
        <w:spacing w:after="0" w:line="241" w:lineRule="auto"/>
        <w:rPr>
          <w:sz w:val="20"/>
          <w:szCs w:val="20"/>
          <w:color w:val="auto"/>
        </w:rPr>
      </w:pPr>
      <w:r>
        <w:rPr>
          <w:rFonts w:ascii="Times New Roman" w:cs="Times New Roman" w:eastAsia="Times New Roman" w:hAnsi="Times New Roman"/>
          <w:sz w:val="18"/>
          <w:szCs w:val="18"/>
          <w:color w:val="auto"/>
        </w:rPr>
        <w:t>This Amended Form 10-Q is presented as of the filing date of the Original Form 10-Q and does not (i) reflect events occurring after that date, except with respect to the information regarding our ability to continue as a going concern in Part II, Item 1A and certain business updates included in Part II, Item 6, or (ii) modify or update disclosures in any way other than as required to reflect the amendment and restatement as described below. Accordingly, this Amended Form 10-Q should be read in conjunction with the Original Form 10-Q and our filings with the SEC subsequent to the date on which we filed the Original Form 10-Q. This Amended Form 10-Q does not change our consolidated financial statements as set forth in the Original Form 10-Q.</w:t>
      </w:r>
    </w:p>
    <w:p>
      <w:pPr>
        <w:spacing w:after="0" w:line="211" w:lineRule="exact"/>
        <w:rPr>
          <w:sz w:val="20"/>
          <w:szCs w:val="20"/>
          <w:color w:val="auto"/>
        </w:rPr>
      </w:pPr>
    </w:p>
    <w:p>
      <w:pPr>
        <w:ind w:right="140" w:firstLine="440"/>
        <w:spacing w:after="0" w:line="239" w:lineRule="auto"/>
        <w:rPr>
          <w:sz w:val="20"/>
          <w:szCs w:val="20"/>
          <w:color w:val="auto"/>
        </w:rPr>
      </w:pPr>
      <w:r>
        <w:rPr>
          <w:rFonts w:ascii="Times New Roman" w:cs="Times New Roman" w:eastAsia="Times New Roman" w:hAnsi="Times New Roman"/>
          <w:sz w:val="18"/>
          <w:szCs w:val="18"/>
          <w:color w:val="auto"/>
        </w:rPr>
        <w:t>The purpose of this Amended Form 10-Q is to (i) amend and restate the disclosure in Part II, Item 1A “Risk Factors” to provide further updates to certain risks resulting from changes to the Company’s business following its acquisition (the “Bakkt Crypto Acquisition”) of Bakkt Crypto Solutions, LLC (“Bakkt Crypto”), formerly Apex Crypto LLC (“Apex Crypto”), and to add a risk factor related to our ability to continue as a going concern as we have subsequently deemed there to be substantial doubt regarding our ability to continue as a going concern 12 months following the date of this Amended Form 10-Q without raising capital, and (ii) amend and restate Part II, Item 5, which provides an update to the Company’s business activities following the Bakkt Crypto Acquisition. Part II, Item 6 “Exhibits” has also been amended and restated to include currently dated certifications of the Company’s principal executive officer and principal financial officer as required by Sections 302 and 906 of the Sarbanes Oxley Act of 2002. The certifications are attached to this Amended Form 10-Q as Exhibits 31.1, 31.2, 32.1 and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76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208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0000FF"/>
                <w:w w:val="97"/>
              </w:rPr>
              <w:t>OTHER INFORMATION</w:t>
            </w:r>
          </w:p>
        </w:tc>
        <w:tc>
          <w:tcPr>
            <w:tcW w:w="5040" w:type="dxa"/>
            <w:vAlign w:val="bottom"/>
            <w:vMerge w:val="restart"/>
          </w:tcPr>
          <w:p>
            <w:pPr>
              <w:spacing w:after="0"/>
              <w:rPr>
                <w:sz w:val="18"/>
                <w:szCs w:val="18"/>
                <w:color w:val="auto"/>
              </w:rPr>
            </w:pPr>
          </w:p>
        </w:tc>
        <w:tc>
          <w:tcPr>
            <w:tcW w:w="17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91"/>
        </w:trPr>
        <w:tc>
          <w:tcPr>
            <w:tcW w:w="1540" w:type="dxa"/>
            <w:vAlign w:val="bottom"/>
            <w:vMerge w:val="continue"/>
          </w:tcPr>
          <w:p>
            <w:pPr>
              <w:spacing w:after="0"/>
              <w:rPr>
                <w:sz w:val="16"/>
                <w:szCs w:val="16"/>
                <w:color w:val="auto"/>
              </w:rPr>
            </w:pPr>
          </w:p>
        </w:tc>
        <w:tc>
          <w:tcPr>
            <w:tcW w:w="2080" w:type="dxa"/>
            <w:vAlign w:val="bottom"/>
            <w:tcBorders>
              <w:bottom w:val="single" w:sz="8" w:color="0000FF"/>
            </w:tcBorders>
            <w:gridSpan w:val="5"/>
            <w:vMerge w:val="continue"/>
          </w:tcPr>
          <w:p>
            <w:pPr>
              <w:spacing w:after="0"/>
              <w:rPr>
                <w:sz w:val="16"/>
                <w:szCs w:val="16"/>
                <w:color w:val="auto"/>
              </w:rPr>
            </w:pPr>
          </w:p>
        </w:tc>
        <w:tc>
          <w:tcPr>
            <w:tcW w:w="50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Risk Factors</w:t>
            </w:r>
          </w:p>
        </w:tc>
        <w:tc>
          <w:tcPr>
            <w:tcW w:w="612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5</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71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980" w:type="dxa"/>
            <w:vAlign w:val="bottom"/>
            <w:gridSpan w:val="2"/>
          </w:tcPr>
          <w:p>
            <w:pPr>
              <w:jc w:val="center"/>
              <w:ind w:left="686"/>
              <w:spacing w:after="0"/>
              <w:rPr>
                <w:sz w:val="20"/>
                <w:szCs w:val="20"/>
                <w:color w:val="auto"/>
              </w:rPr>
            </w:pPr>
            <w:r>
              <w:rPr>
                <w:rFonts w:ascii="Times New Roman" w:cs="Times New Roman" w:eastAsia="Times New Roman" w:hAnsi="Times New Roman"/>
                <w:sz w:val="20"/>
                <w:szCs w:val="20"/>
                <w:color w:val="0000FF"/>
                <w:w w:val="99"/>
              </w:rPr>
              <w:t>15</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Exhibits</w:t>
            </w:r>
          </w:p>
        </w:tc>
        <w:tc>
          <w:tcPr>
            <w:tcW w:w="5680" w:type="dxa"/>
            <w:vAlign w:val="bottom"/>
            <w:gridSpan w:val="2"/>
          </w:tcPr>
          <w:p>
            <w:pPr>
              <w:spacing w:after="0"/>
              <w:rPr>
                <w:sz w:val="20"/>
                <w:szCs w:val="20"/>
                <w:color w:val="auto"/>
              </w:rPr>
            </w:pPr>
          </w:p>
        </w:tc>
        <w:tc>
          <w:tcPr>
            <w:tcW w:w="980" w:type="dxa"/>
            <w:vAlign w:val="bottom"/>
            <w:gridSpan w:val="2"/>
          </w:tcPr>
          <w:p>
            <w:pPr>
              <w:jc w:val="center"/>
              <w:ind w:left="686"/>
              <w:spacing w:after="0"/>
              <w:rPr>
                <w:sz w:val="20"/>
                <w:szCs w:val="20"/>
                <w:color w:val="auto"/>
              </w:rPr>
            </w:pPr>
            <w:r>
              <w:rPr>
                <w:rFonts w:ascii="Times New Roman" w:cs="Times New Roman" w:eastAsia="Times New Roman" w:hAnsi="Times New Roman"/>
                <w:sz w:val="20"/>
                <w:szCs w:val="20"/>
                <w:color w:val="0000FF"/>
                <w:w w:val="99"/>
              </w:rPr>
              <w:t>29</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7"/>
              </w:rPr>
              <w:t>Signatures</w:t>
            </w:r>
          </w:p>
        </w:tc>
        <w:tc>
          <w:tcPr>
            <w:tcW w:w="6280" w:type="dxa"/>
            <w:vAlign w:val="bottom"/>
            <w:gridSpan w:val="4"/>
          </w:tcPr>
          <w:p>
            <w:pPr>
              <w:spacing w:after="0"/>
              <w:rPr>
                <w:sz w:val="20"/>
                <w:szCs w:val="20"/>
                <w:color w:val="auto"/>
              </w:rPr>
            </w:pPr>
          </w:p>
        </w:tc>
        <w:tc>
          <w:tcPr>
            <w:tcW w:w="980" w:type="dxa"/>
            <w:vAlign w:val="bottom"/>
            <w:gridSpan w:val="2"/>
          </w:tcPr>
          <w:p>
            <w:pPr>
              <w:jc w:val="center"/>
              <w:ind w:left="686"/>
              <w:spacing w:after="0"/>
              <w:rPr>
                <w:sz w:val="20"/>
                <w:szCs w:val="20"/>
                <w:color w:val="auto"/>
              </w:rPr>
            </w:pPr>
            <w:r>
              <w:rPr>
                <w:rFonts w:ascii="Times New Roman" w:cs="Times New Roman" w:eastAsia="Times New Roman" w:hAnsi="Times New Roman"/>
                <w:sz w:val="20"/>
                <w:szCs w:val="20"/>
                <w:color w:val="0000FF"/>
                <w:w w:val="99"/>
              </w:rPr>
              <w:t>30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765" w:right="7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991"/>
        <w:spacing w:after="0" w:line="238" w:lineRule="auto"/>
        <w:rPr>
          <w:sz w:val="20"/>
          <w:szCs w:val="20"/>
          <w:color w:val="auto"/>
        </w:rPr>
      </w:pPr>
      <w:r>
        <w:rPr>
          <w:rFonts w:ascii="Times New Roman" w:cs="Times New Roman" w:eastAsia="Times New Roman" w:hAnsi="Times New Roman"/>
          <w:sz w:val="18"/>
          <w:szCs w:val="18"/>
          <w:color w:val="auto"/>
        </w:rPr>
        <w:t>This Amended Form 10-Q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Amended Form 10-Q may include, for example, statements about:</w:t>
      </w:r>
    </w:p>
    <w:p>
      <w:pPr>
        <w:spacing w:after="0" w:line="83" w:lineRule="exact"/>
        <w:rPr>
          <w:sz w:val="20"/>
          <w:szCs w:val="20"/>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including our plans to expand to international markets.</w:t>
      </w:r>
    </w:p>
    <w:p>
      <w:pPr>
        <w:spacing w:after="0" w:line="104" w:lineRule="exact"/>
        <w:rPr>
          <w:sz w:val="20"/>
          <w:szCs w:val="20"/>
          <w:color w:val="auto"/>
        </w:rPr>
      </w:pPr>
    </w:p>
    <w:p>
      <w:pPr>
        <w:ind w:right="160" w:firstLine="991"/>
        <w:spacing w:after="0" w:line="239"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Amended Form 10-Q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76" w:lineRule="exact"/>
        <w:rPr>
          <w:sz w:val="20"/>
          <w:szCs w:val="20"/>
          <w:color w:val="auto"/>
        </w:rPr>
      </w:pPr>
    </w:p>
    <w:p>
      <w:pPr>
        <w:ind w:right="80" w:firstLine="991"/>
        <w:spacing w:after="0" w:line="272" w:lineRule="auto"/>
        <w:rPr>
          <w:sz w:val="20"/>
          <w:szCs w:val="20"/>
          <w:color w:val="auto"/>
        </w:rPr>
      </w:pPr>
      <w:r>
        <w:rPr>
          <w:rFonts w:ascii="Times New Roman" w:cs="Times New Roman" w:eastAsia="Times New Roman" w:hAnsi="Times New Roman"/>
          <w:sz w:val="17"/>
          <w:szCs w:val="17"/>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1" w:lineRule="exact"/>
        <w:rPr>
          <w:sz w:val="20"/>
          <w:szCs w:val="20"/>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90" w:lineRule="exact"/>
        <w:rPr>
          <w:rFonts w:ascii="Times New Roman" w:cs="Times New Roman" w:eastAsia="Times New Roman" w:hAnsi="Times New Roman"/>
          <w:sz w:val="18"/>
          <w:szCs w:val="18"/>
          <w:color w:val="auto"/>
        </w:rPr>
      </w:pPr>
    </w:p>
    <w:p>
      <w:pPr>
        <w:ind w:left="980" w:right="280" w:hanging="328"/>
        <w:spacing w:after="0" w:line="266" w:lineRule="auto"/>
        <w:tabs>
          <w:tab w:leader="none" w:pos="9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4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03"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03" w:lineRule="exact"/>
        <w:rPr>
          <w:rFonts w:ascii="Times New Roman" w:cs="Times New Roman" w:eastAsia="Times New Roman" w:hAnsi="Times New Roman"/>
          <w:sz w:val="18"/>
          <w:szCs w:val="18"/>
          <w:color w:val="auto"/>
        </w:rPr>
      </w:pPr>
    </w:p>
    <w:p>
      <w:pPr>
        <w:ind w:left="980" w:right="500" w:hanging="328"/>
        <w:spacing w:after="0" w:line="250" w:lineRule="auto"/>
        <w:tabs>
          <w:tab w:leader="none" w:pos="9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8"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acquisition of Bakkt Crypto;</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New York Stock Exchange (the “NYSE”); and</w:t>
      </w:r>
    </w:p>
    <w:p>
      <w:pPr>
        <w:spacing w:after="0" w:line="10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Amended Form 10-Q,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ectPr>
          <w:pgSz w:w="11900" w:h="16838" w:orient="portrait"/>
          <w:cols w:equalWidth="0" w:num="1">
            <w:col w:w="10900"/>
          </w:cols>
          <w:pgMar w:left="480" w:top="108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089" w:right="51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9"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8"/>
          <w:szCs w:val="18"/>
          <w:color w:val="auto"/>
        </w:rPr>
        <w:t>In addition to the information set forth in this Amended Form 10-Q and the Original Form 10-Q,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77" w:lineRule="exact"/>
        <w:rPr>
          <w:sz w:val="20"/>
          <w:szCs w:val="20"/>
          <w:color w:val="auto"/>
        </w:rPr>
      </w:pPr>
    </w:p>
    <w:p>
      <w:pPr>
        <w:ind w:right="300" w:firstLine="99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68" w:lineRule="exact"/>
        <w:rPr>
          <w:sz w:val="20"/>
          <w:szCs w:val="20"/>
          <w:color w:val="auto"/>
        </w:rPr>
      </w:pPr>
    </w:p>
    <w:p>
      <w:pPr>
        <w:ind w:right="60" w:firstLine="991"/>
        <w:spacing w:after="0"/>
        <w:rPr>
          <w:sz w:val="20"/>
          <w:szCs w:val="20"/>
          <w:color w:val="auto"/>
        </w:rPr>
      </w:pPr>
      <w:r>
        <w:rPr>
          <w:rFonts w:ascii="Times New Roman" w:cs="Times New Roman" w:eastAsia="Times New Roman" w:hAnsi="Times New Roman"/>
          <w:sz w:val="18"/>
          <w:szCs w:val="18"/>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Moreover, our growth plan includes marketing expense to incentivize clients with whom we develop partnerships to market our platform to their customers, which we expect would accelerate customer adoption of our platform and lower our overall customer acquisition cost.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212" w:lineRule="exact"/>
        <w:rPr>
          <w:sz w:val="20"/>
          <w:szCs w:val="20"/>
          <w:color w:val="auto"/>
        </w:rPr>
      </w:pPr>
    </w:p>
    <w:p>
      <w:pPr>
        <w:ind w:right="20" w:firstLine="991"/>
        <w:spacing w:after="0" w:line="237" w:lineRule="auto"/>
        <w:rPr>
          <w:sz w:val="20"/>
          <w:szCs w:val="20"/>
          <w:color w:val="auto"/>
        </w:rPr>
      </w:pPr>
      <w:r>
        <w:rPr>
          <w:rFonts w:ascii="Times New Roman" w:cs="Times New Roman" w:eastAsia="Times New Roman" w:hAnsi="Times New Roman"/>
          <w:sz w:val="18"/>
          <w:szCs w:val="18"/>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226" w:lineRule="exact"/>
        <w:rPr>
          <w:sz w:val="20"/>
          <w:szCs w:val="20"/>
          <w:color w:val="auto"/>
        </w:rPr>
      </w:pPr>
    </w:p>
    <w:p>
      <w:pPr>
        <w:ind w:right="80" w:firstLine="991"/>
        <w:spacing w:after="0"/>
        <w:rPr>
          <w:sz w:val="20"/>
          <w:szCs w:val="20"/>
          <w:color w:val="auto"/>
        </w:rPr>
      </w:pPr>
      <w:r>
        <w:rPr>
          <w:rFonts w:ascii="Times New Roman" w:cs="Times New Roman" w:eastAsia="Times New Roman" w:hAnsi="Times New Roman"/>
          <w:sz w:val="18"/>
          <w:szCs w:val="18"/>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212" w:lineRule="exact"/>
        <w:rPr>
          <w:sz w:val="20"/>
          <w:szCs w:val="20"/>
          <w:color w:val="auto"/>
        </w:rPr>
      </w:pPr>
    </w:p>
    <w:p>
      <w:pPr>
        <w:ind w:firstLine="991"/>
        <w:spacing w:after="0" w:line="241" w:lineRule="auto"/>
        <w:rPr>
          <w:sz w:val="20"/>
          <w:szCs w:val="20"/>
          <w:color w:val="auto"/>
        </w:rPr>
      </w:pPr>
      <w:r>
        <w:rPr>
          <w:rFonts w:ascii="Times New Roman" w:cs="Times New Roman" w:eastAsia="Times New Roman" w:hAnsi="Times New Roman"/>
          <w:sz w:val="18"/>
          <w:szCs w:val="18"/>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211" w:lineRule="exact"/>
        <w:rPr>
          <w:sz w:val="20"/>
          <w:szCs w:val="20"/>
          <w:color w:val="auto"/>
        </w:rPr>
      </w:pPr>
    </w:p>
    <w:p>
      <w:pPr>
        <w:ind w:right="40" w:firstLine="991"/>
        <w:spacing w:after="0" w:line="242" w:lineRule="auto"/>
        <w:rPr>
          <w:sz w:val="20"/>
          <w:szCs w:val="20"/>
          <w:color w:val="auto"/>
        </w:rPr>
      </w:pPr>
      <w:r>
        <w:rPr>
          <w:rFonts w:ascii="Times New Roman" w:cs="Times New Roman" w:eastAsia="Times New Roman" w:hAnsi="Times New Roman"/>
          <w:sz w:val="18"/>
          <w:szCs w:val="18"/>
          <w:color w:val="auto"/>
        </w:rPr>
        <w:t>Additionally, certain terms of our partner agreements remain subject to further discussion and refinement before they can be implemented, including the potential products and services to bring to market. Our ability to realize the intended benefits of these partnerships will depend on our ability to finalize such agreements, for such products and services, and to do so on terms sufficiently favorable to us. While we continue to negotiate partnership terms, we may be unable to agree to terms with such clients on commercially advantageous terms or at all, which may adversely affect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089" w:right="519" w:bottom="1440" w:gutter="0" w:footer="0" w:header="0"/>
        </w:sectPr>
      </w:pPr>
    </w:p>
    <w:bookmarkStart w:id="5" w:name="page6"/>
    <w:bookmarkEnd w:id="5"/>
    <w:p>
      <w:pPr>
        <w:ind w:firstLine="991"/>
        <w:spacing w:after="0"/>
        <w:rPr>
          <w:sz w:val="20"/>
          <w:szCs w:val="20"/>
          <w:color w:val="auto"/>
        </w:rPr>
      </w:pPr>
      <w:r>
        <w:rPr>
          <w:rFonts w:ascii="Times New Roman" w:cs="Times New Roman" w:eastAsia="Times New Roman" w:hAnsi="Times New Roman"/>
          <w:sz w:val="18"/>
          <w:szCs w:val="18"/>
          <w:color w:val="auto"/>
        </w:rPr>
        <w:t>Furthermore, our ability to retain existing, or obtain new, partners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has delisted or determined to delist a substantial majority of the crypto assets that had historically been available for trading on the Bakkt Crypto platform. The decision to delist those crypto assets has impacted, and may in the future further impact, our revenues as additional crypto assets are delisted and may impact the expected synergies and benefits from the Bakkt Crypto acquisition. If partners do not engage with us, or if customers choose not to transact or make fewer transactions on our platform, as a result of the decision to delist those crypto assets or our decision not to offer other crypto assets, our revenues will be adversely impacted.</w:t>
      </w:r>
    </w:p>
    <w:p>
      <w:pPr>
        <w:spacing w:after="0" w:line="21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Any of the foregoing could, among other things, adversely impact our stock price, make us less competitive compared to our peers and otherwise significantly adversely affect our business.</w:t>
      </w:r>
    </w:p>
    <w:p>
      <w:pPr>
        <w:spacing w:after="0" w:line="3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Excessive redemptions or withdrawals, or a suspension of redemptions or withdrawals, of crypto assets could adversely impact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84"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We have procedures to process redemptions and withdrawals promptly in accordance with the terms of the applicable user agreements. Although we have not experienced excessive redemptions or withdrawals, or suspensions of redemptions or withdrawals, of crypto assets to date, we could experience process-related withdrawal or redemption delays in the future if there were to be a significant and unexpected volume of withdrawal or redemption requests.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334" w:lineRule="exact"/>
        <w:rPr>
          <w:sz w:val="20"/>
          <w:szCs w:val="20"/>
          <w:color w:val="auto"/>
        </w:rPr>
      </w:pPr>
    </w:p>
    <w:p>
      <w:pPr>
        <w:ind w:right="120" w:firstLine="991"/>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may be difficult to identify. We may not realize the anticipated benefits of past or future investments, strategic transactions or acquisitions, including our acquisition of Apex Crypto, and integration of these acquisitions may pose integration challenges, divert the attention of management, disrupt our business, dilute stockholder value or otherwise adversely affect our business, financial condition and results of operations.</w:t>
      </w:r>
    </w:p>
    <w:p>
      <w:pPr>
        <w:spacing w:after="0" w:line="60" w:lineRule="exact"/>
        <w:rPr>
          <w:sz w:val="20"/>
          <w:szCs w:val="20"/>
          <w:color w:val="auto"/>
        </w:rPr>
      </w:pPr>
    </w:p>
    <w:p>
      <w:pPr>
        <w:ind w:right="80" w:firstLine="991"/>
        <w:spacing w:after="0" w:line="245"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 For example, on April 1, 2023, we consummated our agreement to acquire all of the membership interests of Apex Crypto, which we have since renamed Bakkt Crypto.</w:t>
      </w:r>
    </w:p>
    <w:p>
      <w:pPr>
        <w:spacing w:after="0" w:line="221" w:lineRule="exact"/>
        <w:rPr>
          <w:sz w:val="20"/>
          <w:szCs w:val="20"/>
          <w:color w:val="auto"/>
        </w:rPr>
      </w:pPr>
    </w:p>
    <w:p>
      <w:pPr>
        <w:ind w:right="160" w:firstLine="991"/>
        <w:spacing w:after="0" w:line="296" w:lineRule="auto"/>
        <w:rPr>
          <w:sz w:val="20"/>
          <w:szCs w:val="20"/>
          <w:color w:val="auto"/>
        </w:rPr>
      </w:pPr>
      <w:r>
        <w:rPr>
          <w:rFonts w:ascii="Times New Roman" w:cs="Times New Roman" w:eastAsia="Times New Roman" w:hAnsi="Times New Roman"/>
          <w:sz w:val="17"/>
          <w:szCs w:val="17"/>
          <w:color w:val="auto"/>
        </w:rPr>
        <w:t>We may not realize the anticipated benefits of past or future investments, strategic transactions, or acquisitions, including the acquisition of Bakkt Crypto, and these transactions involve numerous risks that are not within our control. These risks include the following, among others:</w:t>
      </w:r>
    </w:p>
    <w:p>
      <w:pPr>
        <w:spacing w:after="0" w:line="31" w:lineRule="exact"/>
        <w:rPr>
          <w:sz w:val="20"/>
          <w:szCs w:val="20"/>
          <w:color w:val="auto"/>
        </w:rPr>
      </w:pPr>
    </w:p>
    <w:p>
      <w:pPr>
        <w:ind w:left="980" w:right="740" w:hanging="328"/>
        <w:spacing w:after="0" w:line="250"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requisite regulatory approvals necessary to consummate the transaction the acquisition, or to integrate the acquired business with our own;</w:t>
      </w:r>
    </w:p>
    <w:p>
      <w:pPr>
        <w:spacing w:after="0" w:line="68"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systems, and personnel of the acquired business;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our current products and technologies;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90" w:lineRule="exact"/>
        <w:rPr>
          <w:rFonts w:ascii="Times New Roman" w:cs="Times New Roman" w:eastAsia="Times New Roman" w:hAnsi="Times New Roman"/>
          <w:sz w:val="18"/>
          <w:szCs w:val="18"/>
          <w:color w:val="auto"/>
        </w:rPr>
      </w:pPr>
    </w:p>
    <w:p>
      <w:pPr>
        <w:ind w:left="980" w:right="600" w:hanging="328"/>
        <w:spacing w:after="0" w:line="266"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distraction of our management and employees from other opportunities and challenges due to integration issues;</w:t>
      </w:r>
    </w:p>
    <w:p>
      <w:pPr>
        <w:spacing w:after="0" w:line="4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business’s accounting, management information and other administrative systems;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clients of the acquired business;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103"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our results of operations;</w:t>
      </w:r>
    </w:p>
    <w:p>
      <w:pPr>
        <w:spacing w:after="0" w:line="90" w:lineRule="exact"/>
        <w:rPr>
          <w:rFonts w:ascii="Times New Roman" w:cs="Times New Roman" w:eastAsia="Times New Roman" w:hAnsi="Times New Roman"/>
          <w:sz w:val="18"/>
          <w:szCs w:val="18"/>
          <w:color w:val="auto"/>
        </w:rPr>
      </w:pPr>
    </w:p>
    <w:p>
      <w:pPr>
        <w:ind w:left="980" w:right="160" w:hanging="328"/>
        <w:spacing w:after="0" w:line="266"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4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post-acquisition investments which may lower the actual benefits realized through the acquisition;</w:t>
      </w:r>
    </w:p>
    <w:p>
      <w:pPr>
        <w:sectPr>
          <w:pgSz w:w="11900" w:h="16838" w:orient="portrait"/>
          <w:cols w:equalWidth="0" w:num="1">
            <w:col w:w="10960"/>
          </w:cols>
          <w:pgMar w:left="480" w:top="109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1093" w:right="459" w:bottom="1440" w:gutter="0" w:footer="0" w:header="0"/>
          <w:type w:val="continuous"/>
        </w:sectPr>
      </w:pPr>
    </w:p>
    <w:bookmarkStart w:id="6" w:name="page7"/>
    <w:bookmarkEnd w:id="6"/>
    <w:p>
      <w:pPr>
        <w:ind w:left="980" w:right="40" w:hanging="327"/>
        <w:spacing w:after="0" w:line="239" w:lineRule="auto"/>
        <w:tabs>
          <w:tab w:leader="none" w:pos="97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potential failure of the due diligence process to identify significant issues with product quality, legal, and financial liabilities among other things; and</w:t>
      </w:r>
    </w:p>
    <w:p>
      <w:pPr>
        <w:spacing w:after="0" w:line="64" w:lineRule="exact"/>
        <w:rPr>
          <w:rFonts w:ascii="Times New Roman" w:cs="Times New Roman" w:eastAsia="Times New Roman" w:hAnsi="Times New Roman"/>
          <w:sz w:val="20"/>
          <w:szCs w:val="20"/>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assert that internal controls over financial reporting are effective.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acquisition of Bakkt Crypto presents risks to our business, including because:</w:t>
      </w:r>
    </w:p>
    <w:p>
      <w:pPr>
        <w:spacing w:after="0" w:line="104" w:lineRule="exact"/>
        <w:rPr>
          <w:sz w:val="20"/>
          <w:szCs w:val="20"/>
          <w:color w:val="auto"/>
        </w:rPr>
      </w:pPr>
    </w:p>
    <w:p>
      <w:pPr>
        <w:ind w:left="980" w:hanging="32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legacy clients of Apex Crypto, and expand those relationships, is a key growth driver for us;</w:t>
      </w:r>
    </w:p>
    <w:p>
      <w:pPr>
        <w:spacing w:after="0" w:line="103" w:lineRule="exact"/>
        <w:rPr>
          <w:rFonts w:ascii="Times New Roman" w:cs="Times New Roman" w:eastAsia="Times New Roman" w:hAnsi="Times New Roman"/>
          <w:sz w:val="18"/>
          <w:szCs w:val="18"/>
          <w:color w:val="auto"/>
        </w:rPr>
      </w:pPr>
    </w:p>
    <w:p>
      <w:pPr>
        <w:ind w:left="980" w:right="540" w:hanging="328"/>
        <w:spacing w:after="0" w:line="250" w:lineRule="auto"/>
        <w:tabs>
          <w:tab w:leader="none" w:pos="9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replacing and/or augmenting many of our existing systems and relationships (e.g., agreements with crypto liquidity providers) with those historically used by Apex Crypto;</w:t>
      </w:r>
    </w:p>
    <w:p>
      <w:pPr>
        <w:spacing w:after="0" w:line="68"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be able to accommodate the significantly increased volume on our platform;</w:t>
      </w:r>
    </w:p>
    <w:p>
      <w:pPr>
        <w:spacing w:after="0" w:line="90" w:lineRule="exact"/>
        <w:rPr>
          <w:rFonts w:ascii="Times New Roman" w:cs="Times New Roman" w:eastAsia="Times New Roman" w:hAnsi="Times New Roman"/>
          <w:sz w:val="18"/>
          <w:szCs w:val="18"/>
          <w:color w:val="auto"/>
        </w:rPr>
      </w:pPr>
    </w:p>
    <w:p>
      <w:pPr>
        <w:ind w:left="980" w:right="140" w:hanging="328"/>
        <w:spacing w:after="0" w:line="250" w:lineRule="auto"/>
        <w:tabs>
          <w:tab w:leader="none" w:pos="9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integration of the Bakkt Crypto business—which includes, among other things, merging legal entities, eliminating duplicative licenses, and adjusting the amount of regulatory capital associated therewith—remains subject to regulatory approval, the delay of which extends the timeline for our recognition of the full benefits of the transaction;</w:t>
      </w:r>
    </w:p>
    <w:p>
      <w:pPr>
        <w:spacing w:after="0" w:line="55" w:lineRule="exact"/>
        <w:rPr>
          <w:rFonts w:ascii="Times New Roman" w:cs="Times New Roman" w:eastAsia="Times New Roman" w:hAnsi="Times New Roman"/>
          <w:sz w:val="18"/>
          <w:szCs w:val="18"/>
          <w:color w:val="auto"/>
        </w:rPr>
      </w:pPr>
    </w:p>
    <w:p>
      <w:pPr>
        <w:ind w:left="980" w:right="500" w:hanging="328"/>
        <w:spacing w:after="0" w:line="296" w:lineRule="auto"/>
        <w:tabs>
          <w:tab w:leader="none" w:pos="96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increased liability and/or regulatory risk from the list of additional crypto assets on our platform and from the pre-acquisition activities of Bakkt Crypto, even after we elected to delist certain of the crypto assets on the Bakkt Crypto platform; and</w:t>
      </w:r>
    </w:p>
    <w:p>
      <w:pPr>
        <w:spacing w:after="0" w:line="17" w:lineRule="exact"/>
        <w:rPr>
          <w:rFonts w:ascii="Times New Roman" w:cs="Times New Roman" w:eastAsia="Times New Roman" w:hAnsi="Times New Roman"/>
          <w:sz w:val="17"/>
          <w:szCs w:val="17"/>
          <w:color w:val="auto"/>
        </w:rPr>
      </w:pPr>
    </w:p>
    <w:p>
      <w:pPr>
        <w:ind w:left="980" w:right="600" w:hanging="328"/>
        <w:spacing w:after="0" w:line="266" w:lineRule="auto"/>
        <w:tabs>
          <w:tab w:leader="none" w:pos="9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relationship with Apex Clearing Corporation that is a part of the acquisition is a key growth driver for us, but that relationship may not produce the benefits that we envision.</w:t>
      </w:r>
    </w:p>
    <w:p>
      <w:pPr>
        <w:spacing w:after="0" w:line="189" w:lineRule="exact"/>
        <w:rPr>
          <w:sz w:val="20"/>
          <w:szCs w:val="20"/>
          <w:color w:val="auto"/>
        </w:rPr>
      </w:pPr>
    </w:p>
    <w:p>
      <w:pPr>
        <w:ind w:right="20" w:firstLine="991"/>
        <w:spacing w:after="0" w:line="237"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common stock could decline. For example, under the purchase agreement for the acquisition of Apex Crypto, we agreed to pay or issue an aggregate of $200 million in cash and/or common stock as contingent consideration in respect of Bakkt Crypto achieving certain financial targets through 2025. Through November 13, 2023, we have delivered approximately $9.1 million of shares of Class A common stock in respect of such obligations.</w:t>
      </w:r>
    </w:p>
    <w:p>
      <w:pPr>
        <w:spacing w:after="0" w:line="3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safeguard and manage our customers’ crypto could adversely impact our business, operating results, and financial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w:t>
      </w:r>
    </w:p>
    <w:p>
      <w:pPr>
        <w:spacing w:after="0" w:line="84"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In our capacity as a crypto custodian, our platform holds crypto for individual and institutional customers, and buys, sells, sends and receives crypto to fulfill buy and sell orders of such customers. Specifically, Bakkt Trust Company LLC (“Bakkt Trust”) provides custody services to customers of Bakkt Marketplace and to its own institutional customers with respect to all crypto assets which we support for trading. In addition, Bakkt Crypto provides custodial services that support the crypto tokens offered on the consumer platform through both third-party providers of custodial services and self-custody through. the Fireblocks Vault service. Should we or one of our third-party custodians fail to implement or maintain the policies, procedures and controls necessary to secure the custody of the crypto assets entrusted to us by our customers in full compliance with applicable law and regulation, the Company could suffer reputational harm and/or significant financial losses; face litigation or regulatory enforcement action potentially leading to significant fines, penalties, and additional restrictions; and see its customers discontinue or reduce their use of our and our partners’ products. Any of these occurrences could adversely impact our business, operating results, and financial condition.</w:t>
      </w:r>
    </w:p>
    <w:p>
      <w:pPr>
        <w:spacing w:after="0" w:line="226" w:lineRule="exact"/>
        <w:rPr>
          <w:sz w:val="20"/>
          <w:szCs w:val="20"/>
          <w:color w:val="auto"/>
        </w:rPr>
      </w:pPr>
    </w:p>
    <w:p>
      <w:pPr>
        <w:ind w:right="60" w:firstLine="991"/>
        <w:spacing w:after="0" w:line="236" w:lineRule="auto"/>
        <w:rPr>
          <w:sz w:val="20"/>
          <w:szCs w:val="20"/>
          <w:color w:val="auto"/>
        </w:rPr>
      </w:pPr>
      <w:r>
        <w:rPr>
          <w:rFonts w:ascii="Times New Roman" w:cs="Times New Roman" w:eastAsia="Times New Roman" w:hAnsi="Times New Roman"/>
          <w:sz w:val="18"/>
          <w:szCs w:val="18"/>
          <w:color w:val="auto"/>
        </w:rPr>
        <w:t>We regard the crypto assets that we hold in custody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174" w:right="519" w:bottom="1440" w:gutter="0" w:footer="0" w:header="0"/>
        </w:sectPr>
      </w:pPr>
    </w:p>
    <w:bookmarkStart w:id="7" w:name="page8"/>
    <w:bookmarkEnd w:id="7"/>
    <w:p>
      <w:pPr>
        <w:ind w:right="40" w:firstLine="991"/>
        <w:spacing w:after="0" w:line="241" w:lineRule="auto"/>
        <w:rPr>
          <w:sz w:val="20"/>
          <w:szCs w:val="20"/>
          <w:color w:val="auto"/>
        </w:rPr>
      </w:pPr>
      <w:r>
        <w:rPr>
          <w:rFonts w:ascii="Times New Roman" w:cs="Times New Roman" w:eastAsia="Times New Roman" w:hAnsi="Times New Roman"/>
          <w:sz w:val="18"/>
          <w:szCs w:val="18"/>
          <w:color w:val="auto"/>
        </w:rPr>
        <w:t>Both Bakkt Trust and Bakkt Crypto use omnibus wallets to hold crypto assets belonging to the Company as well as crypto assets held for the benefit of and on behalf of customers. The balances of Bakkt Crypto-owned assets in such wallets are de minimis and are maintained solely to facilitate customer transactions, such as by funding the payment of 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spacing w:after="0" w:line="211" w:lineRule="exact"/>
        <w:rPr>
          <w:sz w:val="20"/>
          <w:szCs w:val="20"/>
          <w:color w:val="auto"/>
        </w:rPr>
      </w:pPr>
    </w:p>
    <w:p>
      <w:pPr>
        <w:ind w:right="100" w:firstLine="991"/>
        <w:spacing w:after="0" w:line="245" w:lineRule="auto"/>
        <w:rPr>
          <w:sz w:val="20"/>
          <w:szCs w:val="20"/>
          <w:color w:val="auto"/>
        </w:rPr>
      </w:pPr>
      <w:r>
        <w:rPr>
          <w:rFonts w:ascii="Times New Roman" w:cs="Times New Roman" w:eastAsia="Times New Roman" w:hAnsi="Times New Roman"/>
          <w:sz w:val="18"/>
          <w:szCs w:val="18"/>
          <w:color w:val="auto"/>
        </w:rPr>
        <w:t>Further, on March 31, 2022, the SEC issued Staff Accounting Bulletin No. 121, which represents a significant change regarding how a company safeguarding crypto held for its platform users reports such crypto on its balance sheet. Any future changes in U.S. generally accepted accounting principles (“GAAP”) that require us to change the manner in which we account for our crypto held for our customers could have a material adverse effect on our financial results and the market price of our securities.</w:t>
      </w:r>
    </w:p>
    <w:p>
      <w:pPr>
        <w:spacing w:after="0" w:line="219"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Risks Related to Risk Management and Financial Reporting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Future changes in financial accounting standards may significantly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our reported results of operations.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right="140" w:firstLine="991"/>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27" w:lineRule="exact"/>
        <w:rPr>
          <w:sz w:val="20"/>
          <w:szCs w:val="20"/>
          <w:color w:val="auto"/>
        </w:rPr>
      </w:pPr>
    </w:p>
    <w:p>
      <w:pPr>
        <w:jc w:val="both"/>
        <w:ind w:right="40" w:firstLine="991"/>
        <w:spacing w:after="0" w:line="250" w:lineRule="auto"/>
        <w:rPr>
          <w:sz w:val="20"/>
          <w:szCs w:val="20"/>
          <w:color w:val="auto"/>
        </w:rPr>
      </w:pPr>
      <w:r>
        <w:rPr>
          <w:rFonts w:ascii="Times New Roman" w:cs="Times New Roman" w:eastAsia="Times New Roman" w:hAnsi="Times New Roman"/>
          <w:sz w:val="18"/>
          <w:szCs w:val="18"/>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w:t>
      </w:r>
    </w:p>
    <w:p>
      <w:pPr>
        <w:spacing w:after="0" w:line="217" w:lineRule="exact"/>
        <w:rPr>
          <w:sz w:val="20"/>
          <w:szCs w:val="20"/>
          <w:color w:val="auto"/>
        </w:rPr>
      </w:pPr>
    </w:p>
    <w:p>
      <w:pPr>
        <w:ind w:right="40" w:firstLine="991"/>
        <w:spacing w:after="0" w:line="237" w:lineRule="auto"/>
        <w:rPr>
          <w:sz w:val="20"/>
          <w:szCs w:val="20"/>
          <w:color w:val="auto"/>
        </w:rPr>
      </w:pPr>
      <w:r>
        <w:rPr>
          <w:rFonts w:ascii="Times New Roman" w:cs="Times New Roman" w:eastAsia="Times New Roman" w:hAnsi="Times New Roman"/>
          <w:sz w:val="18"/>
          <w:szCs w:val="18"/>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each of Bakkt Marketplace and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each of Bakkt Marketplace and Bakkt Crypto is subject to reporting requirements, restrictions with respect to the investment of consumer funds, bonding requirements and inspection by state regulatory agencies.</w:t>
      </w:r>
    </w:p>
    <w:p>
      <w:pPr>
        <w:spacing w:after="0" w:line="228" w:lineRule="exact"/>
        <w:rPr>
          <w:sz w:val="20"/>
          <w:szCs w:val="20"/>
          <w:color w:val="auto"/>
        </w:rPr>
      </w:pPr>
    </w:p>
    <w:p>
      <w:pPr>
        <w:ind w:right="60" w:firstLine="991"/>
        <w:spacing w:after="0" w:line="236" w:lineRule="auto"/>
        <w:rPr>
          <w:sz w:val="20"/>
          <w:szCs w:val="20"/>
          <w:color w:val="auto"/>
        </w:rPr>
      </w:pPr>
      <w:r>
        <w:rPr>
          <w:rFonts w:ascii="Times New Roman" w:cs="Times New Roman" w:eastAsia="Times New Roman" w:hAnsi="Times New Roman"/>
          <w:sz w:val="18"/>
          <w:szCs w:val="18"/>
          <w:color w:val="auto"/>
        </w:rPr>
        <w:t>As we expand our business activities, both as to the products and services offered and into jurisdictions beyond the United States, including as a result of the Bakkt Crypto acquisition,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219" w:lineRule="exact"/>
        <w:rPr>
          <w:sz w:val="20"/>
          <w:szCs w:val="20"/>
          <w:color w:val="auto"/>
        </w:rPr>
      </w:pPr>
    </w:p>
    <w:p>
      <w:pPr>
        <w:ind w:firstLine="991"/>
        <w:spacing w:after="0"/>
        <w:rPr>
          <w:sz w:val="20"/>
          <w:szCs w:val="20"/>
          <w:color w:val="auto"/>
        </w:rPr>
      </w:pPr>
      <w:r>
        <w:rPr>
          <w:rFonts w:ascii="Times New Roman" w:cs="Times New Roman" w:eastAsia="Times New Roman" w:hAnsi="Times New Roman"/>
          <w:sz w:val="18"/>
          <w:szCs w:val="18"/>
          <w:color w:val="auto"/>
        </w:rPr>
        <w:t>As we expand our international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platforms over time, such as by requiring crypto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093" w:right="479" w:bottom="1440" w:gutter="0" w:footer="0" w:header="0"/>
        </w:sectPr>
      </w:pPr>
    </w:p>
    <w:bookmarkStart w:id="8" w:name="page9"/>
    <w:bookmarkEnd w:id="8"/>
    <w:p>
      <w:pPr>
        <w:ind w:right="60" w:firstLine="991"/>
        <w:spacing w:after="0" w:line="238" w:lineRule="auto"/>
        <w:rPr>
          <w:sz w:val="20"/>
          <w:szCs w:val="20"/>
          <w:color w:val="auto"/>
        </w:rPr>
      </w:pPr>
      <w:r>
        <w:rPr>
          <w:rFonts w:ascii="Times New Roman" w:cs="Times New Roman" w:eastAsia="Times New Roman" w:hAnsi="Times New Roman"/>
          <w:sz w:val="18"/>
          <w:szCs w:val="18"/>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319" w:lineRule="exact"/>
        <w:rPr>
          <w:sz w:val="20"/>
          <w:szCs w:val="20"/>
          <w:color w:val="auto"/>
        </w:rPr>
      </w:pPr>
    </w:p>
    <w:p>
      <w:pPr>
        <w:ind w:right="180" w:firstLine="99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50" w:lineRule="exact"/>
        <w:rPr>
          <w:sz w:val="20"/>
          <w:szCs w:val="20"/>
          <w:color w:val="auto"/>
        </w:rPr>
      </w:pPr>
    </w:p>
    <w:p>
      <w:pPr>
        <w:ind w:right="40" w:firstLine="991"/>
        <w:spacing w:after="0" w:line="241" w:lineRule="auto"/>
        <w:rPr>
          <w:sz w:val="20"/>
          <w:szCs w:val="20"/>
          <w:color w:val="auto"/>
        </w:rPr>
      </w:pPr>
      <w:r>
        <w:rPr>
          <w:rFonts w:ascii="Times New Roman" w:cs="Times New Roman" w:eastAsia="Times New Roman" w:hAnsi="Times New Roman"/>
          <w:sz w:val="18"/>
          <w:szCs w:val="18"/>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76" w:lineRule="exact"/>
        <w:rPr>
          <w:sz w:val="20"/>
          <w:szCs w:val="20"/>
          <w:color w:val="auto"/>
        </w:rPr>
      </w:pPr>
    </w:p>
    <w:p>
      <w:pPr>
        <w:ind w:left="980" w:right="380" w:hanging="328"/>
        <w:spacing w:after="0" w:line="242"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SEC initiated lawsuits against certain crypto asset exchanges, including Bittrex, Coinbase, Binance, and Kraken alleging among other things that those entities operated as unregistered national securities exchanges, unregistered broker-dealers and unregistered clearing agencies and alleging that certain crypto assets available on their platforms are securities.</w:t>
      </w:r>
    </w:p>
    <w:p>
      <w:pPr>
        <w:spacing w:after="0" w:line="75" w:lineRule="exact"/>
        <w:rPr>
          <w:rFonts w:ascii="Times New Roman" w:cs="Times New Roman" w:eastAsia="Times New Roman" w:hAnsi="Times New Roman"/>
          <w:sz w:val="18"/>
          <w:szCs w:val="18"/>
          <w:color w:val="auto"/>
        </w:rPr>
      </w:pPr>
    </w:p>
    <w:p>
      <w:pPr>
        <w:ind w:left="980" w:right="100" w:hanging="328"/>
        <w:spacing w:after="0" w:line="245"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Trading Commission (“CFTC”) staff has publicly taken the position that certain crypto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72" w:lineRule="exact"/>
        <w:rPr>
          <w:rFonts w:ascii="Times New Roman" w:cs="Times New Roman" w:eastAsia="Times New Roman" w:hAnsi="Times New Roman"/>
          <w:sz w:val="18"/>
          <w:szCs w:val="18"/>
          <w:color w:val="auto"/>
        </w:rPr>
      </w:pPr>
    </w:p>
    <w:p>
      <w:pPr>
        <w:ind w:left="980" w:right="220" w:hanging="328"/>
        <w:spacing w:after="0" w:line="245"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CFTC won a default judgment against Ooki DAO, a decentralized autonomous organization that the CFTC charged with operating an illegal trading platform and unlawfully offering leveraged and margined retail commodity transactions in crypto assets outside of a registered exchange, unlawfully acting as a Futures Commission Merchant (FCM), and unlawfully failing to comply with Bank Secrecy Act obligations applicable to FCMs.</w:t>
      </w:r>
    </w:p>
    <w:p>
      <w:pPr>
        <w:spacing w:after="0" w:line="72" w:lineRule="exact"/>
        <w:rPr>
          <w:rFonts w:ascii="Times New Roman" w:cs="Times New Roman" w:eastAsia="Times New Roman" w:hAnsi="Times New Roman"/>
          <w:sz w:val="18"/>
          <w:szCs w:val="18"/>
          <w:color w:val="auto"/>
        </w:rPr>
      </w:pPr>
    </w:p>
    <w:p>
      <w:pPr>
        <w:ind w:left="980" w:right="220" w:hanging="328"/>
        <w:spacing w:after="0" w:line="250"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w:t>
      </w:r>
    </w:p>
    <w:p>
      <w:pPr>
        <w:spacing w:after="0" w:line="55" w:lineRule="exact"/>
        <w:rPr>
          <w:rFonts w:ascii="Times New Roman" w:cs="Times New Roman" w:eastAsia="Times New Roman" w:hAnsi="Times New Roman"/>
          <w:sz w:val="18"/>
          <w:szCs w:val="18"/>
          <w:color w:val="auto"/>
        </w:rPr>
      </w:pPr>
    </w:p>
    <w:p>
      <w:pPr>
        <w:ind w:left="980" w:hanging="328"/>
        <w:spacing w:after="0" w:line="266"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2023, a different court in the Southern District of New York held that the SEC had asserted a plausible claim that certain inter-related crypto assets offered by Terraform Labs qualified as investment contracts.</w:t>
      </w:r>
    </w:p>
    <w:p>
      <w:pPr>
        <w:spacing w:after="0" w:line="54" w:lineRule="exact"/>
        <w:rPr>
          <w:rFonts w:ascii="Times New Roman" w:cs="Times New Roman" w:eastAsia="Times New Roman" w:hAnsi="Times New Roman"/>
          <w:sz w:val="18"/>
          <w:szCs w:val="18"/>
          <w:color w:val="auto"/>
        </w:rPr>
      </w:pPr>
    </w:p>
    <w:p>
      <w:pPr>
        <w:ind w:left="980" w:right="560" w:hanging="328"/>
        <w:spacing w:after="0" w:line="250"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CFTC issued orders and simultaneously filed and settled charges against Opyn, Inc., ZeroEx, Inc., and Deridex, Inc., alleging that each had offered users the ability to trade crypto asset derivatives without registering with the CFTC as one or more regulated entities.</w:t>
      </w:r>
    </w:p>
    <w:p>
      <w:pPr>
        <w:spacing w:after="0" w:line="68" w:lineRule="exact"/>
        <w:rPr>
          <w:rFonts w:ascii="Times New Roman" w:cs="Times New Roman" w:eastAsia="Times New Roman" w:hAnsi="Times New Roman"/>
          <w:sz w:val="18"/>
          <w:szCs w:val="18"/>
          <w:color w:val="auto"/>
        </w:rPr>
      </w:pPr>
    </w:p>
    <w:p>
      <w:pPr>
        <w:ind w:left="980" w:right="20" w:hanging="328"/>
        <w:spacing w:after="0" w:line="241"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Congress has expressed the need for both greater federal oversight of the crypto industry and comprehensive crypto asset legislation. In June 2023, a bill was introduced in the U.S. House of Representatives that would place certain crypto assets under SEC oversight, while placing others that qualify as commodities, under the jurisdiction of the CFTC. Under the draft bill, whether a particularly crypto asset is as a security or commodity would depend, among other things, on how decentralized its underlying blockchain is. The bill would also require crypto asset intermediaries, such as certain of our subsidiaries, to register with and be regulated by the CFTC, the SEC or both.</w:t>
      </w:r>
    </w:p>
    <w:p>
      <w:pPr>
        <w:spacing w:after="0" w:line="62" w:lineRule="exact"/>
        <w:rPr>
          <w:rFonts w:ascii="Times New Roman" w:cs="Times New Roman" w:eastAsia="Times New Roman" w:hAnsi="Times New Roman"/>
          <w:sz w:val="18"/>
          <w:szCs w:val="18"/>
          <w:color w:val="auto"/>
        </w:rPr>
      </w:pPr>
    </w:p>
    <w:p>
      <w:pPr>
        <w:ind w:left="980" w:right="160" w:hanging="328"/>
        <w:spacing w:after="0" w:line="241" w:lineRule="auto"/>
        <w:tabs>
          <w:tab w:leader="none" w:pos="9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regulators, such as NYDFS, have created or are in the process of creating new regulatory frameworks with respect to crypto. For example, in 2015, the State of New York adopted the “BitLicense,” the first U.S. regulatory framework for licensing participants in crypto business activity. Each of Bakkt Marketplace and Bakkt Crypto currently operates under a BitLicense. On January 25, 2023, NYDFS released guidance regarding crypto custody practices, providing that a “virtual currency entity custodian” must: (1) separately account for and segregate customer assets from proprietary assets, (2) take possession of customer assets only for the limited purpose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093" w:right="479" w:bottom="1440" w:gutter="0" w:footer="0" w:header="0"/>
        </w:sectPr>
      </w:pPr>
    </w:p>
    <w:bookmarkStart w:id="9" w:name="page10"/>
    <w:bookmarkEnd w:id="9"/>
    <w:p>
      <w:pPr>
        <w:ind w:left="980" w:right="160"/>
        <w:spacing w:after="0" w:line="239" w:lineRule="auto"/>
        <w:rPr>
          <w:sz w:val="20"/>
          <w:szCs w:val="20"/>
          <w:color w:val="auto"/>
        </w:rPr>
      </w:pPr>
      <w:r>
        <w:rPr>
          <w:rFonts w:ascii="Times New Roman" w:cs="Times New Roman" w:eastAsia="Times New Roman" w:hAnsi="Times New Roman"/>
          <w:sz w:val="18"/>
          <w:szCs w:val="18"/>
          <w:color w:val="auto"/>
        </w:rPr>
        <w:t>carrying out custody and safekeeping services, (3) request approval before implementing any sub-custody arrangements, and (4) provide adequate disclosure to customers. In addition, Louisiana has adopted a virtual currency regulation, effective as of January 1, 2023, which requires operators of virtual currency businesses to obtain a virtual 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66" w:lineRule="exact"/>
        <w:rPr>
          <w:sz w:val="20"/>
          <w:szCs w:val="20"/>
          <w:color w:val="auto"/>
        </w:rPr>
      </w:pPr>
    </w:p>
    <w:p>
      <w:pPr>
        <w:ind w:left="980" w:hanging="32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FinCEN has released guidance regarding how it considers its regulations to interact with crypto businesses.</w:t>
      </w:r>
    </w:p>
    <w:p>
      <w:pPr>
        <w:spacing w:after="0" w:line="103"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released guidance treating crypto as property that is not currency for U.S. federal income tax purposes.</w:t>
      </w:r>
    </w:p>
    <w:p>
      <w:pPr>
        <w:spacing w:after="0" w:line="103" w:lineRule="exact"/>
        <w:rPr>
          <w:rFonts w:ascii="Times New Roman" w:cs="Times New Roman" w:eastAsia="Times New Roman" w:hAnsi="Times New Roman"/>
          <w:sz w:val="18"/>
          <w:szCs w:val="18"/>
          <w:color w:val="auto"/>
        </w:rPr>
      </w:pPr>
    </w:p>
    <w:p>
      <w:pPr>
        <w:ind w:left="980" w:hanging="328"/>
        <w:spacing w:after="0" w:line="250"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IRS published proposed regulations on tax reporting requirements for cryptocurrency brokers, which are generally expected to expand the scope of companies that are required to report basis, adjusted basis, gross proceeds and amounts realized from sales of covered crypto assets.</w:t>
      </w:r>
    </w:p>
    <w:p>
      <w:pPr>
        <w:spacing w:after="0" w:line="68" w:lineRule="exact"/>
        <w:rPr>
          <w:rFonts w:ascii="Times New Roman" w:cs="Times New Roman" w:eastAsia="Times New Roman" w:hAnsi="Times New Roman"/>
          <w:sz w:val="18"/>
          <w:szCs w:val="18"/>
          <w:color w:val="auto"/>
        </w:rPr>
      </w:pPr>
    </w:p>
    <w:p>
      <w:pPr>
        <w:ind w:left="980" w:right="20" w:hanging="328"/>
        <w:spacing w:after="0" w:line="239"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governor of California signed into law the Digital Financial Assets Law (“DFAL”), which establishes a required licensing framework administered by the California Department of Financial Protection and Innovation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2025.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174" w:lineRule="exact"/>
        <w:rPr>
          <w:sz w:val="20"/>
          <w:szCs w:val="20"/>
          <w:color w:val="auto"/>
        </w:rPr>
      </w:pPr>
    </w:p>
    <w:p>
      <w:pPr>
        <w:ind w:right="60" w:firstLine="991"/>
        <w:spacing w:after="0"/>
        <w:rPr>
          <w:sz w:val="20"/>
          <w:szCs w:val="20"/>
          <w:color w:val="auto"/>
        </w:rPr>
      </w:pPr>
      <w:r>
        <w:rPr>
          <w:rFonts w:ascii="Times New Roman" w:cs="Times New Roman" w:eastAsia="Times New Roman" w:hAnsi="Times New Roman"/>
          <w:sz w:val="18"/>
          <w:szCs w:val="18"/>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addition, regulators may establish self-regulatory bodies 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and can also lead to an uncertain regulatory environment.</w:t>
      </w:r>
    </w:p>
    <w:p>
      <w:pPr>
        <w:spacing w:after="0" w:line="225" w:lineRule="exact"/>
        <w:rPr>
          <w:sz w:val="20"/>
          <w:szCs w:val="20"/>
          <w:color w:val="auto"/>
        </w:rPr>
      </w:pPr>
    </w:p>
    <w:p>
      <w:pPr>
        <w:ind w:right="280" w:firstLine="991"/>
        <w:spacing w:after="0" w:line="239" w:lineRule="auto"/>
        <w:rPr>
          <w:sz w:val="20"/>
          <w:szCs w:val="20"/>
          <w:color w:val="auto"/>
        </w:rPr>
      </w:pPr>
      <w:r>
        <w:rPr>
          <w:rFonts w:ascii="Times New Roman" w:cs="Times New Roman" w:eastAsia="Times New Roman" w:hAnsi="Times New Roman"/>
          <w:sz w:val="18"/>
          <w:szCs w:val="18"/>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specific issues. For instance, U.S. bankruptcy courts are now faced with a number of questions of first impression that may determine the status of crypto in bankruptcy, and the rights and obligations of platforms that custody crypto for their customers.</w:t>
      </w:r>
    </w:p>
    <w:p>
      <w:pPr>
        <w:spacing w:after="0" w:line="225" w:lineRule="exact"/>
        <w:rPr>
          <w:sz w:val="20"/>
          <w:szCs w:val="20"/>
          <w:color w:val="auto"/>
        </w:rPr>
      </w:pPr>
    </w:p>
    <w:p>
      <w:pPr>
        <w:ind w:right="160" w:firstLine="991"/>
        <w:spacing w:after="0" w:line="236" w:lineRule="auto"/>
        <w:rPr>
          <w:sz w:val="20"/>
          <w:szCs w:val="20"/>
          <w:color w:val="auto"/>
        </w:rPr>
      </w:pPr>
      <w:r>
        <w:rPr>
          <w:rFonts w:ascii="Times New Roman" w:cs="Times New Roman" w:eastAsia="Times New Roman" w:hAnsi="Times New Roman"/>
          <w:sz w:val="18"/>
          <w:szCs w:val="18"/>
          <w:color w:val="auto"/>
        </w:rPr>
        <w:t>New interpretations of, or changes to, existing laws, regulations and guidance, and new enforcement actions,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policies and procedures, imposing new licensing requirements, or imposing a total ban on certain crypto transactions,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limit the ability to access marketplaces or exchanges on which to trade crypto; adversely impact the structure, rights and transferability of crypto and the treatment of crypto and holders of crypto in insolvency proceedings; and result in further negative publicity relating to particular crypto assets or platforms or the crypto industry more generally. Any of the foregoing could significantly adversely impact our business.</w:t>
      </w:r>
    </w:p>
    <w:p>
      <w:pPr>
        <w:spacing w:after="0" w:line="231" w:lineRule="exact"/>
        <w:rPr>
          <w:sz w:val="20"/>
          <w:szCs w:val="20"/>
          <w:color w:val="auto"/>
        </w:rPr>
      </w:pPr>
    </w:p>
    <w:p>
      <w:pPr>
        <w:ind w:right="100"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See also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Regulation, Taxation and Law—A crypto asset’s status as a “security” in any relevant jurisdiction is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147" w:right="419" w:bottom="1440" w:gutter="0" w:footer="0" w:header="0"/>
        </w:sectPr>
      </w:pPr>
    </w:p>
    <w:bookmarkStart w:id="10" w:name="page11"/>
    <w:bookmarkEnd w:id="10"/>
    <w:p>
      <w:pPr>
        <w:ind w:right="100" w:firstLine="991"/>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adversely affect our business, operating results, and financial condition.</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SEC and its staff have taken the position that certain crypto assets fall within the definition of a “security” under the</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U.S. federal securities laws, and it is possible the SEC may take this position with respect to other assets that may be transacted on our platform. Certain legal tests for determining whether any given asset is a security may require highly complex and fact-driven analyses, and the outcome is difficult to predict. The SEC, as well as other regulators, have been increasingly focused on the regulation of crypto, which has impacted and will continue to impact our business. In recent months, the SEC has alleged a number of additional crypto assets to be securities in the course of enforcement actions and lawsuits brought against crypto market participants, including lawsuits brought against the crypto exchanges Bittrex, Coinbase, Binance, and Kraken. Among the crypto assets identified as securities in these actions are assets that were previously listed on Bakkt Crypto’s platform, which Bakkt has since delisted. Prior SEC enforcement activity had not alleged crypto assets made available for trading on or through a Bakkt platform to be securities. It is not clear what actions the SEC will take with respect to those or other crypto assets, including in the course of the SEC inquiry regarding the Bakkt Crypto platform that began prior to Bakkt’s acquisition, or what decisions the courts will reach regarding the status of specific crypto assets as securities. For example, in December 2020, the SEC initiated a lawsuit against Ripple Labs, Inc.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There also remains a significant lack of clarity over whether individual crypto assets that purport to maintain a fixed or “stable” value relative to a fiat currency or other underlying asset, known as “stablecoins,” will be deemed to be “securities.”</w:t>
      </w:r>
    </w:p>
    <w:p>
      <w:pPr>
        <w:spacing w:after="0" w:line="220" w:lineRule="exact"/>
        <w:rPr>
          <w:sz w:val="20"/>
          <w:szCs w:val="20"/>
          <w:color w:val="auto"/>
        </w:rPr>
      </w:pPr>
    </w:p>
    <w:p>
      <w:pPr>
        <w:jc w:val="both"/>
        <w:ind w:right="340" w:firstLine="991"/>
        <w:spacing w:after="0" w:line="256" w:lineRule="auto"/>
        <w:rPr>
          <w:sz w:val="20"/>
          <w:szCs w:val="20"/>
          <w:color w:val="auto"/>
        </w:rPr>
      </w:pPr>
      <w:r>
        <w:rPr>
          <w:rFonts w:ascii="Times New Roman" w:cs="Times New Roman" w:eastAsia="Times New Roman" w:hAnsi="Times New Roman"/>
          <w:sz w:val="17"/>
          <w:szCs w:val="17"/>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w:t>
      </w:r>
    </w:p>
    <w:p>
      <w:pPr>
        <w:spacing w:after="0" w:line="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214" w:lineRule="exact"/>
        <w:rPr>
          <w:sz w:val="20"/>
          <w:szCs w:val="20"/>
          <w:color w:val="auto"/>
        </w:rPr>
      </w:pPr>
    </w:p>
    <w:p>
      <w:pPr>
        <w:ind w:right="100" w:firstLine="991"/>
        <w:spacing w:after="0" w:line="239" w:lineRule="auto"/>
        <w:rPr>
          <w:sz w:val="20"/>
          <w:szCs w:val="20"/>
          <w:color w:val="auto"/>
        </w:rPr>
      </w:pPr>
      <w:r>
        <w:rPr>
          <w:rFonts w:ascii="Times New Roman" w:cs="Times New Roman" w:eastAsia="Times New Roman" w:hAnsi="Times New Roman"/>
          <w:sz w:val="18"/>
          <w:szCs w:val="18"/>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our platform, is uncertain. We will only allow those crypto assets for which we determine there are reasonably strong arguments to conclude that the crypto asset is not a security.</w:t>
      </w:r>
    </w:p>
    <w:p>
      <w:pPr>
        <w:spacing w:after="0" w:line="214" w:lineRule="exact"/>
        <w:rPr>
          <w:sz w:val="20"/>
          <w:szCs w:val="20"/>
          <w:color w:val="auto"/>
        </w:rPr>
      </w:pPr>
    </w:p>
    <w:p>
      <w:pPr>
        <w:jc w:val="both"/>
        <w:ind w:right="40" w:firstLine="991"/>
        <w:spacing w:after="0" w:line="254" w:lineRule="auto"/>
        <w:rPr>
          <w:sz w:val="20"/>
          <w:szCs w:val="20"/>
          <w:color w:val="auto"/>
        </w:rPr>
      </w:pPr>
      <w:r>
        <w:rPr>
          <w:rFonts w:ascii="Times New Roman" w:cs="Times New Roman" w:eastAsia="Times New Roman" w:hAnsi="Times New Roman"/>
          <w:sz w:val="17"/>
          <w:szCs w:val="17"/>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w:t>
      </w:r>
    </w:p>
    <w:p>
      <w:pPr>
        <w:spacing w:after="0" w:line="2"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Regardless of our conclusions, we could be subject to legal or regulatory action in the event the SEC, a state or foreign 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035" w:right="419" w:bottom="1440" w:gutter="0" w:footer="0" w:header="0"/>
        </w:sectPr>
      </w:pPr>
    </w:p>
    <w:bookmarkStart w:id="11" w:name="page12"/>
    <w:bookmarkEnd w:id="11"/>
    <w:p>
      <w:pPr>
        <w:ind w:firstLine="991"/>
        <w:spacing w:after="0"/>
        <w:rPr>
          <w:sz w:val="20"/>
          <w:szCs w:val="20"/>
          <w:color w:val="auto"/>
        </w:rPr>
      </w:pPr>
      <w:r>
        <w:rPr>
          <w:rFonts w:ascii="Times New Roman" w:cs="Times New Roman" w:eastAsia="Times New Roman" w:hAnsi="Times New Roman"/>
          <w:sz w:val="18"/>
          <w:szCs w:val="18"/>
          <w:color w:val="auto"/>
        </w:rPr>
        <w:t xml:space="preserve">In addition, in connection with our acquisition of Bakkt Crypto we have needed to, and if we engage in any other acquisitions in the future, may further need to, update our policies and procedures to account for additional types of crypto assets or additional functionalities, and there may be a delay in adopting uniform policies and procedures relating to the acquired company or in applying such policies and procedures to an acquired company’s crypto assets. In applying our policies and procedures to an acquired company’s crypto assets, we may determine to delist some or all of such company’s crypto assets. See also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are unable to attract, retain or grow our relationships with our existing clients, our business,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12" w:lineRule="exact"/>
        <w:rPr>
          <w:sz w:val="20"/>
          <w:szCs w:val="20"/>
          <w:color w:val="auto"/>
        </w:rPr>
      </w:pPr>
    </w:p>
    <w:p>
      <w:pPr>
        <w:ind w:right="80" w:firstLine="991"/>
        <w:spacing w:after="0" w:line="235" w:lineRule="auto"/>
        <w:rPr>
          <w:sz w:val="20"/>
          <w:szCs w:val="20"/>
          <w:color w:val="auto"/>
        </w:rPr>
      </w:pPr>
      <w:r>
        <w:rPr>
          <w:rFonts w:ascii="Times New Roman" w:cs="Times New Roman" w:eastAsia="Times New Roman" w:hAnsi="Times New Roman"/>
          <w:sz w:val="18"/>
          <w:szCs w:val="18"/>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crypto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w:t>
      </w:r>
    </w:p>
    <w:p>
      <w:pPr>
        <w:spacing w:after="0" w:line="4"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8"/>
          <w:szCs w:val="18"/>
          <w:color w:val="auto"/>
        </w:rPr>
        <w:t>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326" w:lineRule="exact"/>
        <w:rPr>
          <w:sz w:val="20"/>
          <w:szCs w:val="20"/>
          <w:color w:val="auto"/>
        </w:rPr>
      </w:pPr>
    </w:p>
    <w:p>
      <w:pPr>
        <w:ind w:right="1000" w:firstLine="99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50" w:lineRule="exact"/>
        <w:rPr>
          <w:sz w:val="20"/>
          <w:szCs w:val="20"/>
          <w:color w:val="auto"/>
        </w:rPr>
      </w:pPr>
    </w:p>
    <w:p>
      <w:pPr>
        <w:ind w:right="20" w:firstLine="991"/>
        <w:spacing w:after="0" w:line="235" w:lineRule="auto"/>
        <w:rPr>
          <w:sz w:val="20"/>
          <w:szCs w:val="20"/>
          <w:color w:val="auto"/>
        </w:rPr>
      </w:pPr>
      <w:r>
        <w:rPr>
          <w:rFonts w:ascii="Times New Roman" w:cs="Times New Roman" w:eastAsia="Times New Roman" w:hAnsi="Times New Roman"/>
          <w:sz w:val="18"/>
          <w:szCs w:val="18"/>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On</w:t>
      </w:r>
    </w:p>
    <w:p>
      <w:pPr>
        <w:spacing w:after="0" w:line="5"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 On June 23, 2023, an “opt-out” action related to the foregoing class action was filed against Bakkt Holdings, Inc. and the individuals named in the class action. 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are in the process of responding to the SEC and cannot estimate the potential impact, if any, of the resolution of this matter on our business or financial statements at this time, which could be material.</w:t>
      </w:r>
    </w:p>
    <w:p>
      <w:pPr>
        <w:spacing w:after="0" w:line="231" w:lineRule="exact"/>
        <w:rPr>
          <w:sz w:val="20"/>
          <w:szCs w:val="20"/>
          <w:color w:val="auto"/>
        </w:rPr>
      </w:pPr>
    </w:p>
    <w:p>
      <w:pPr>
        <w:ind w:right="80" w:firstLine="991"/>
        <w:spacing w:after="0"/>
        <w:rPr>
          <w:sz w:val="20"/>
          <w:szCs w:val="20"/>
          <w:color w:val="auto"/>
        </w:rPr>
      </w:pPr>
      <w:r>
        <w:rPr>
          <w:rFonts w:ascii="Times New Roman" w:cs="Times New Roman" w:eastAsia="Times New Roman" w:hAnsi="Times New Roman"/>
          <w:sz w:val="18"/>
          <w:szCs w:val="18"/>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093" w:right="399" w:bottom="1440" w:gutter="0" w:footer="0" w:header="0"/>
        </w:sectPr>
      </w:pPr>
    </w:p>
    <w:bookmarkStart w:id="12" w:name="page13"/>
    <w:bookmarkEnd w:id="12"/>
    <w:p>
      <w:pPr>
        <w:ind w:right="20" w:firstLine="991"/>
        <w:spacing w:after="0"/>
        <w:rPr>
          <w:sz w:val="20"/>
          <w:szCs w:val="20"/>
          <w:color w:val="auto"/>
        </w:rPr>
      </w:pPr>
      <w:r>
        <w:rPr>
          <w:rFonts w:ascii="Times New Roman" w:cs="Times New Roman" w:eastAsia="Times New Roman" w:hAnsi="Times New Roman"/>
          <w:sz w:val="18"/>
          <w:szCs w:val="18"/>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12" w:lineRule="exact"/>
        <w:rPr>
          <w:sz w:val="20"/>
          <w:szCs w:val="20"/>
          <w:color w:val="auto"/>
        </w:rPr>
      </w:pPr>
    </w:p>
    <w:p>
      <w:pPr>
        <w:ind w:right="180" w:firstLine="991"/>
        <w:spacing w:after="0" w:line="239" w:lineRule="auto"/>
        <w:rPr>
          <w:sz w:val="20"/>
          <w:szCs w:val="20"/>
          <w:color w:val="auto"/>
        </w:rPr>
      </w:pPr>
      <w:r>
        <w:rPr>
          <w:rFonts w:ascii="Times New Roman" w:cs="Times New Roman" w:eastAsia="Times New Roman" w:hAnsi="Times New Roman"/>
          <w:sz w:val="18"/>
          <w:szCs w:val="18"/>
          <w:color w:val="auto"/>
        </w:rPr>
        <w:t>In light of our business model based on crypto, we are also subject to substantial regulatory risks. For more information about the regulatory risks to which our business is subject, see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“Regulatory regimes governing blockchain technologies and crypto are evolving and uncertain, and new legislation, regulations, guidance and enforcement actions have in the past required, and may in the future require, us to alter our business practices” and “Our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228" w:lineRule="exact"/>
        <w:rPr>
          <w:sz w:val="20"/>
          <w:szCs w:val="20"/>
          <w:color w:val="auto"/>
        </w:rPr>
      </w:pPr>
    </w:p>
    <w:p>
      <w:pPr>
        <w:ind w:right="60" w:firstLine="991"/>
        <w:spacing w:after="0"/>
        <w:rPr>
          <w:sz w:val="20"/>
          <w:szCs w:val="20"/>
          <w:color w:val="auto"/>
        </w:rPr>
      </w:pPr>
      <w:r>
        <w:rPr>
          <w:rFonts w:ascii="Times New Roman" w:cs="Times New Roman" w:eastAsia="Times New Roman" w:hAnsi="Times New Roman"/>
          <w:sz w:val="18"/>
          <w:szCs w:val="18"/>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continue as a going concern.</w:t>
      </w:r>
    </w:p>
    <w:p>
      <w:pPr>
        <w:spacing w:after="0" w:line="229" w:lineRule="exact"/>
        <w:rPr>
          <w:sz w:val="20"/>
          <w:szCs w:val="20"/>
          <w:color w:val="auto"/>
        </w:rPr>
      </w:pPr>
    </w:p>
    <w:p>
      <w:pPr>
        <w:ind w:firstLine="991"/>
        <w:spacing w:after="0"/>
        <w:rPr>
          <w:sz w:val="20"/>
          <w:szCs w:val="20"/>
          <w:color w:val="auto"/>
        </w:rPr>
      </w:pPr>
      <w:r>
        <w:rPr>
          <w:rFonts w:ascii="Times New Roman" w:cs="Times New Roman" w:eastAsia="Times New Roman" w:hAnsi="Times New Roman"/>
          <w:sz w:val="18"/>
          <w:szCs w:val="18"/>
          <w:color w:val="auto"/>
        </w:rPr>
        <w:t>Our unaudited condensed consolidated financial statements as of September 30, 2023 were prepared under the assumption that we would continue as a going concern for the next twelve months from the date we filed the Original Form 10-Q, which contemplated the realization of assets and the satisfaction of liabilities in the normal course of business and did not include any adjustments relating to recoverability and the classification of recorded asset amounts or the amounts and classification of liabilities that might result from the outcome of certain uncertainties.</w:t>
      </w:r>
    </w:p>
    <w:p>
      <w:pPr>
        <w:spacing w:after="0" w:line="212" w:lineRule="exact"/>
        <w:rPr>
          <w:sz w:val="20"/>
          <w:szCs w:val="20"/>
          <w:color w:val="auto"/>
        </w:rPr>
      </w:pPr>
    </w:p>
    <w:p>
      <w:pPr>
        <w:ind w:right="40" w:firstLine="991"/>
        <w:spacing w:after="0" w:line="238" w:lineRule="auto"/>
        <w:rPr>
          <w:sz w:val="20"/>
          <w:szCs w:val="20"/>
          <w:color w:val="auto"/>
        </w:rPr>
      </w:pPr>
      <w:r>
        <w:rPr>
          <w:rFonts w:ascii="Times New Roman" w:cs="Times New Roman" w:eastAsia="Times New Roman" w:hAnsi="Times New Roman"/>
          <w:sz w:val="18"/>
          <w:szCs w:val="18"/>
          <w:color w:val="auto"/>
        </w:rPr>
        <w:t>Subsequent to the filing of the Original Form 10-Q and in connection with the filing of this Amended Form 10-Q, we have determined that we do not believe that our cash and restricted cash are sufficient to fund our operations for the 12 months following the date of this Amended Form 10-Q. There is significant uncertainty associated with our expansion to new markets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 As a result of our expected operating losses and cash burn for the foreseeable future and recurring losses from operations, if we are unable to raise sufficient capital through additional debt or equity arrangements, there will be uncertainty regarding our ability to maintain liquidity sufficient to operate our business effectively, which has raised substantial doubt as to our ability to continue as a going concern. If we cannot continue as a viable entity, our stockholders would likely lose most or all of their investment in us.</w:t>
      </w:r>
    </w:p>
    <w:p>
      <w:pPr>
        <w:spacing w:after="0" w:line="218" w:lineRule="exact"/>
        <w:rPr>
          <w:sz w:val="20"/>
          <w:szCs w:val="20"/>
          <w:color w:val="auto"/>
        </w:rPr>
      </w:pPr>
    </w:p>
    <w:p>
      <w:pPr>
        <w:ind w:right="60" w:firstLine="991"/>
        <w:spacing w:after="0" w:line="237" w:lineRule="auto"/>
        <w:rPr>
          <w:sz w:val="20"/>
          <w:szCs w:val="20"/>
          <w:color w:val="auto"/>
        </w:rPr>
      </w:pPr>
      <w:r>
        <w:rPr>
          <w:rFonts w:ascii="Times New Roman" w:cs="Times New Roman" w:eastAsia="Times New Roman" w:hAnsi="Times New Roman"/>
          <w:sz w:val="18"/>
          <w:szCs w:val="18"/>
          <w:color w:val="auto"/>
        </w:rPr>
        <w:t>As we are currently unable to generate sustainable operating profit and sufficient cash flows, we have determined that our future success will depend on our ability to raise capital.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w:t>
      </w:r>
    </w:p>
    <w:p>
      <w:pPr>
        <w:spacing w:after="0" w:line="212"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50" w:lineRule="exact"/>
        <w:rPr>
          <w:sz w:val="20"/>
          <w:szCs w:val="20"/>
          <w:color w:val="auto"/>
        </w:rPr>
      </w:pPr>
    </w:p>
    <w:p>
      <w:pPr>
        <w:ind w:right="400" w:firstLine="991"/>
        <w:spacing w:after="0" w:line="239" w:lineRule="auto"/>
        <w:rPr>
          <w:sz w:val="20"/>
          <w:szCs w:val="20"/>
          <w:color w:val="auto"/>
        </w:rPr>
      </w:pPr>
      <w:r>
        <w:rPr>
          <w:rFonts w:ascii="Times New Roman" w:cs="Times New Roman" w:eastAsia="Times New Roman" w:hAnsi="Times New Roman"/>
          <w:sz w:val="18"/>
          <w:szCs w:val="18"/>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 Furthermore, in accordance with SEC guidance, our assessment of our internal controls over financial reporting has excluded Bakkt Crypto. There is no assurance that we will not identify control deficiencies or material weaknesses when our assessment include Bakkt Crypto in future periods.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093" w:right="479" w:bottom="1440" w:gutter="0" w:footer="0" w:header="0"/>
        </w:sectPr>
      </w:pPr>
    </w:p>
    <w:bookmarkStart w:id="13" w:name="page14"/>
    <w:bookmarkEnd w:id="13"/>
    <w:p>
      <w:pPr>
        <w:ind w:right="140" w:firstLine="991"/>
        <w:spacing w:after="0" w:line="24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27"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3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226" w:lineRule="exact"/>
        <w:rPr>
          <w:sz w:val="20"/>
          <w:szCs w:val="20"/>
          <w:color w:val="auto"/>
        </w:rPr>
      </w:pPr>
    </w:p>
    <w:p>
      <w:pPr>
        <w:ind w:right="400" w:firstLine="99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198" w:lineRule="exact"/>
        <w:rPr>
          <w:sz w:val="20"/>
          <w:szCs w:val="20"/>
          <w:color w:val="auto"/>
        </w:rPr>
      </w:pPr>
    </w:p>
    <w:p>
      <w:pPr>
        <w:ind w:right="240" w:firstLine="991"/>
        <w:spacing w:after="0" w:line="242" w:lineRule="auto"/>
        <w:rPr>
          <w:sz w:val="20"/>
          <w:szCs w:val="20"/>
          <w:color w:val="auto"/>
        </w:rPr>
      </w:pPr>
      <w:r>
        <w:rPr>
          <w:rFonts w:ascii="Times New Roman" w:cs="Times New Roman" w:eastAsia="Times New Roman" w:hAnsi="Times New Roman"/>
          <w:sz w:val="18"/>
          <w:szCs w:val="18"/>
          <w:color w:val="auto"/>
        </w:rPr>
        <w:t>Our securities are currently listed on NYSE. However, we cannot assure you that we will be able to meet the NYSE’s continued listing requirements for our common stock or our warrants in the future. For example, as of November 13, 2023, our stock price had closed below $1.00 for the preceding nine consecutive trading days and, if it does not increase, we may receive a written notification from the NYSE that we are not in compliance with the continued listing standard set forth in Section 802.01C of the NYSE Listed Company Manual, which requires that the closing price of our Class A Common Stock</w:t>
      </w:r>
    </w:p>
    <w:p>
      <w:pPr>
        <w:spacing w:after="0" w:line="23"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is not less than an average of $1.00 per share over a consecutive 30 trading-day period. While the NYSE rules generally provide for a six-month period to return to compliance following delivery of a noncompliance notice including by taking an action that will require approval of our shareholders, there can be no assurances that we will be able to achieve compliance with the minimum bid price requirements or any other listing requirements during such period, or at all.</w:t>
      </w:r>
    </w:p>
    <w:p>
      <w:pPr>
        <w:spacing w:after="0" w:line="225" w:lineRule="exact"/>
        <w:rPr>
          <w:sz w:val="20"/>
          <w:szCs w:val="20"/>
          <w:color w:val="auto"/>
        </w:rPr>
      </w:pPr>
    </w:p>
    <w:p>
      <w:pPr>
        <w:jc w:val="both"/>
        <w:ind w:right="380" w:firstLine="991"/>
        <w:spacing w:after="0" w:line="250" w:lineRule="auto"/>
        <w:rPr>
          <w:sz w:val="20"/>
          <w:szCs w:val="20"/>
          <w:color w:val="auto"/>
        </w:rPr>
      </w:pPr>
      <w:r>
        <w:rPr>
          <w:rFonts w:ascii="Times New Roman" w:cs="Times New Roman" w:eastAsia="Times New Roman" w:hAnsi="Times New Roman"/>
          <w:sz w:val="18"/>
          <w:szCs w:val="18"/>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69" w:lineRule="exact"/>
        <w:rPr>
          <w:sz w:val="20"/>
          <w:szCs w:val="20"/>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0" w:lineRule="exact"/>
        <w:rPr>
          <w:rFonts w:ascii="Times New Roman" w:cs="Times New Roman" w:eastAsia="Times New Roman" w:hAnsi="Times New Roman"/>
          <w:sz w:val="18"/>
          <w:szCs w:val="18"/>
          <w:color w:val="auto"/>
        </w:rPr>
      </w:pPr>
    </w:p>
    <w:p>
      <w:pPr>
        <w:ind w:left="980" w:right="240" w:hanging="32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54"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ectPr>
          <w:pgSz w:w="11900" w:h="16838" w:orient="portrait"/>
          <w:cols w:equalWidth="0" w:num="1">
            <w:col w:w="10940"/>
          </w:cols>
          <w:pgMar w:left="480" w:top="1201" w:right="479" w:bottom="10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201" w:right="479" w:bottom="1090" w:gutter="0" w:footer="0" w:header="0"/>
          <w:type w:val="continuous"/>
        </w:sectPr>
      </w:pPr>
    </w:p>
    <w:bookmarkStart w:id="14" w:name="page15"/>
    <w:bookmarkEnd w:id="14"/>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140" w:firstLine="991"/>
        <w:spacing w:after="0" w:line="242" w:lineRule="auto"/>
        <w:rPr>
          <w:sz w:val="20"/>
          <w:szCs w:val="20"/>
          <w:color w:val="auto"/>
        </w:rPr>
      </w:pPr>
      <w:r>
        <w:rPr>
          <w:rFonts w:ascii="Times New Roman" w:cs="Times New Roman" w:eastAsia="Times New Roman" w:hAnsi="Times New Roman"/>
          <w:sz w:val="18"/>
          <w:szCs w:val="18"/>
          <w:color w:val="auto"/>
        </w:rPr>
        <w:t>We are providing an update to our business activities following our acquisition of Bakkt Crypto, formerly Apex Crypto, on April 1, 2023. Effective June 12, 2023, we changed the name of Apex Crypto to Bakkt Crypto. This business update should be read together with “Item 1. Business” and “Item 1A. Risk Factors” in the Company’s Annual Report on Form 10-K for the fiscal year ended December 31, 2023, “Item 2. Management’s Discussion and Analysis of Financial Condition and Results of Operations – Recent Developments” in the Original Form 10-Q and “Item 1A. Risk Factors” in this Amended Form 10-Q.</w:t>
      </w:r>
    </w:p>
    <w:p>
      <w:pPr>
        <w:spacing w:after="0" w:line="212" w:lineRule="exact"/>
        <w:rPr>
          <w:sz w:val="20"/>
          <w:szCs w:val="20"/>
          <w:color w:val="auto"/>
        </w:rPr>
      </w:pPr>
    </w:p>
    <w:p>
      <w:pPr>
        <w:ind w:right="160" w:firstLine="991"/>
        <w:spacing w:after="0" w:line="242" w:lineRule="auto"/>
        <w:rPr>
          <w:sz w:val="20"/>
          <w:szCs w:val="20"/>
          <w:color w:val="auto"/>
        </w:rPr>
      </w:pPr>
      <w:r>
        <w:rPr>
          <w:rFonts w:ascii="Times New Roman" w:cs="Times New Roman" w:eastAsia="Times New Roman" w:hAnsi="Times New Roman"/>
          <w:sz w:val="18"/>
          <w:szCs w:val="18"/>
          <w:color w:val="auto"/>
        </w:rPr>
        <w:t>Some of the information contained in this update,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in “Cautionary Statement Regarding Forward-Looking Statements” and “Item 1A. Risk Factors” in this Amended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this Amended Form 10-Q, we use the following terms, which are defined as follows:</w:t>
      </w:r>
    </w:p>
    <w:p>
      <w:pPr>
        <w:spacing w:after="0" w:line="86" w:lineRule="exact"/>
        <w:rPr>
          <w:sz w:val="20"/>
          <w:szCs w:val="20"/>
          <w:color w:val="auto"/>
        </w:rPr>
      </w:pPr>
    </w:p>
    <w:p>
      <w:pPr>
        <w:ind w:left="980" w:hanging="328"/>
        <w:spacing w:after="0" w:line="266" w:lineRule="auto"/>
        <w:tabs>
          <w:tab w:leader="none" w:pos="96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Client </w:t>
      </w:r>
      <w:r>
        <w:rPr>
          <w:rFonts w:ascii="Times New Roman" w:cs="Times New Roman" w:eastAsia="Times New Roman" w:hAnsi="Times New Roman"/>
          <w:sz w:val="17"/>
          <w:szCs w:val="17"/>
          <w:color w:val="auto"/>
        </w:rPr>
        <w:t>means businesses with whom we contract to provide services to customers on our platform, and includes financial institutions,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hedge funds, merchants, retailers, third party partners, and other businesses (except in the accompanying notes to the consolidated financial statements, where we refer to revenue earned from customers, instead of clients). The term customers is in accordance with the Financial Accounting Standards Board (“FASB”) Accounting Standards Codification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w:t>
      </w:r>
    </w:p>
    <w:p>
      <w:pPr>
        <w:spacing w:after="0" w:line="51" w:lineRule="exact"/>
        <w:rPr>
          <w:rFonts w:ascii="Times New Roman" w:cs="Times New Roman" w:eastAsia="Times New Roman" w:hAnsi="Times New Roman"/>
          <w:sz w:val="17"/>
          <w:szCs w:val="17"/>
          <w:color w:val="auto"/>
        </w:rPr>
      </w:pPr>
    </w:p>
    <w:p>
      <w:pPr>
        <w:jc w:val="both"/>
        <w:ind w:left="980" w:right="300" w:hanging="328"/>
        <w:spacing w:after="0" w:line="252"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assets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crypto</w:t>
      </w:r>
      <w:r>
        <w:rPr>
          <w:rFonts w:ascii="Times New Roman" w:cs="Times New Roman" w:eastAsia="Times New Roman" w:hAnsi="Times New Roman"/>
          <w:sz w:val="18"/>
          <w:szCs w:val="18"/>
          <w:color w:val="auto"/>
        </w:rPr>
        <w:t>) means an asset that is built using blockchain technology, including virtual currencies (as used in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coins, cryptocurrencies, stablecoins, and other tokens. Our platform enables transactions in certain supported crypto assets. For purposes of this Amended Form 10-Q, we use crypto assets, virtual currency, coins, and tokens interchangeably.</w:t>
      </w:r>
    </w:p>
    <w:p>
      <w:pPr>
        <w:spacing w:after="0" w:line="63" w:lineRule="exact"/>
        <w:rPr>
          <w:rFonts w:ascii="Times New Roman" w:cs="Times New Roman" w:eastAsia="Times New Roman" w:hAnsi="Times New Roman"/>
          <w:sz w:val="18"/>
          <w:szCs w:val="18"/>
          <w:color w:val="auto"/>
        </w:rPr>
      </w:pPr>
    </w:p>
    <w:p>
      <w:pPr>
        <w:jc w:val="both"/>
        <w:ind w:left="980" w:right="780" w:hanging="328"/>
        <w:spacing w:after="0" w:line="252"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loyalty clients who use our platform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 in loyalty points, as well as customers of our clients who transact in crypto through, and have accounts on, our platform (except as defined for ASC 606 purposes above).</w:t>
      </w:r>
    </w:p>
    <w:p>
      <w:pPr>
        <w:spacing w:after="0" w:line="6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Loyalty points </w:t>
      </w:r>
      <w:r>
        <w:rPr>
          <w:rFonts w:ascii="Times New Roman" w:cs="Times New Roman" w:eastAsia="Times New Roman" w:hAnsi="Times New Roman"/>
          <w:sz w:val="18"/>
          <w:szCs w:val="18"/>
          <w:color w:val="auto"/>
        </w:rPr>
        <w:t>means loyalty and/or reward points that are issued by clients to their customers.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440"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operate primarily through the following entities:</w:t>
      </w:r>
    </w:p>
    <w:p>
      <w:pPr>
        <w:spacing w:after="0" w:line="104" w:lineRule="exact"/>
        <w:rPr>
          <w:sz w:val="20"/>
          <w:szCs w:val="20"/>
          <w:color w:val="auto"/>
        </w:rPr>
      </w:pPr>
    </w:p>
    <w:p>
      <w:pPr>
        <w:ind w:left="980" w:hanging="328"/>
        <w:spacing w:after="0" w:line="236"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Marketplace, LLC (“Bakkt Marketplace”) and Bakkt Crypto – through these entities we operate integrated platforms that provide customers with the ability to buy, sell and store crypto in a simple, intuitive digital experience accessed via application programming interfaces (“APIs”) or embedded web experience. Bakkt Marketplace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United States Department of the Treasury. Bakkt Crypto similarly holds a BitLicense and money transmitter licenses in various states, where its business requires. Currently, all of the outstanding equity interests of Bakkt Crypto are held by Bakkt Marketplace. The Bakkt Crypto and Bakkt Marketplace platforms generally are operated separately, though Bakkt Marketplace provides fiat funding services to Bakkt Crypto in instances where a client does not have that capability. The Bakkt Marketplace platform was originally conceived and built in connection with a consumer app that enabled crypto asset transactions, and, at the time, represented a direct-to consumer business model, which is no longer being pursued by the Company. In contrast, the Bakkt Crypto platform was originally conceived and built as an embedded crypto trading platform that would be integrated into client environments to service customers in those environments. Subject to applicable regulatory approvals, which we are presently pursuing, we intend to merge Bakkt Crypto with and into Bakkt Marketplace, with the surviving entity of the merger to be renamed Bakkt Crypto Solutions, LLC. The two platforms will then be combined into one business, which will be operated by the surviving entity. Similar to the Bakkt Crypto business model, the combined business will focus on a client-led, or “business-to-business-to-consumer” (“B2B2C”), strategy in which crypto asset solutions can be embedded into client environments.</w:t>
      </w:r>
    </w:p>
    <w:p>
      <w:pPr>
        <w:spacing w:after="0" w:line="76" w:lineRule="exact"/>
        <w:rPr>
          <w:rFonts w:ascii="Times New Roman" w:cs="Times New Roman" w:eastAsia="Times New Roman" w:hAnsi="Times New Roman"/>
          <w:sz w:val="18"/>
          <w:szCs w:val="18"/>
          <w:color w:val="auto"/>
        </w:rPr>
      </w:pPr>
    </w:p>
    <w:p>
      <w:pPr>
        <w:ind w:left="980" w:right="120" w:hanging="328"/>
        <w:spacing w:after="0" w:line="242"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Trust is a New York limited-purpose trust company that is chartered by and subject to the supervision and oversight of New York Department of Financial Services and governed by an independent Board of Managers. Bakkt Trust provides our institutional-grade qualified custody solution, which caters to more experienced market participants and also supports our consumer-facing crypto business. Bakkt Trust’s custody solution also provides support to Bakkt Marketplace with respect to all crypto assets supported by the Company. See “</w:t>
      </w:r>
      <w:r>
        <w:rPr>
          <w:rFonts w:ascii="Times New Roman" w:cs="Times New Roman" w:eastAsia="Times New Roman" w:hAnsi="Times New Roman"/>
          <w:sz w:val="18"/>
          <w:szCs w:val="18"/>
          <w:i w:val="1"/>
          <w:iCs w:val="1"/>
          <w:color w:val="auto"/>
        </w:rPr>
        <w:t>—Crypto Assets and Services Offered by Bakkt.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We acquired Bumped Financial, LLC (“Bumped”) (renamed Bakkt Brokerage), a registered broker-dealer, in February 2023. Bakkt Brokerage is not engaged in any business activities at this time and we have no current plans for it to engage in future business activities.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Bakkt Crypto</w:t>
      </w:r>
    </w:p>
    <w:p>
      <w:pPr>
        <w:spacing w:after="0" w:line="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April 2023, we acquired Apex Crypto, a platform for integrated crypto trading, which we renamed Bakkt Crypto. This</w:t>
      </w:r>
    </w:p>
    <w:p>
      <w:pPr>
        <w:spacing w:after="0" w:line="1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platform supports clients with a range of crypto solutions.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229" w:lineRule="exact"/>
        <w:rPr>
          <w:sz w:val="20"/>
          <w:szCs w:val="20"/>
          <w:color w:val="auto"/>
        </w:rPr>
      </w:pPr>
    </w:p>
    <w:p>
      <w:pPr>
        <w:ind w:right="80" w:firstLine="991"/>
        <w:spacing w:after="0" w:line="237"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03" w:right="479" w:bottom="1440" w:gutter="0" w:footer="0" w:header="0"/>
        </w:sectPr>
      </w:pPr>
    </w:p>
    <w:bookmarkStart w:id="16" w:name="page17"/>
    <w:bookmarkEnd w:id="16"/>
    <w:p>
      <w:pPr>
        <w:spacing w:after="0" w:line="239" w:lineRule="auto"/>
        <w:rPr>
          <w:sz w:val="20"/>
          <w:szCs w:val="20"/>
          <w:color w:val="auto"/>
        </w:rPr>
      </w:pPr>
      <w:r>
        <w:rPr>
          <w:rFonts w:ascii="Times New Roman" w:cs="Times New Roman" w:eastAsia="Times New Roman" w:hAnsi="Times New Roman"/>
          <w:sz w:val="18"/>
          <w:szCs w:val="18"/>
          <w:color w:val="auto"/>
        </w:rPr>
        <w:t>Bakkt Crypto is regularly exploring additional ways to innovate and provide additional products and services to its clients. Bakkt Crypto is in the process of developing, subject to applicable regulatory approvals, a solution to facilitate international remittances where users can remit fiat currency, with Bakkt leveraging crypto rails to settle the transaction, and conversion of certain loyalty and rewards points into supported crypto assets.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Hapi Crypto. Bakkt Crypto executes a de minimis amount of trades for entity accounts in jurisdictions other than the State of New York. Subject to applicable regulatory approvals, Bakkt Crypto intends to expand the provision of trading services for institutional clients.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Market Developments</w:t>
      </w:r>
    </w:p>
    <w:p>
      <w:pPr>
        <w:spacing w:after="0" w:line="108" w:lineRule="exact"/>
        <w:rPr>
          <w:sz w:val="20"/>
          <w:szCs w:val="20"/>
          <w:color w:val="auto"/>
        </w:rPr>
      </w:pPr>
    </w:p>
    <w:p>
      <w:pPr>
        <w:ind w:right="100" w:firstLine="991"/>
        <w:spacing w:after="0" w:line="238" w:lineRule="auto"/>
        <w:rPr>
          <w:sz w:val="20"/>
          <w:szCs w:val="20"/>
          <w:color w:val="auto"/>
        </w:rPr>
      </w:pPr>
      <w:r>
        <w:rPr>
          <w:rFonts w:ascii="Times New Roman" w:cs="Times New Roman" w:eastAsia="Times New Roman" w:hAnsi="Times New Roman"/>
          <w:sz w:val="18"/>
          <w:szCs w:val="18"/>
          <w:color w:val="auto"/>
        </w:rPr>
        <w:t>Over approximately the last eighteen months, the crypto markets were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and BlockFi.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spacing w:after="0" w:line="218" w:lineRule="exact"/>
        <w:rPr>
          <w:sz w:val="20"/>
          <w:szCs w:val="20"/>
          <w:color w:val="auto"/>
        </w:rPr>
      </w:pPr>
    </w:p>
    <w:p>
      <w:pPr>
        <w:ind w:right="260" w:firstLine="991"/>
        <w:spacing w:after="0" w:line="250" w:lineRule="auto"/>
        <w:rPr>
          <w:sz w:val="20"/>
          <w:szCs w:val="20"/>
          <w:color w:val="auto"/>
        </w:rPr>
      </w:pPr>
      <w:r>
        <w:rPr>
          <w:rFonts w:ascii="Times New Roman" w:cs="Times New Roman" w:eastAsia="Times New Roman" w:hAnsi="Times New Roman"/>
          <w:sz w:val="18"/>
          <w:szCs w:val="18"/>
          <w:color w:val="auto"/>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spacing w:after="0" w:line="217" w:lineRule="exact"/>
        <w:rPr>
          <w:sz w:val="20"/>
          <w:szCs w:val="20"/>
          <w:color w:val="auto"/>
        </w:rPr>
      </w:pPr>
    </w:p>
    <w:p>
      <w:pPr>
        <w:ind w:right="280" w:firstLine="991"/>
        <w:spacing w:after="0" w:line="239" w:lineRule="auto"/>
        <w:rPr>
          <w:sz w:val="20"/>
          <w:szCs w:val="20"/>
          <w:color w:val="auto"/>
        </w:rPr>
      </w:pPr>
      <w:r>
        <w:rPr>
          <w:rFonts w:ascii="Times New Roman" w:cs="Times New Roman" w:eastAsia="Times New Roman" w:hAnsi="Times New Roman"/>
          <w:sz w:val="18"/>
          <w:szCs w:val="18"/>
          <w:color w:val="auto"/>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For more information see “</w:t>
      </w:r>
      <w:r>
        <w:rPr>
          <w:rFonts w:ascii="Times New Roman" w:cs="Times New Roman" w:eastAsia="Times New Roman" w:hAnsi="Times New Roman"/>
          <w:sz w:val="18"/>
          <w:szCs w:val="18"/>
          <w:i w:val="1"/>
          <w:iCs w:val="1"/>
          <w:color w:val="auto"/>
        </w:rPr>
        <w:t>—Regulation—Regulation of Our Virtual Currency Business</w:t>
      </w:r>
      <w:r>
        <w:rPr>
          <w:rFonts w:ascii="Times New Roman" w:cs="Times New Roman" w:eastAsia="Times New Roman" w:hAnsi="Times New Roman"/>
          <w:sz w:val="18"/>
          <w:szCs w:val="18"/>
          <w:color w:val="auto"/>
        </w:rPr>
        <w:t>,”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Assets and Services Offered by Bakkt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Customers</w:t>
      </w:r>
    </w:p>
    <w:p>
      <w:pPr>
        <w:spacing w:after="0" w:line="108"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We currently provide, or intend to provide, the following crypto-related services for retail customers. These services are provided through our clients which have a direct relationship with such customers and utilize our trading platform and custody services.</w:t>
      </w:r>
    </w:p>
    <w:p>
      <w:pPr>
        <w:spacing w:after="0" w:line="54" w:lineRule="exact"/>
        <w:rPr>
          <w:sz w:val="20"/>
          <w:szCs w:val="20"/>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asset trading;</w:t>
      </w:r>
    </w:p>
    <w:p>
      <w:pPr>
        <w:spacing w:after="0" w:line="9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custody services for the crypto assets supported for trading;</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transfers of crypto assets (through Bakkt Crypto); and</w:t>
      </w:r>
    </w:p>
    <w:p>
      <w:pPr>
        <w:spacing w:after="0" w:line="10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rewards (expected to become available in the first quarter of 2024).</w:t>
      </w:r>
    </w:p>
    <w:p>
      <w:pPr>
        <w:spacing w:after="0" w:line="25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Our management regularly considers whether to make any potential additional crypto assets available on our platform, consistent with our policies and procedures. See “</w:t>
      </w:r>
      <w:r>
        <w:rPr>
          <w:rFonts w:ascii="Times New Roman" w:cs="Times New Roman" w:eastAsia="Times New Roman" w:hAnsi="Times New Roman"/>
          <w:sz w:val="18"/>
          <w:szCs w:val="18"/>
          <w:i w:val="1"/>
          <w:iCs w:val="1"/>
          <w:color w:val="auto"/>
        </w:rPr>
        <w:t>—Policies and Procedures—Listing-Related Policies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Bakkt Crypto, Bakkt Marketplace and Bakkt Trust facilitate transactions in, and provide services for, the crypto assets listed in the tables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093" w:right="399" w:bottom="1440" w:gutter="0" w:footer="0" w:header="0"/>
        </w:sectPr>
      </w:pPr>
    </w:p>
    <w:bookmarkStart w:id="17" w:name="page18"/>
    <w:bookmarkEnd w:id="17"/>
    <w:p>
      <w:pPr>
        <w:ind w:left="1940"/>
        <w:spacing w:after="0"/>
        <w:rPr>
          <w:sz w:val="20"/>
          <w:szCs w:val="20"/>
          <w:color w:val="auto"/>
        </w:rPr>
      </w:pPr>
      <w:r>
        <w:rPr>
          <w:rFonts w:ascii="Times New Roman" w:cs="Times New Roman" w:eastAsia="Times New Roman" w:hAnsi="Times New Roman"/>
          <w:sz w:val="18"/>
          <w:szCs w:val="18"/>
          <w:u w:val="single" w:color="auto"/>
          <w:color w:val="0C0C0C"/>
        </w:rPr>
        <w:t>Bakkt Marketplace / Bakkt Crypto</w:t>
      </w:r>
    </w:p>
    <w:p>
      <w:pPr>
        <w:spacing w:after="0" w:line="189"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color w:val="auto"/>
              </w:rPr>
              <w:t>Supported For</w:t>
            </w:r>
          </w:p>
        </w:tc>
        <w:tc>
          <w:tcPr>
            <w:tcW w:w="1600" w:type="dxa"/>
            <w:vAlign w:val="bottom"/>
            <w:tcBorders>
              <w:bottom w:val="single" w:sz="8" w:color="auto"/>
            </w:tcBorders>
          </w:tcPr>
          <w:p>
            <w:pPr>
              <w:spacing w:after="0"/>
              <w:rPr>
                <w:sz w:val="18"/>
                <w:szCs w:val="18"/>
                <w:color w:val="auto"/>
              </w:rPr>
            </w:pPr>
          </w:p>
        </w:tc>
      </w:tr>
      <w:tr>
        <w:trPr>
          <w:trHeight w:val="21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Crypto Asset</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Symbol</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Trading</w:t>
            </w:r>
          </w:p>
        </w:tc>
        <w:tc>
          <w:tcPr>
            <w:tcW w:w="14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Transfers</w:t>
            </w:r>
          </w:p>
        </w:tc>
        <w:tc>
          <w:tcPr>
            <w:tcW w:w="16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Rewards</w:t>
            </w:r>
          </w:p>
        </w:tc>
      </w:tr>
      <w:tr>
        <w:trPr>
          <w:trHeight w:val="207"/>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80" w:type="dxa"/>
            <w:vAlign w:val="bottom"/>
          </w:tcPr>
          <w:p>
            <w:pPr>
              <w:spacing w:after="0"/>
              <w:rPr>
                <w:sz w:val="17"/>
                <w:szCs w:val="17"/>
                <w:color w:val="auto"/>
              </w:rPr>
            </w:pPr>
          </w:p>
        </w:tc>
        <w:tc>
          <w:tcPr>
            <w:tcW w:w="1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BTC</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100" w:type="dxa"/>
            <w:vAlign w:val="bottom"/>
          </w:tcPr>
          <w:p>
            <w:pPr>
              <w:spacing w:after="0"/>
              <w:rPr>
                <w:sz w:val="17"/>
                <w:szCs w:val="17"/>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Planned Q1 2024</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Bitcoin Cash</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BCH</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Dogecoin</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Ethereum</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Etherum Classic</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ETC</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Litecoin</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LTC</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Shiba Inu</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 Coin</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USDC</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Yes*</w:t>
            </w: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w:t>
            </w:r>
          </w:p>
        </w:tc>
      </w:tr>
    </w:tbl>
    <w:p>
      <w:pPr>
        <w:spacing w:after="0" w:line="199" w:lineRule="exact"/>
        <w:rPr>
          <w:sz w:val="20"/>
          <w:szCs w:val="20"/>
          <w:color w:val="auto"/>
        </w:rPr>
      </w:pPr>
    </w:p>
    <w:p>
      <w:pPr>
        <w:ind w:left="800" w:hanging="154"/>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State of New York</w:t>
      </w:r>
    </w:p>
    <w:p>
      <w:pPr>
        <w:spacing w:after="0" w:line="152" w:lineRule="exact"/>
        <w:rPr>
          <w:rFonts w:ascii="Times New Roman" w:cs="Times New Roman" w:eastAsia="Times New Roman" w:hAnsi="Times New Roman"/>
          <w:sz w:val="20"/>
          <w:szCs w:val="20"/>
          <w:color w:val="auto"/>
        </w:rPr>
      </w:pPr>
    </w:p>
    <w:p>
      <w:pPr>
        <w:ind w:left="1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0C0C0C"/>
        </w:rPr>
        <w:t>Bakkt Trust</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6"/>
                <w:szCs w:val="16"/>
                <w:color w:val="auto"/>
              </w:rPr>
              <w:t>Supported for</w:t>
            </w:r>
          </w:p>
        </w:tc>
        <w:tc>
          <w:tcPr>
            <w:tcW w:w="1040" w:type="dxa"/>
            <w:vAlign w:val="bottom"/>
            <w:tcBorders>
              <w:bottom w:val="single" w:sz="8" w:color="auto"/>
            </w:tcBorders>
          </w:tcPr>
          <w:p>
            <w:pPr>
              <w:spacing w:after="0"/>
              <w:rPr>
                <w:sz w:val="18"/>
                <w:szCs w:val="18"/>
                <w:color w:val="auto"/>
              </w:rPr>
            </w:pPr>
          </w:p>
        </w:tc>
      </w:tr>
      <w:tr>
        <w:trPr>
          <w:trHeight w:val="21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Crypto Asset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Symbol</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Custody</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Transfers</w:t>
            </w:r>
          </w:p>
        </w:tc>
      </w:tr>
      <w:tr>
        <w:trPr>
          <w:trHeight w:val="207"/>
        </w:trPr>
        <w:tc>
          <w:tcPr>
            <w:tcW w:w="2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80" w:type="dxa"/>
            <w:vAlign w:val="bottom"/>
          </w:tcPr>
          <w:p>
            <w:pPr>
              <w:spacing w:after="0"/>
              <w:rPr>
                <w:sz w:val="17"/>
                <w:szCs w:val="17"/>
                <w:color w:val="auto"/>
              </w:rPr>
            </w:pPr>
          </w:p>
        </w:tc>
        <w:tc>
          <w:tcPr>
            <w:tcW w:w="1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BTC</w:t>
            </w:r>
          </w:p>
        </w:tc>
        <w:tc>
          <w:tcPr>
            <w:tcW w:w="80" w:type="dxa"/>
            <w:vAlign w:val="bottom"/>
          </w:tcPr>
          <w:p>
            <w:pPr>
              <w:spacing w:after="0"/>
              <w:rPr>
                <w:sz w:val="17"/>
                <w:szCs w:val="17"/>
                <w:color w:val="auto"/>
              </w:rPr>
            </w:pPr>
          </w:p>
        </w:tc>
        <w:tc>
          <w:tcPr>
            <w:tcW w:w="2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8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Bitcoin Cash</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BCH</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Dogecoin</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Ethereum</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Etherum Classic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ETC</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Litecoin</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LTC</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Shiba Inu</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 Coin</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USDC</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bl>
    <w:p>
      <w:pPr>
        <w:spacing w:after="0" w:line="231" w:lineRule="exact"/>
        <w:rPr>
          <w:sz w:val="20"/>
          <w:szCs w:val="20"/>
          <w:color w:val="auto"/>
        </w:rPr>
      </w:pPr>
    </w:p>
    <w:p>
      <w:pPr>
        <w:ind w:firstLine="991"/>
        <w:spacing w:after="0" w:line="250" w:lineRule="auto"/>
        <w:rPr>
          <w:sz w:val="20"/>
          <w:szCs w:val="20"/>
          <w:color w:val="auto"/>
        </w:rPr>
      </w:pPr>
      <w:r>
        <w:rPr>
          <w:rFonts w:ascii="Times New Roman" w:cs="Times New Roman" w:eastAsia="Times New Roman" w:hAnsi="Times New Roman"/>
          <w:sz w:val="17"/>
          <w:szCs w:val="17"/>
          <w:color w:val="auto"/>
        </w:rPr>
        <w:t>Following the acquisition of Bakkt Crypto, and as further detailed in the table below, we delisted 37 of the 45 crypto assets that had historically been available for trading on the Bakkt Crypto platform. We first requested the delisting of certain crypto assets from the Bakkt Crypto platform in connection with our due diligence review of the Bakkt Crypto business in 2022.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This review took into account a number of factors, including: (i) scores assigned to each crypto asset based on a rating framework that weighs various factors drawn from SEC and judicial sources; (ii) whether the crypto asset was sold in an initial coin offering; (iii) whether the crypto asset was backed by a single entity; and (iv) whether the crypto asset used “proof of stake” validation. Our review also accounted for the potential impacts of delisting on our clients and customers. We have also directed the delisting of certain crypto assets in response to charges recently filed by the SEC against crypto asset exchanges alleging that those crypto assets are securities. We believe that these delistings will not have a material impact on our business and results of operations in future periods. While the delisted crypto assets represented approximately 15% of gross profit of Bakkt Crypto at the time of its acquisition by the Company, many of these crypto assets constitute what is referred to in the fintech industry as “meme coins.” Historically, many meme coins have been subject to anecdotal spikes in trading activity that may not repeat for a protracted period of time if at all. In implementing our coin delisting decisions, we have attempted to mitigate impacts on our business and our clients and customers by affording customers a period in which to exit their positions in the impacted crypto assets as part of an orderly wind-down. We expect our listing and delisting decisions to continue to evolve based on relevant regulatory and judicial precedent.</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Crypto Asset (Symbol)</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Delisting</w:t>
            </w:r>
          </w:p>
        </w:tc>
      </w:tr>
      <w:tr>
        <w:trPr>
          <w:trHeight w:val="207"/>
        </w:trPr>
        <w:tc>
          <w:tcPr>
            <w:tcW w:w="5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AMP</w:t>
            </w:r>
          </w:p>
        </w:tc>
        <w:tc>
          <w:tcPr>
            <w:tcW w:w="10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6, 2022</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CRO; DASH; ONE; LUNA; LUNC; ZEC</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15, 2023</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ALGO; MANA</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21, 2023</w:t>
            </w:r>
          </w:p>
        </w:tc>
      </w:tr>
      <w:tr>
        <w:trPr>
          <w:trHeight w:val="168"/>
        </w:trPr>
        <w:tc>
          <w:tcPr>
            <w:tcW w:w="57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COMP; GALA; YFI; LRC; ICP; BAT; LINK; APE; MKR; REN;</w:t>
            </w:r>
          </w:p>
        </w:tc>
        <w:tc>
          <w:tcPr>
            <w:tcW w:w="37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September 19, 2023</w:t>
            </w:r>
          </w:p>
        </w:tc>
      </w:tr>
      <w:tr>
        <w:trPr>
          <w:trHeight w:val="162"/>
        </w:trPr>
        <w:tc>
          <w:tcPr>
            <w:tcW w:w="5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BNT; SNX; ATOM; GRT; AAVE; FIL; XTZ; AVAX; UNI; XLM;</w:t>
            </w:r>
          </w:p>
        </w:tc>
        <w:tc>
          <w:tcPr>
            <w:tcW w:w="3720" w:type="dxa"/>
            <w:vAlign w:val="bottom"/>
          </w:tcPr>
          <w:p>
            <w:pPr>
              <w:spacing w:after="0"/>
              <w:rPr>
                <w:sz w:val="14"/>
                <w:szCs w:val="14"/>
                <w:color w:val="auto"/>
              </w:rPr>
            </w:pPr>
          </w:p>
        </w:tc>
      </w:tr>
      <w:tr>
        <w:trPr>
          <w:trHeight w:val="21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CHZ; SUSHI; CRV; ENJ; FTM; SOL; ADA; MATIC</w:t>
            </w:r>
          </w:p>
        </w:tc>
        <w:tc>
          <w:tcPr>
            <w:tcW w:w="3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7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Crypto Asset Trading</w:t>
      </w:r>
    </w:p>
    <w:p>
      <w:pPr>
        <w:spacing w:after="0" w:line="8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We have agreements with clients that entitle us to receive recurring subscription revenues in the form of platform fees from clients for the use of our platforms by their customers.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Customers may purchase approved crypto assets directly through Bakkt Crypto utilizing one of four funding sources:</w:t>
      </w:r>
    </w:p>
    <w:p>
      <w:pPr>
        <w:spacing w:after="0" w:line="104" w:lineRule="exact"/>
        <w:rPr>
          <w:sz w:val="20"/>
          <w:szCs w:val="20"/>
          <w:color w:val="auto"/>
        </w:rPr>
      </w:pPr>
    </w:p>
    <w:p>
      <w:pPr>
        <w:ind w:left="980" w:hanging="437"/>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1 below);</w:t>
      </w:r>
    </w:p>
    <w:p>
      <w:pPr>
        <w:spacing w:after="0" w:line="103"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Banking as a Service (“BaaS”) provider account (see Fig. 2 below);</w:t>
      </w:r>
    </w:p>
    <w:p>
      <w:pPr>
        <w:spacing w:after="0" w:line="103"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3 below); or</w:t>
      </w:r>
    </w:p>
    <w:p>
      <w:pPr>
        <w:spacing w:after="0" w:line="103" w:lineRule="exact"/>
        <w:rPr>
          <w:rFonts w:ascii="Times New Roman" w:cs="Times New Roman" w:eastAsia="Times New Roman" w:hAnsi="Times New Roman"/>
          <w:sz w:val="18"/>
          <w:szCs w:val="18"/>
          <w:color w:val="auto"/>
        </w:rPr>
      </w:pPr>
    </w:p>
    <w:p>
      <w:pPr>
        <w:ind w:left="980" w:right="500" w:hanging="438"/>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points/rewards account with a participating loyalty client (see Fig. 4 below; expected to become available in the first quarter of 2024).</w:t>
      </w:r>
    </w:p>
    <w:p>
      <w:pPr>
        <w:spacing w:after="0" w:line="1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Customers may sell crypto assets through Bakkt Crypto. The sale proceeds from a sale can be directed to one of three potential customer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w:t>
      </w:r>
    </w:p>
    <w:p>
      <w:pPr>
        <w:spacing w:after="0" w:line="57" w:lineRule="exact"/>
        <w:rPr>
          <w:sz w:val="20"/>
          <w:szCs w:val="20"/>
          <w:color w:val="auto"/>
        </w:rPr>
      </w:pPr>
    </w:p>
    <w:p>
      <w:pPr>
        <w:ind w:left="980" w:hanging="437"/>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5 below);</w:t>
      </w:r>
    </w:p>
    <w:p>
      <w:pPr>
        <w:spacing w:after="0" w:line="90"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BaaS account (see Fig. 6 below); or</w:t>
      </w:r>
    </w:p>
    <w:p>
      <w:pPr>
        <w:spacing w:after="0" w:line="90"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7 below).</w:t>
      </w:r>
    </w:p>
    <w:p>
      <w:pPr>
        <w:spacing w:after="0" w:line="131" w:lineRule="exact"/>
        <w:rPr>
          <w:sz w:val="20"/>
          <w:szCs w:val="20"/>
          <w:color w:val="auto"/>
        </w:rPr>
      </w:pPr>
    </w:p>
    <w:p>
      <w:pPr>
        <w:ind w:right="440" w:firstLine="991"/>
        <w:spacing w:after="0" w:line="245" w:lineRule="auto"/>
        <w:rPr>
          <w:sz w:val="20"/>
          <w:szCs w:val="20"/>
          <w:color w:val="auto"/>
        </w:rPr>
      </w:pPr>
      <w:r>
        <w:rPr>
          <w:rFonts w:ascii="Times New Roman" w:cs="Times New Roman" w:eastAsia="Times New Roman" w:hAnsi="Times New Roman"/>
          <w:sz w:val="18"/>
          <w:szCs w:val="18"/>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100" w:lineRule="exact"/>
        <w:rPr>
          <w:sz w:val="20"/>
          <w:szCs w:val="20"/>
          <w:color w:val="auto"/>
        </w:rPr>
      </w:pPr>
    </w:p>
    <w:p>
      <w:pPr>
        <w:jc w:val="both"/>
        <w:ind w:right="40" w:firstLine="991"/>
        <w:spacing w:after="0" w:line="250" w:lineRule="auto"/>
        <w:rPr>
          <w:sz w:val="20"/>
          <w:szCs w:val="20"/>
          <w:color w:val="auto"/>
        </w:rPr>
      </w:pPr>
      <w:r>
        <w:rPr>
          <w:rFonts w:ascii="Times New Roman" w:cs="Times New Roman" w:eastAsia="Times New Roman" w:hAnsi="Times New Roman"/>
          <w:sz w:val="18"/>
          <w:szCs w:val="18"/>
          <w:color w:val="auto"/>
        </w:rPr>
        <w:t>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For more information, see “</w:t>
      </w:r>
      <w:r>
        <w:rPr>
          <w:rFonts w:ascii="Times New Roman" w:cs="Times New Roman" w:eastAsia="Times New Roman" w:hAnsi="Times New Roman"/>
          <w:sz w:val="18"/>
          <w:szCs w:val="18"/>
          <w:i w:val="1"/>
          <w:iCs w:val="1"/>
          <w:color w:val="auto"/>
        </w:rPr>
        <w:t>—Crypto Assets and Services Offered by Bakkt–Crypto Asset Trading–Liquidity Providers</w:t>
      </w:r>
      <w:r>
        <w:rPr>
          <w:rFonts w:ascii="Times New Roman" w:cs="Times New Roman" w:eastAsia="Times New Roman" w:hAnsi="Times New Roman"/>
          <w:sz w:val="18"/>
          <w:szCs w:val="18"/>
          <w:color w:val="auto"/>
        </w:rPr>
        <w:t>” below.</w:t>
      </w:r>
    </w:p>
    <w:p>
      <w:pPr>
        <w:spacing w:after="0" w:line="1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Customers can submit an order request to purchase crypto assets by specifying the dollar value or coin quantity that they wish to purchase.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client’s user interface displays the estimated price or quantity, as applicable, as well as any transaction fees.</w:t>
      </w:r>
    </w:p>
    <w:p>
      <w:pPr>
        <w:ind w:right="280"/>
        <w:spacing w:after="0" w:line="234" w:lineRule="auto"/>
        <w:rPr>
          <w:sz w:val="20"/>
          <w:szCs w:val="20"/>
          <w:color w:val="auto"/>
        </w:rPr>
      </w:pPr>
      <w:r>
        <w:rPr>
          <w:rFonts w:ascii="Times New Roman" w:cs="Times New Roman" w:eastAsia="Times New Roman" w:hAnsi="Times New Roman"/>
          <w:sz w:val="18"/>
          <w:szCs w:val="18"/>
          <w:color w:val="auto"/>
        </w:rPr>
        <w:t>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1103" w:right="459" w:bottom="1440" w:gutter="0" w:footer="0" w:header="0"/>
        </w:sectPr>
      </w:pPr>
    </w:p>
    <w:bookmarkStart w:id="19" w:name="page20"/>
    <w:bookmarkEnd w:id="19"/>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If the customer’s funding source is a fiat wallet, Bakkt Marketplace will debit the customer’s fiat wallet on its internal ledger. During the daily net settlement period fiat funds are transmitted from the for benefit of (“FBO”) account to the Bakkt Crypto transaction account.</w:t>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Fig. 1 Crypto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171450</wp:posOffset>
            </wp:positionV>
            <wp:extent cx="5494655" cy="2065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9465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firstLine="991"/>
        <w:spacing w:after="0" w:line="245" w:lineRule="auto"/>
        <w:rPr>
          <w:sz w:val="20"/>
          <w:szCs w:val="20"/>
          <w:color w:val="auto"/>
        </w:rPr>
      </w:pPr>
      <w:r>
        <w:rPr>
          <w:rFonts w:ascii="Times New Roman" w:cs="Times New Roman" w:eastAsia="Times New Roman" w:hAnsi="Times New Roman"/>
          <w:sz w:val="18"/>
          <w:szCs w:val="18"/>
          <w:color w:val="auto"/>
        </w:rPr>
        <w:t>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w:t>
      </w:r>
    </w:p>
    <w:p>
      <w:pPr>
        <w:spacing w:after="0" w:line="221" w:lineRule="exact"/>
        <w:rPr>
          <w:sz w:val="20"/>
          <w:szCs w:val="20"/>
          <w:color w:val="auto"/>
        </w:rPr>
      </w:pPr>
    </w:p>
    <w:p>
      <w:pPr>
        <w:ind w:right="340" w:firstLine="991"/>
        <w:spacing w:after="0" w:line="239" w:lineRule="auto"/>
        <w:rPr>
          <w:sz w:val="20"/>
          <w:szCs w:val="20"/>
          <w:color w:val="auto"/>
        </w:rPr>
      </w:pPr>
      <w:r>
        <w:rPr>
          <w:rFonts w:ascii="Times New Roman" w:cs="Times New Roman" w:eastAsia="Times New Roman" w:hAnsi="Times New Roman"/>
          <w:sz w:val="18"/>
          <w:szCs w:val="18"/>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crypto assets from Bakkt Crypto, as depicted in Figure 2, below, and to deposit the proceeds of sales of supported crypto assets to Bakkt Cyrpto, as depicted in Figure 6, below. Our client, not the Company, maintains the relationship with the BaaS provider and the Company is not itself regulated as a bank.</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Fig. 2 Crypto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171450</wp:posOffset>
            </wp:positionV>
            <wp:extent cx="5134610" cy="2177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3461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991"/>
        <w:spacing w:after="0" w:line="250" w:lineRule="auto"/>
        <w:rPr>
          <w:sz w:val="20"/>
          <w:szCs w:val="20"/>
          <w:color w:val="auto"/>
        </w:rPr>
      </w:pPr>
      <w:r>
        <w:rPr>
          <w:rFonts w:ascii="Times New Roman" w:cs="Times New Roman" w:eastAsia="Times New Roman" w:hAnsi="Times New Roman"/>
          <w:sz w:val="18"/>
          <w:szCs w:val="18"/>
          <w:color w:val="auto"/>
        </w:rPr>
        <w:t>If the customer’s funding source is a brokerage account, Bakkt Crypto sends a message to ledger the funds from the customer’s brokerage account at the brokerage’s clearing firm to Bakkt Crypto brokerage account at the brokerage’s clearing firm. During the daily batch settlement period, fiat funds are transmitted from the Bakkt Crypto brokerage account to the Bakkt Crypto transaction account.</w:t>
      </w:r>
    </w:p>
    <w:p>
      <w:pPr>
        <w:sectPr>
          <w:pgSz w:w="11900" w:h="16838" w:orient="portrait"/>
          <w:cols w:equalWidth="0" w:num="1">
            <w:col w:w="11060"/>
          </w:cols>
          <w:pgMar w:left="480" w:top="12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1215" w:right="359" w:bottom="1440" w:gutter="0" w:footer="0" w:header="0"/>
          <w:type w:val="continuous"/>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 3 Crypto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163195</wp:posOffset>
            </wp:positionV>
            <wp:extent cx="5503545" cy="2366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035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customer’s funding source is a points account at points/rewards client, Bakkt Crypto will debit the customer’s points account.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daily batch settlement, funds are transferred from the rewards client account to the Bakkt Crypto transaction account.</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 4 Crypto Assets Purchase Through A Customer’s Points/Rewards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171450</wp:posOffset>
            </wp:positionV>
            <wp:extent cx="5340350" cy="2185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035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firstLine="991"/>
        <w:spacing w:after="0" w:line="239" w:lineRule="auto"/>
        <w:rPr>
          <w:sz w:val="20"/>
          <w:szCs w:val="20"/>
          <w:color w:val="auto"/>
        </w:rPr>
      </w:pPr>
      <w:r>
        <w:rPr>
          <w:rFonts w:ascii="Times New Roman" w:cs="Times New Roman" w:eastAsia="Times New Roman" w:hAnsi="Times New Roman"/>
          <w:sz w:val="18"/>
          <w:szCs w:val="18"/>
          <w:color w:val="auto"/>
        </w:rPr>
        <w:t>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If the customer’s funding source is a fiat wallet, Bakkt Marketplace will credit the customer’s fiat wallet on its internal ledger. During the daily batch settlement period, fiat funds are transmitted from the Bakkt Crypto transaction account to the FBO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80" w:top="1228" w:right="55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Fig. 5 Crypto Assets Sale with proceeds to the Customer’s Fiat Wallet Hosted by Bakkt Crypto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163195</wp:posOffset>
            </wp:positionV>
            <wp:extent cx="5357495" cy="2014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5749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991"/>
        <w:spacing w:after="0" w:line="245" w:lineRule="auto"/>
        <w:rPr>
          <w:sz w:val="20"/>
          <w:szCs w:val="20"/>
          <w:color w:val="auto"/>
        </w:rPr>
      </w:pPr>
      <w:r>
        <w:rPr>
          <w:rFonts w:ascii="Times New Roman" w:cs="Times New Roman" w:eastAsia="Times New Roman" w:hAnsi="Times New Roman"/>
          <w:sz w:val="18"/>
          <w:szCs w:val="18"/>
          <w:color w:val="auto"/>
        </w:rPr>
        <w:t>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w:t>
      </w: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Fig. 6 Crypto Assets Sale with Proceeds to the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163195</wp:posOffset>
            </wp:positionV>
            <wp:extent cx="5237480" cy="2091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374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500" w:firstLine="991"/>
        <w:spacing w:after="0" w:line="250" w:lineRule="auto"/>
        <w:rPr>
          <w:sz w:val="20"/>
          <w:szCs w:val="20"/>
          <w:color w:val="auto"/>
        </w:rPr>
      </w:pPr>
      <w:r>
        <w:rPr>
          <w:rFonts w:ascii="Times New Roman" w:cs="Times New Roman" w:eastAsia="Times New Roman" w:hAnsi="Times New Roman"/>
          <w:sz w:val="18"/>
          <w:szCs w:val="18"/>
          <w:color w:val="auto"/>
        </w:rPr>
        <w:t>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80" w:top="1228" w:right="579" w:bottom="1440" w:gutter="0" w:footer="0" w:header="0"/>
        </w:sectPr>
      </w:pPr>
    </w:p>
    <w:bookmarkStart w:id="22" w:name="page23"/>
    <w:bookmarkEnd w:id="22"/>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Fig. 7 Crypto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163195</wp:posOffset>
            </wp:positionV>
            <wp:extent cx="5297805" cy="1988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978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Providers</w:t>
      </w:r>
    </w:p>
    <w:p>
      <w:pPr>
        <w:spacing w:after="0" w:line="108" w:lineRule="exact"/>
        <w:rPr>
          <w:sz w:val="20"/>
          <w:szCs w:val="20"/>
          <w:color w:val="auto"/>
        </w:rPr>
      </w:pPr>
    </w:p>
    <w:p>
      <w:pPr>
        <w:jc w:val="both"/>
        <w:ind w:right="480" w:firstLine="991"/>
        <w:spacing w:after="0" w:line="250" w:lineRule="auto"/>
        <w:rPr>
          <w:sz w:val="20"/>
          <w:szCs w:val="20"/>
          <w:color w:val="auto"/>
        </w:rPr>
      </w:pPr>
      <w:r>
        <w:rPr>
          <w:rFonts w:ascii="Times New Roman" w:cs="Times New Roman" w:eastAsia="Times New Roman" w:hAnsi="Times New Roman"/>
          <w:sz w:val="18"/>
          <w:szCs w:val="18"/>
          <w:color w:val="auto"/>
        </w:rPr>
        <w:t>Bakkt Crypto currently has relationships with seven liquidity providers, with at least three providers servicing each supported crypto asset in order to provide consistent liquidity. Bakkt Crypto utilizes a proprietary, internal system to aggregate quotes from its liquidity providers by asset, side, price and size, which Bakkt Crypto uses to determine what quotes to provide, as principal, to its clients for display to customers.</w:t>
      </w:r>
    </w:p>
    <w:p>
      <w:pPr>
        <w:spacing w:after="0" w:line="204" w:lineRule="exact"/>
        <w:rPr>
          <w:sz w:val="20"/>
          <w:szCs w:val="20"/>
          <w:color w:val="auto"/>
        </w:rPr>
      </w:pPr>
    </w:p>
    <w:p>
      <w:pPr>
        <w:ind w:right="80" w:firstLine="991"/>
        <w:spacing w:after="0" w:line="238" w:lineRule="auto"/>
        <w:rPr>
          <w:sz w:val="20"/>
          <w:szCs w:val="20"/>
          <w:color w:val="auto"/>
        </w:rPr>
      </w:pPr>
      <w:r>
        <w:rPr>
          <w:rFonts w:ascii="Times New Roman" w:cs="Times New Roman" w:eastAsia="Times New Roman" w:hAnsi="Times New Roman"/>
          <w:sz w:val="18"/>
          <w:szCs w:val="18"/>
          <w:color w:val="auto"/>
        </w:rPr>
        <w:t>To fill customer orders as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limit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receipt of a fill confirmation from the liquidity provider servicing one of Bakkt Crypto’s offsetting orders, Bakkt Crypto will fill the</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corresponding customer transaction out of its own account, as riskless principal. In other words, the Bakkt Crypto platform is structured to execute the offsetting order for Bakkt Crypto’s own account prior to executing the corresponding customer order.</w:t>
      </w:r>
    </w:p>
    <w:p>
      <w:pPr>
        <w:spacing w:after="0" w:line="198" w:lineRule="exact"/>
        <w:rPr>
          <w:sz w:val="20"/>
          <w:szCs w:val="20"/>
          <w:color w:val="auto"/>
        </w:rPr>
      </w:pPr>
    </w:p>
    <w:p>
      <w:pPr>
        <w:ind w:right="40" w:firstLine="991"/>
        <w:spacing w:after="0"/>
        <w:rPr>
          <w:sz w:val="20"/>
          <w:szCs w:val="20"/>
          <w:color w:val="auto"/>
        </w:rPr>
      </w:pPr>
      <w:r>
        <w:rPr>
          <w:rFonts w:ascii="Times New Roman" w:cs="Times New Roman" w:eastAsia="Times New Roman" w:hAnsi="Times New Roman"/>
          <w:sz w:val="18"/>
          <w:szCs w:val="18"/>
          <w:color w:val="auto"/>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212" w:lineRule="exact"/>
        <w:rPr>
          <w:sz w:val="20"/>
          <w:szCs w:val="20"/>
          <w:color w:val="auto"/>
        </w:rPr>
      </w:pPr>
    </w:p>
    <w:p>
      <w:pPr>
        <w:ind w:firstLine="991"/>
        <w:spacing w:after="0" w:line="241" w:lineRule="auto"/>
        <w:rPr>
          <w:sz w:val="20"/>
          <w:szCs w:val="20"/>
          <w:color w:val="auto"/>
        </w:rPr>
      </w:pPr>
      <w:r>
        <w:rPr>
          <w:rFonts w:ascii="Times New Roman" w:cs="Times New Roman" w:eastAsia="Times New Roman" w:hAnsi="Times New Roman"/>
          <w:sz w:val="18"/>
          <w:szCs w:val="18"/>
          <w:color w:val="auto"/>
        </w:rPr>
        <w:t>Settlement is conducted on a net basis on the blockchain supporting the crypto asset. Bakkt Crypto is not required to pre- fund any transactions with liquidity providers. Instead, Bakkt Crypto settles with liquidity providers on a daily basis; however, in instances where a liquidity provider’s settlement balance is less than $30,000 for a given token, or $50,000 across all tokens, Bakkt Crypto will settle with those liquidity providers on the last business day of the applicable month, or when the settlement balance exceeds those levels, if sooner. At settlement,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w:t>
      </w:r>
    </w:p>
    <w:p>
      <w:pPr>
        <w:sectPr>
          <w:pgSz w:w="11900" w:h="16838" w:orient="portrait"/>
          <w:cols w:equalWidth="0" w:num="1">
            <w:col w:w="11040"/>
          </w:cols>
          <w:pgMar w:left="480" w:top="12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228"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Custody Services for the Crypto Assets Supported for Trading</w:t>
      </w:r>
    </w:p>
    <w:p>
      <w:pPr>
        <w:spacing w:after="0" w:line="108"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Prior to the acquisition of Bakkt Crypto, we did not use third party custodians, other than minimal amounts at liquidity providers that also provide custody for the purpose of facilitating trading and settlement. In connection with our acquisition of Bakkt Crypto, we acquired third-party custodial relationships with Coinbase Custody Trust Company (“Coinbase Custody”) and BitGo Trust Company (“BitGo”), which are currently used by Bakkt Crypto for custody and crypto asset transfers, where applicable. In addition, Bakkt Crypto also self-custodies select crypto assets (less than 7.6% of total customer crypto assets were self-custodied as of December 31, 2023) to facilitate customer withdrawals utilizing the Fireblocks Vault service. Self-custodying customer crypto assets through the use of Fireblocks third-party custody software involves risks related to our reliance on the third party for the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w:t>
      </w:r>
    </w:p>
    <w:p>
      <w:pPr>
        <w:spacing w:after="0" w:line="226" w:lineRule="exact"/>
        <w:rPr>
          <w:sz w:val="20"/>
          <w:szCs w:val="20"/>
          <w:color w:val="auto"/>
        </w:rPr>
      </w:pPr>
    </w:p>
    <w:p>
      <w:pPr>
        <w:ind w:right="120" w:firstLine="991"/>
        <w:spacing w:after="0" w:line="237" w:lineRule="auto"/>
        <w:rPr>
          <w:sz w:val="20"/>
          <w:szCs w:val="20"/>
          <w:color w:val="auto"/>
        </w:rPr>
      </w:pPr>
      <w:r>
        <w:rPr>
          <w:rFonts w:ascii="Times New Roman" w:cs="Times New Roman" w:eastAsia="Times New Roman" w:hAnsi="Times New Roman"/>
          <w:sz w:val="18"/>
          <w:szCs w:val="18"/>
          <w:color w:val="auto"/>
        </w:rPr>
        <w:t>Under the BitGo Custody Agreement, BitGo, at Bakkt Crypto’s direction, establishes and maintains wallets for the storage of crypto assets, including cold wallets where BitGo holds all of the keys, and all of those keys are stored offline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The BitGo Custody Agreement has an initial one year term and renews automatically for successive one- year periods unless either party provides notice to the other party of its intent not to renew at least 60 days prior to the expiration of the then-current term.</w:t>
      </w:r>
    </w:p>
    <w:p>
      <w:pPr>
        <w:spacing w:after="0" w:line="228" w:lineRule="exact"/>
        <w:rPr>
          <w:sz w:val="20"/>
          <w:szCs w:val="20"/>
          <w:color w:val="auto"/>
        </w:rPr>
      </w:pPr>
    </w:p>
    <w:p>
      <w:pPr>
        <w:ind w:right="60" w:firstLine="991"/>
        <w:spacing w:after="0" w:line="236" w:lineRule="auto"/>
        <w:rPr>
          <w:sz w:val="20"/>
          <w:szCs w:val="20"/>
          <w:color w:val="auto"/>
        </w:rPr>
      </w:pPr>
      <w:r>
        <w:rPr>
          <w:rFonts w:ascii="Times New Roman" w:cs="Times New Roman" w:eastAsia="Times New Roman" w:hAnsi="Times New Roman"/>
          <w:sz w:val="18"/>
          <w:szCs w:val="18"/>
          <w:color w:val="auto"/>
        </w:rPr>
        <w:t>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Under the Coinbase Custody Agreement, Coinbase Custody securely stores crypto asset private keys in offline storage. Under the Coinbase Custody Agreement, Coinbase Custody has implemented and agrees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The Coinbase Custody Agreement remains effective until terminated by either party by providing at least 30 days’ prior written notice to the other party.</w:t>
      </w:r>
    </w:p>
    <w:p>
      <w:pPr>
        <w:spacing w:after="0" w:line="233" w:lineRule="exact"/>
        <w:rPr>
          <w:sz w:val="20"/>
          <w:szCs w:val="20"/>
          <w:color w:val="auto"/>
        </w:rPr>
      </w:pPr>
    </w:p>
    <w:p>
      <w:pPr>
        <w:jc w:val="both"/>
        <w:ind w:right="40" w:firstLine="991"/>
        <w:spacing w:after="0" w:line="250" w:lineRule="auto"/>
        <w:rPr>
          <w:sz w:val="20"/>
          <w:szCs w:val="20"/>
          <w:color w:val="auto"/>
        </w:rPr>
      </w:pPr>
      <w:r>
        <w:rPr>
          <w:rFonts w:ascii="Times New Roman" w:cs="Times New Roman" w:eastAsia="Times New Roman" w:hAnsi="Times New Roman"/>
          <w:sz w:val="18"/>
          <w:szCs w:val="18"/>
          <w:color w:val="auto"/>
        </w:rPr>
        <w:t>Under the Fireblocks License Agreement, Fireblocks has granted Bakkt Crypto a non-exclusive, non-sublicensable, non- transferable license to generate wallets through the Fireblocks Vault service. The service allows Bakkt Crypto to access and use crypto asset wallets that store private and public keys, interact with various blockchains and monitor its balances of crypto assets.</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intention is to consolidate our self-custodial services while still offering diversification across custodians for clients that request it.</w:t>
      </w:r>
    </w:p>
    <w:p>
      <w:pPr>
        <w:spacing w:after="0" w:line="225"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Bakkt Trust holds at least 90% of the crypto assets held in custody in cold storage and up to 10% of crypto assets (not to exceed $25.0 million in notional value at any one time) in warm or hot wallets.</w:t>
      </w:r>
    </w:p>
    <w:p>
      <w:pPr>
        <w:spacing w:after="0" w:line="189" w:lineRule="exact"/>
        <w:rPr>
          <w:sz w:val="20"/>
          <w:szCs w:val="20"/>
          <w:color w:val="auto"/>
        </w:rPr>
      </w:pPr>
    </w:p>
    <w:p>
      <w:pPr>
        <w:ind w:right="260" w:firstLine="991"/>
        <w:spacing w:after="0" w:line="241" w:lineRule="auto"/>
        <w:rPr>
          <w:sz w:val="20"/>
          <w:szCs w:val="20"/>
          <w:color w:val="auto"/>
        </w:rPr>
      </w:pPr>
      <w:r>
        <w:rPr>
          <w:rFonts w:ascii="Times New Roman" w:cs="Times New Roman" w:eastAsia="Times New Roman" w:hAnsi="Times New Roman"/>
          <w:sz w:val="18"/>
          <w:szCs w:val="18"/>
          <w:color w:val="auto"/>
        </w:rPr>
        <w:t>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w:t>
      </w:r>
    </w:p>
    <w:p>
      <w:pPr>
        <w:spacing w:after="0" w:line="211" w:lineRule="exact"/>
        <w:rPr>
          <w:sz w:val="20"/>
          <w:szCs w:val="20"/>
          <w:color w:val="auto"/>
        </w:rPr>
      </w:pPr>
    </w:p>
    <w:p>
      <w:pPr>
        <w:ind w:right="100" w:firstLine="991"/>
        <w:spacing w:after="0" w:line="245" w:lineRule="auto"/>
        <w:rPr>
          <w:sz w:val="20"/>
          <w:szCs w:val="20"/>
          <w:color w:val="auto"/>
        </w:rPr>
      </w:pPr>
      <w:r>
        <w:rPr>
          <w:rFonts w:ascii="Times New Roman" w:cs="Times New Roman" w:eastAsia="Times New Roman" w:hAnsi="Times New Roman"/>
          <w:sz w:val="18"/>
          <w:szCs w:val="18"/>
          <w:color w:val="auto"/>
        </w:rPr>
        <w:t>Assets stored by Coinbase Custody and BitGo are held 100% in segregated cold storage. “Segregated” means that Bakkt Crypto customer assets are held in unique addresses on the respective blockchains and do not include assets of other BitGo or Coinbase clients, or of BitGo or Coinbase themselves. Both entities are SOC 1 certified. At this time, Bakkt Crypto does not utilize third parties other than Coinbase Custody and BitGo to hold customer crypto assets as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035" w:right="419" w:bottom="1440" w:gutter="0" w:footer="0" w:header="0"/>
        </w:sectPr>
      </w:pPr>
    </w:p>
    <w:bookmarkStart w:id="24" w:name="page25"/>
    <w:bookmarkEnd w:id="24"/>
    <w:p>
      <w:pPr>
        <w:ind w:right="20" w:firstLine="991"/>
        <w:spacing w:after="0" w:line="236" w:lineRule="auto"/>
        <w:rPr>
          <w:sz w:val="20"/>
          <w:szCs w:val="20"/>
          <w:color w:val="auto"/>
        </w:rPr>
      </w:pPr>
      <w:r>
        <w:rPr>
          <w:rFonts w:ascii="Times New Roman" w:cs="Times New Roman" w:eastAsia="Times New Roman" w:hAnsi="Times New Roman"/>
          <w:sz w:val="18"/>
          <w:szCs w:val="18"/>
          <w:color w:val="auto"/>
        </w:rPr>
        <w:t>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trainings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and provided to external auditors at least annually, or as otherwise requested.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 The existence, exclusive ownership and software functionality of private digital keys and other ownership records are subject to annual audits conducted by external auditors.</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insurance provider has inspection rights in respect of the crypto assets held in storage.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Transfers of Crypto Assets (through Bakkt Crypto)</w:t>
      </w:r>
    </w:p>
    <w:p>
      <w:pPr>
        <w:spacing w:after="0" w:line="108" w:lineRule="exact"/>
        <w:rPr>
          <w:sz w:val="20"/>
          <w:szCs w:val="20"/>
          <w:color w:val="auto"/>
        </w:rPr>
      </w:pPr>
    </w:p>
    <w:p>
      <w:pPr>
        <w:jc w:val="both"/>
        <w:ind w:right="140" w:firstLine="991"/>
        <w:spacing w:after="0" w:line="245" w:lineRule="auto"/>
        <w:rPr>
          <w:sz w:val="20"/>
          <w:szCs w:val="20"/>
          <w:color w:val="auto"/>
        </w:rPr>
      </w:pPr>
      <w:r>
        <w:rPr>
          <w:rFonts w:ascii="Times New Roman" w:cs="Times New Roman" w:eastAsia="Times New Roman" w:hAnsi="Times New Roman"/>
          <w:sz w:val="18"/>
          <w:szCs w:val="18"/>
          <w:color w:val="auto"/>
        </w:rPr>
        <w:t>Other than in the State of New York, we make available to customers the ability to transfer crypto assets to external wallets. Because we have structured our platforms to be client-configurable in several aspects, each client has the discretion to enable this transfer feature for its customers. Crypto assets made available to customers residing in the State of New York will not be transferable to external wallets until that capability is approved by NYDFS, which we plan to seek in 2024.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Client Business – Crypto Custody Services</w:t>
      </w:r>
    </w:p>
    <w:p>
      <w:pPr>
        <w:spacing w:after="0" w:line="108" w:lineRule="exact"/>
        <w:rPr>
          <w:sz w:val="20"/>
          <w:szCs w:val="20"/>
          <w:color w:val="auto"/>
        </w:rPr>
      </w:pPr>
    </w:p>
    <w:p>
      <w:pPr>
        <w:jc w:val="both"/>
        <w:ind w:right="180" w:firstLine="991"/>
        <w:spacing w:after="0" w:line="250" w:lineRule="auto"/>
        <w:rPr>
          <w:sz w:val="20"/>
          <w:szCs w:val="20"/>
          <w:color w:val="auto"/>
        </w:rPr>
      </w:pPr>
      <w:r>
        <w:rPr>
          <w:rFonts w:ascii="Times New Roman" w:cs="Times New Roman" w:eastAsia="Times New Roman" w:hAnsi="Times New Roman"/>
          <w:sz w:val="18"/>
          <w:szCs w:val="18"/>
          <w:color w:val="auto"/>
        </w:rPr>
        <w:t>Bakkt Trust currently provides custody services to customers of Bakkt Marketplace and to its own institutional customers with respect to all of the crypto assets which we support for trading. For a list of these crypto assets, see the table for Bakkt Trust under “</w:t>
      </w:r>
      <w:r>
        <w:rPr>
          <w:rFonts w:ascii="Times New Roman" w:cs="Times New Roman" w:eastAsia="Times New Roman" w:hAnsi="Times New Roman"/>
          <w:sz w:val="18"/>
          <w:szCs w:val="18"/>
          <w:i w:val="1"/>
          <w:iCs w:val="1"/>
          <w:color w:val="auto"/>
        </w:rPr>
        <w:t>—Crypto Assets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Offered by Bakkt</w:t>
      </w:r>
      <w:r>
        <w:rPr>
          <w:rFonts w:ascii="Times New Roman" w:cs="Times New Roman" w:eastAsia="Times New Roman" w:hAnsi="Times New Roman"/>
          <w:sz w:val="18"/>
          <w:szCs w:val="18"/>
          <w:color w:val="auto"/>
        </w:rPr>
        <w:t>” above.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Bakkt Rewards</w:t>
      </w:r>
    </w:p>
    <w:p>
      <w:pPr>
        <w:spacing w:after="0" w:line="108" w:lineRule="exact"/>
        <w:rPr>
          <w:sz w:val="20"/>
          <w:szCs w:val="20"/>
          <w:color w:val="auto"/>
        </w:rPr>
      </w:pPr>
    </w:p>
    <w:p>
      <w:pPr>
        <w:ind w:right="160" w:firstLine="991"/>
        <w:spacing w:after="0" w:line="242" w:lineRule="auto"/>
        <w:rPr>
          <w:sz w:val="20"/>
          <w:szCs w:val="20"/>
          <w:color w:val="auto"/>
        </w:rPr>
      </w:pPr>
      <w:r>
        <w:rPr>
          <w:rFonts w:ascii="Times New Roman" w:cs="Times New Roman" w:eastAsia="Times New Roman" w:hAnsi="Times New Roman"/>
          <w:sz w:val="18"/>
          <w:szCs w:val="18"/>
          <w:color w:val="auto"/>
        </w:rPr>
        <w:t>We are in the process of enabling clients to offer their customers the ability to convert loyalty points earned through participation in the client’s loyalty program into bitcoin (and, in the future, to other crypto assets depending on demand). We initially expect to offer this service in the first quarter of 2024.</w:t>
      </w:r>
    </w:p>
    <w:p>
      <w:pPr>
        <w:spacing w:after="0" w:line="224" w:lineRule="exact"/>
        <w:rPr>
          <w:sz w:val="20"/>
          <w:szCs w:val="20"/>
          <w:color w:val="auto"/>
        </w:rPr>
      </w:pPr>
    </w:p>
    <w:p>
      <w:pPr>
        <w:ind w:right="140" w:firstLine="991"/>
        <w:spacing w:after="0"/>
        <w:rPr>
          <w:sz w:val="20"/>
          <w:szCs w:val="20"/>
          <w:color w:val="auto"/>
        </w:rPr>
      </w:pPr>
      <w:r>
        <w:rPr>
          <w:rFonts w:ascii="Times New Roman" w:cs="Times New Roman" w:eastAsia="Times New Roman" w:hAnsi="Times New Roman"/>
          <w:sz w:val="18"/>
          <w:szCs w:val="18"/>
          <w:color w:val="auto"/>
        </w:rPr>
        <w:t>Customers that elect this service will opt into the program through the client’s loyalty program user interface and then be referred to a Bakkt-managed front end to authorize account creation and conversion of certain client loyalty points into bitcoin. The exchange rate governing the conversion will be determined by (i) the redemption rate of client loyalty points to USD (which is set by the client), and (ii) the prevailing market price for bitcoin, which includes a markup agreed upon between the client and Bakkt. The bitcoin will then be accessible to the customer via a Bakkt-managed interface, which will allow customers to sell bitcoin for USD, link their account at the client with their bank account, deposit or withdraw fiat currency, and buy, sell and hold other approved crypto assets. The Bakkt-managed interface will not allow customers to open an account directly unless they are referred via a supported client.</w:t>
      </w:r>
    </w:p>
    <w:p>
      <w:pPr>
        <w:spacing w:after="0" w:line="198" w:lineRule="exact"/>
        <w:rPr>
          <w:sz w:val="20"/>
          <w:szCs w:val="20"/>
          <w:color w:val="auto"/>
        </w:rPr>
      </w:pPr>
    </w:p>
    <w:p>
      <w:pPr>
        <w:ind w:right="80" w:firstLine="991"/>
        <w:spacing w:after="0" w:line="250" w:lineRule="auto"/>
        <w:rPr>
          <w:sz w:val="20"/>
          <w:szCs w:val="20"/>
          <w:color w:val="auto"/>
        </w:rPr>
      </w:pPr>
      <w:r>
        <w:rPr>
          <w:rFonts w:ascii="Times New Roman" w:cs="Times New Roman" w:eastAsia="Times New Roman" w:hAnsi="Times New Roman"/>
          <w:sz w:val="18"/>
          <w:szCs w:val="18"/>
          <w:color w:val="auto"/>
        </w:rPr>
        <w:t>Bakkt Rewards will initially be supported by the Bakkt Marketplace platform and, once it combines with Bakkt Crypto, by the platform of the combined entity.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Services</w:t>
      </w:r>
    </w:p>
    <w:p>
      <w:pPr>
        <w:spacing w:after="0" w:line="108"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As part of our ongoing review of potential services, we continually evaluate how we can most effectively improve our platform and service offerings in a manner that is compliance with applicable governance and regulatory considerations. In such review, we may determine to stop pursuing a potential service offering in light of, among other things, revenue expectations and compliance with applicable laws. For example, we have de-prioritized investment in Bakkt Payouts as a service offering as we work with our clients to understand the desired feature set and their timelines to implementation. As such, we have elected to suspend the development of the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sectPr>
          <w:pgSz w:w="11900" w:h="16838" w:orient="portrait"/>
          <w:cols w:equalWidth="0" w:num="1">
            <w:col w:w="11040"/>
          </w:cols>
          <w:pgMar w:left="480" w:top="12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228"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and our subsidiaries have a comprehensive set of policies and procedures relating to crypto assets and crypto asset- related services.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Self-dealing and other potential conflicts of interest are addressed by our Insider Trading Policy, Code of Business</w:t>
      </w:r>
    </w:p>
    <w:p>
      <w:pPr>
        <w:spacing w:after="0" w:line="2" w:lineRule="exact"/>
        <w:rPr>
          <w:sz w:val="20"/>
          <w:szCs w:val="20"/>
          <w:color w:val="auto"/>
        </w:rPr>
      </w:pPr>
    </w:p>
    <w:p>
      <w:pPr>
        <w:jc w:val="both"/>
        <w:ind w:right="200"/>
        <w:spacing w:after="0" w:line="234" w:lineRule="auto"/>
        <w:rPr>
          <w:sz w:val="20"/>
          <w:szCs w:val="20"/>
          <w:color w:val="auto"/>
        </w:rPr>
      </w:pPr>
      <w:r>
        <w:rPr>
          <w:rFonts w:ascii="Times New Roman" w:cs="Times New Roman" w:eastAsia="Times New Roman" w:hAnsi="Times New Roman"/>
          <w:sz w:val="18"/>
          <w:szCs w:val="18"/>
          <w:color w:val="auto"/>
        </w:rPr>
        <w:t>Conduct and Ethics, Related Person Transactions Policy and Cryptocurrency Listing Policy. Employees are trained in these areas and attest to review these documents and policies upon hire and annually. Operationally, there are segregations of duties and information tied to trading, listing and money movements, including protections for whistleblowers, compliance reviews, and blackout periods.</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Orders are entered into our systems where transactions are executed at best available prices with market makers and liquidity sources, designed to further insulate customer activities and prevent front-running and other illegal activities.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Custody-Related Policies</w:t>
      </w:r>
    </w:p>
    <w:p>
      <w:pPr>
        <w:spacing w:after="0" w:line="106" w:lineRule="exact"/>
        <w:rPr>
          <w:sz w:val="20"/>
          <w:szCs w:val="20"/>
          <w:color w:val="auto"/>
        </w:rPr>
      </w:pPr>
    </w:p>
    <w:p>
      <w:pPr>
        <w:ind w:right="100" w:firstLine="991"/>
        <w:spacing w:after="0" w:line="239" w:lineRule="auto"/>
        <w:rPr>
          <w:sz w:val="20"/>
          <w:szCs w:val="20"/>
          <w:color w:val="auto"/>
        </w:rPr>
      </w:pPr>
      <w:r>
        <w:rPr>
          <w:rFonts w:ascii="Times New Roman" w:cs="Times New Roman" w:eastAsia="Times New Roman" w:hAnsi="Times New Roman"/>
          <w:sz w:val="18"/>
          <w:szCs w:val="18"/>
          <w:color w:val="auto"/>
        </w:rPr>
        <w:t>Bakkt Trust stores client and internal assets on an omnibus basis in a combination of warm and cold wallets. Bakkt Trust uses an internal ledger to delineate client and internal assets. Bakkt Trust completes hourly automated reconciliations to confirm balances across the internal ledger, internal node, and external node match. Every deposit into Bakkt Trust is checked using industry- leading “know-your-customer” (“KYC”) providers to check the provenance of the assets deposited before moving the funds out of the deposit wallet. Deposited funds may be moved into a segregated quarantine wallet if they do not pass the KYC screening and require further investigation.</w:t>
      </w:r>
    </w:p>
    <w:p>
      <w:pPr>
        <w:spacing w:after="0" w:line="225" w:lineRule="exact"/>
        <w:rPr>
          <w:sz w:val="20"/>
          <w:szCs w:val="20"/>
          <w:color w:val="auto"/>
        </w:rPr>
      </w:pPr>
    </w:p>
    <w:p>
      <w:pPr>
        <w:ind w:right="100" w:firstLine="991"/>
        <w:spacing w:after="0" w:line="242" w:lineRule="auto"/>
        <w:rPr>
          <w:sz w:val="20"/>
          <w:szCs w:val="20"/>
          <w:color w:val="auto"/>
        </w:rPr>
      </w:pPr>
      <w:r>
        <w:rPr>
          <w:rFonts w:ascii="Times New Roman" w:cs="Times New Roman" w:eastAsia="Times New Roman" w:hAnsi="Times New Roman"/>
          <w:sz w:val="18"/>
          <w:szCs w:val="18"/>
          <w:color w:val="auto"/>
        </w:rPr>
        <w:t>Bakkt Crypto makes use of third-party providers of custodial services, including Coinbase Custody Trust Company, LLC and BitGo Trust Company,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Listing-Related Policies</w:t>
      </w:r>
    </w:p>
    <w:p>
      <w:pPr>
        <w:spacing w:after="0" w:line="106" w:lineRule="exact"/>
        <w:rPr>
          <w:sz w:val="20"/>
          <w:szCs w:val="20"/>
          <w:color w:val="auto"/>
        </w:rPr>
      </w:pPr>
    </w:p>
    <w:p>
      <w:pPr>
        <w:ind w:right="20" w:firstLine="991"/>
        <w:spacing w:after="0" w:line="245" w:lineRule="auto"/>
        <w:rPr>
          <w:sz w:val="20"/>
          <w:szCs w:val="20"/>
          <w:color w:val="auto"/>
        </w:rPr>
      </w:pPr>
      <w:r>
        <w:rPr>
          <w:rFonts w:ascii="Times New Roman" w:cs="Times New Roman" w:eastAsia="Times New Roman" w:hAnsi="Times New Roman"/>
          <w:sz w:val="18"/>
          <w:szCs w:val="18"/>
          <w:color w:val="auto"/>
        </w:rPr>
        <w:t>We maintain crypto asset listing policies for each of Bakkt Marketplace (which policy also covers Bakkt Crypto, as its wholly owned subsidiary) and Bakkt Trust (the “Listing Policies”), the purpose of which is to provide a framework for the review and approval of new crypto assets for customer transactions and custody services, respectively. The Listing Policies are based on guidance from NYDFS and were approved by the NYDFS. Material revisions to the Listing Policies require prior written approval from the NYDFS.</w:t>
      </w:r>
    </w:p>
    <w:p>
      <w:pPr>
        <w:spacing w:after="0" w:line="221" w:lineRule="exact"/>
        <w:rPr>
          <w:sz w:val="20"/>
          <w:szCs w:val="20"/>
          <w:color w:val="auto"/>
        </w:rPr>
      </w:pPr>
    </w:p>
    <w:p>
      <w:pPr>
        <w:ind w:right="160" w:firstLine="991"/>
        <w:spacing w:after="0" w:line="238" w:lineRule="auto"/>
        <w:rPr>
          <w:sz w:val="20"/>
          <w:szCs w:val="20"/>
          <w:color w:val="auto"/>
        </w:rPr>
      </w:pPr>
      <w:r>
        <w:rPr>
          <w:rFonts w:ascii="Times New Roman" w:cs="Times New Roman" w:eastAsia="Times New Roman" w:hAnsi="Times New Roman"/>
          <w:sz w:val="18"/>
          <w:szCs w:val="18"/>
          <w:color w:val="auto"/>
        </w:rPr>
        <w:t>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and cyber security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w:t>
      </w:r>
    </w:p>
    <w:p>
      <w:pPr>
        <w:spacing w:after="0" w:line="213" w:lineRule="exact"/>
        <w:rPr>
          <w:sz w:val="20"/>
          <w:szCs w:val="20"/>
          <w:color w:val="auto"/>
        </w:rPr>
      </w:pPr>
    </w:p>
    <w:p>
      <w:pPr>
        <w:ind w:right="260" w:firstLine="991"/>
        <w:spacing w:after="0" w:line="236" w:lineRule="auto"/>
        <w:rPr>
          <w:sz w:val="20"/>
          <w:szCs w:val="20"/>
          <w:color w:val="auto"/>
        </w:rPr>
      </w:pPr>
      <w:r>
        <w:rPr>
          <w:rFonts w:ascii="Times New Roman" w:cs="Times New Roman" w:eastAsia="Times New Roman" w:hAnsi="Times New Roman"/>
          <w:sz w:val="17"/>
          <w:szCs w:val="17"/>
          <w:color w:val="auto"/>
        </w:rPr>
        <w:t>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w:t>
      </w:r>
    </w:p>
    <w:p>
      <w:pPr>
        <w:ind w:right="180"/>
        <w:spacing w:after="0" w:line="218" w:lineRule="auto"/>
        <w:rPr>
          <w:sz w:val="20"/>
          <w:szCs w:val="20"/>
          <w:color w:val="auto"/>
        </w:rPr>
      </w:pPr>
      <w:r>
        <w:rPr>
          <w:rFonts w:ascii="Times New Roman" w:cs="Times New Roman" w:eastAsia="Times New Roman" w:hAnsi="Times New Roman"/>
          <w:sz w:val="18"/>
          <w:szCs w:val="18"/>
          <w:color w:val="auto"/>
        </w:rPr>
        <w:t>supported by other reputable markets or trading venues. In order to assess the regulatory status of a crypto asset, we consider the applicable laws, rules and case law, and other factors relevant to the determination of the security status of a crypto asset, and the positions of the SEC as expressed in various crypto-related enforcement actions and lawsuits. We may also solicit the opinion of outside counsel.</w:t>
      </w:r>
    </w:p>
    <w:p>
      <w:pPr>
        <w:spacing w:after="0" w:line="199"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The Listing Policies do not ascribe specific weighting to particular factors or inputs to be considered in connection with the potential listing or delisting of crypto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035" w:right="399" w:bottom="1440" w:gutter="0" w:footer="0" w:header="0"/>
        </w:sectPr>
      </w:pPr>
    </w:p>
    <w:bookmarkStart w:id="26" w:name="page27"/>
    <w:bookmarkEnd w:id="26"/>
    <w:p>
      <w:pPr>
        <w:ind w:left="8"/>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08" w:lineRule="exact"/>
        <w:rPr>
          <w:sz w:val="20"/>
          <w:szCs w:val="20"/>
          <w:color w:val="auto"/>
        </w:rPr>
      </w:pPr>
    </w:p>
    <w:p>
      <w:pPr>
        <w:ind w:left="8" w:firstLine="991"/>
        <w:spacing w:after="0" w:line="242" w:lineRule="auto"/>
        <w:rPr>
          <w:sz w:val="20"/>
          <w:szCs w:val="20"/>
          <w:color w:val="auto"/>
        </w:rPr>
      </w:pPr>
      <w:r>
        <w:rPr>
          <w:rFonts w:ascii="Times New Roman" w:cs="Times New Roman" w:eastAsia="Times New Roman" w:hAnsi="Times New Roman"/>
          <w:sz w:val="18"/>
          <w:szCs w:val="18"/>
          <w:color w:val="auto"/>
        </w:rPr>
        <w:t>We market our platform to our clients. We do not engage in any direct-to-consumer marketing for the acquisition or engagement of end consumers, or customers. As part of client engagement, we may assist them in developing their crypto assets marketing strategy but any such strategy is ultimately executed by clients at their discretion. We also have a sponsorship agreement with Caesars Entertainment pursuant to which the theater at Planet Hollywood Resort &amp; Casino in Las Vegas is branded as the “Bakkt Theater.” However, potential customers are not able to sign up directly with us and need to access our platform through a client environment.</w:t>
      </w:r>
    </w:p>
    <w:p>
      <w:pPr>
        <w:spacing w:after="0" w:line="131" w:lineRule="exact"/>
        <w:rPr>
          <w:sz w:val="20"/>
          <w:szCs w:val="20"/>
          <w:color w:val="auto"/>
        </w:rPr>
      </w:pPr>
    </w:p>
    <w:p>
      <w:pPr>
        <w:ind w:left="8" w:right="120" w:firstLine="991"/>
        <w:spacing w:after="0" w:line="242" w:lineRule="auto"/>
        <w:rPr>
          <w:sz w:val="20"/>
          <w:szCs w:val="20"/>
          <w:color w:val="auto"/>
        </w:rPr>
      </w:pPr>
      <w:r>
        <w:rPr>
          <w:rFonts w:ascii="Times New Roman" w:cs="Times New Roman" w:eastAsia="Times New Roman" w:hAnsi="Times New Roman"/>
          <w:sz w:val="18"/>
          <w:szCs w:val="18"/>
          <w:color w:val="auto"/>
        </w:rPr>
        <w:t>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30" w:lineRule="exact"/>
        <w:rPr>
          <w:sz w:val="20"/>
          <w:szCs w:val="20"/>
          <w:color w:val="auto"/>
        </w:rPr>
      </w:pPr>
    </w:p>
    <w:p>
      <w:pPr>
        <w:ind w:left="988"/>
        <w:spacing w:after="0"/>
        <w:rPr>
          <w:sz w:val="20"/>
          <w:szCs w:val="20"/>
          <w:color w:val="auto"/>
        </w:rPr>
      </w:pPr>
      <w:r>
        <w:rPr>
          <w:rFonts w:ascii="Times New Roman" w:cs="Times New Roman" w:eastAsia="Times New Roman" w:hAnsi="Times New Roman"/>
          <w:sz w:val="18"/>
          <w:szCs w:val="18"/>
          <w:color w:val="auto"/>
        </w:rPr>
        <w:t>We market our products and services to potential clients using multiple business-to-business channels, such as</w:t>
      </w:r>
    </w:p>
    <w:p>
      <w:pPr>
        <w:spacing w:after="0" w:line="16" w:lineRule="exact"/>
        <w:rPr>
          <w:sz w:val="20"/>
          <w:szCs w:val="20"/>
          <w:color w:val="auto"/>
        </w:rPr>
      </w:pPr>
    </w:p>
    <w:p>
      <w:pPr>
        <w:ind w:left="8" w:right="80" w:hanging="8"/>
        <w:spacing w:after="0" w:line="239" w:lineRule="auto"/>
        <w:tabs>
          <w:tab w:leader="none" w:pos="2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domains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131" w:lineRule="exact"/>
        <w:rPr>
          <w:sz w:val="20"/>
          <w:szCs w:val="20"/>
          <w:color w:val="auto"/>
        </w:rPr>
      </w:pPr>
    </w:p>
    <w:p>
      <w:pPr>
        <w:ind w:left="8" w:right="200" w:firstLine="991"/>
        <w:spacing w:after="0" w:line="250" w:lineRule="auto"/>
        <w:rPr>
          <w:sz w:val="20"/>
          <w:szCs w:val="20"/>
          <w:color w:val="auto"/>
        </w:rPr>
      </w:pPr>
      <w:r>
        <w:rPr>
          <w:rFonts w:ascii="Times New Roman" w:cs="Times New Roman" w:eastAsia="Times New Roman" w:hAnsi="Times New Roman"/>
          <w:sz w:val="18"/>
          <w:szCs w:val="18"/>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Customer Identification Program and KYC verification) and to service customers.</w:t>
      </w:r>
    </w:p>
    <w:p>
      <w:pPr>
        <w:spacing w:after="0" w:line="123" w:lineRule="exact"/>
        <w:rPr>
          <w:sz w:val="20"/>
          <w:szCs w:val="20"/>
          <w:color w:val="auto"/>
        </w:rPr>
      </w:pPr>
    </w:p>
    <w:p>
      <w:pPr>
        <w:ind w:left="8" w:right="100" w:firstLine="991"/>
        <w:spacing w:after="0" w:line="238" w:lineRule="auto"/>
        <w:rPr>
          <w:sz w:val="20"/>
          <w:szCs w:val="20"/>
          <w:color w:val="auto"/>
        </w:rPr>
      </w:pPr>
      <w:r>
        <w:rPr>
          <w:rFonts w:ascii="Times New Roman" w:cs="Times New Roman" w:eastAsia="Times New Roman" w:hAnsi="Times New Roman"/>
          <w:sz w:val="18"/>
          <w:szCs w:val="18"/>
          <w:color w:val="auto"/>
        </w:rPr>
        <w:t>We have built an extensive vendor network across various industries including financial services, travel and entertainment, retail and platform companies. While we have made significant headway building partnerships in these industries, there remain significant untapped growth opportunities in each area. For example, traditional financial institutions are facing increased competition from a broader group of fintech entrants. We expect that the pressure on them to provide innovative products and increased competition will continue to grow. Our ability to stand up capabilities within client ecosystems makes our platform an attractive solution for such financial institutions seeking an intuitive, tightly integrated, low risk solution to offer crypto and loyalty services.</w:t>
      </w:r>
    </w:p>
    <w:p>
      <w:pPr>
        <w:spacing w:after="0" w:line="132" w:lineRule="exact"/>
        <w:rPr>
          <w:sz w:val="20"/>
          <w:szCs w:val="20"/>
          <w:color w:val="auto"/>
        </w:rPr>
      </w:pPr>
    </w:p>
    <w:p>
      <w:pPr>
        <w:ind w:left="8" w:right="80" w:firstLine="991"/>
        <w:spacing w:after="0" w:line="242" w:lineRule="auto"/>
        <w:rPr>
          <w:sz w:val="20"/>
          <w:szCs w:val="20"/>
          <w:color w:val="auto"/>
        </w:rPr>
      </w:pPr>
      <w:r>
        <w:rPr>
          <w:rFonts w:ascii="Times New Roman" w:cs="Times New Roman" w:eastAsia="Times New Roman" w:hAnsi="Times New Roman"/>
          <w:sz w:val="18"/>
          <w:szCs w:val="18"/>
          <w:color w:val="auto"/>
        </w:rPr>
        <w:t>We believe our growing network of clients provides potential for increased scale and substantiates the viability of our business plan. As our partnerships go live, we will deploy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spacing w:after="0" w:line="2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Insurance Matters</w:t>
      </w:r>
    </w:p>
    <w:p>
      <w:pPr>
        <w:spacing w:after="0" w:line="108" w:lineRule="exact"/>
        <w:rPr>
          <w:sz w:val="20"/>
          <w:szCs w:val="20"/>
          <w:color w:val="auto"/>
        </w:rPr>
      </w:pPr>
    </w:p>
    <w:p>
      <w:pPr>
        <w:ind w:left="8" w:right="180" w:firstLine="991"/>
        <w:spacing w:after="0" w:line="272" w:lineRule="auto"/>
        <w:rPr>
          <w:sz w:val="20"/>
          <w:szCs w:val="20"/>
          <w:color w:val="auto"/>
        </w:rPr>
      </w:pPr>
      <w:r>
        <w:rPr>
          <w:rFonts w:ascii="Times New Roman" w:cs="Times New Roman" w:eastAsia="Times New Roman" w:hAnsi="Times New Roman"/>
          <w:sz w:val="17"/>
          <w:szCs w:val="17"/>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directors’, employee and fiduciary liability and officers’ liability.</w:t>
      </w:r>
    </w:p>
    <w:p>
      <w:pPr>
        <w:spacing w:after="0" w:line="105" w:lineRule="exact"/>
        <w:rPr>
          <w:sz w:val="20"/>
          <w:szCs w:val="20"/>
          <w:color w:val="auto"/>
        </w:rPr>
      </w:pPr>
    </w:p>
    <w:p>
      <w:pPr>
        <w:ind w:left="988"/>
        <w:spacing w:after="0"/>
        <w:rPr>
          <w:sz w:val="20"/>
          <w:szCs w:val="20"/>
          <w:color w:val="auto"/>
        </w:rPr>
      </w:pPr>
      <w:r>
        <w:rPr>
          <w:rFonts w:ascii="Times New Roman" w:cs="Times New Roman" w:eastAsia="Times New Roman" w:hAnsi="Times New Roman"/>
          <w:sz w:val="18"/>
          <w:szCs w:val="18"/>
          <w:color w:val="auto"/>
        </w:rPr>
        <w:t>We may also be covered for certain liabilities by insurance policies issued to third parties, including, but not limited to, our dealers and</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vendors.</w:t>
      </w:r>
    </w:p>
    <w:p>
      <w:pPr>
        <w:spacing w:after="0" w:line="138" w:lineRule="exact"/>
        <w:rPr>
          <w:sz w:val="20"/>
          <w:szCs w:val="20"/>
          <w:color w:val="auto"/>
        </w:rPr>
      </w:pPr>
    </w:p>
    <w:p>
      <w:pPr>
        <w:jc w:val="both"/>
        <w:ind w:left="8" w:right="260" w:firstLine="991"/>
        <w:spacing w:after="0" w:line="242" w:lineRule="auto"/>
        <w:rPr>
          <w:sz w:val="20"/>
          <w:szCs w:val="20"/>
          <w:color w:val="auto"/>
        </w:rPr>
      </w:pPr>
      <w:r>
        <w:rPr>
          <w:rFonts w:ascii="Times New Roman" w:cs="Times New Roman" w:eastAsia="Times New Roman" w:hAnsi="Times New Roman"/>
          <w:sz w:val="18"/>
          <w:szCs w:val="18"/>
          <w:color w:val="auto"/>
        </w:rPr>
        <w:t>We maintain $230 million of insurance coverage, which includes $200 million of cold storage coverage and $30 million of hot storage coverage. The $30 million of hot storage coverage is in excess of a $10 million loss retention. There is no retention applicable to the $200 million of cold storage coverage. All supporting insurers maintain a minimum A.M. Best rating of “A”. The</w:t>
      </w:r>
    </w:p>
    <w:p>
      <w:pPr>
        <w:spacing w:after="0" w:line="1" w:lineRule="exact"/>
        <w:rPr>
          <w:sz w:val="20"/>
          <w:szCs w:val="20"/>
          <w:color w:val="auto"/>
        </w:rPr>
      </w:pPr>
    </w:p>
    <w:p>
      <w:pPr>
        <w:ind w:left="8" w:right="460"/>
        <w:spacing w:after="0" w:line="233" w:lineRule="auto"/>
        <w:rPr>
          <w:sz w:val="20"/>
          <w:szCs w:val="20"/>
          <w:color w:val="auto"/>
        </w:rPr>
      </w:pPr>
      <w:r>
        <w:rPr>
          <w:rFonts w:ascii="Times New Roman" w:cs="Times New Roman" w:eastAsia="Times New Roman" w:hAnsi="Times New Roman"/>
          <w:sz w:val="18"/>
          <w:szCs w:val="18"/>
          <w:color w:val="auto"/>
        </w:rPr>
        <w:t>$30 million of hot storage coverage has a three-year term, expiring October 2024. The $200 million of cold storage coverage has a one-year term, expiring November 2024.</w:t>
      </w:r>
    </w:p>
    <w:p>
      <w:pPr>
        <w:spacing w:after="0" w:line="213" w:lineRule="exact"/>
        <w:rPr>
          <w:sz w:val="20"/>
          <w:szCs w:val="20"/>
          <w:color w:val="auto"/>
        </w:rPr>
      </w:pPr>
    </w:p>
    <w:p>
      <w:pPr>
        <w:ind w:left="988"/>
        <w:spacing w:after="0"/>
        <w:rPr>
          <w:sz w:val="20"/>
          <w:szCs w:val="20"/>
          <w:color w:val="auto"/>
        </w:rPr>
      </w:pPr>
      <w:r>
        <w:rPr>
          <w:rFonts w:ascii="Times New Roman" w:cs="Times New Roman" w:eastAsia="Times New Roman" w:hAnsi="Times New Roman"/>
          <w:sz w:val="18"/>
          <w:szCs w:val="18"/>
          <w:color w:val="auto"/>
        </w:rPr>
        <w:t>The AXA XL-led $30 million of hot storage coverage policy is non-cancellable, other than due to non-payment of premium. The</w:t>
      </w:r>
    </w:p>
    <w:p>
      <w:pPr>
        <w:spacing w:after="0" w:line="2" w:lineRule="exact"/>
        <w:rPr>
          <w:sz w:val="20"/>
          <w:szCs w:val="20"/>
          <w:color w:val="auto"/>
        </w:rPr>
      </w:pPr>
    </w:p>
    <w:p>
      <w:pPr>
        <w:ind w:left="8" w:right="360"/>
        <w:spacing w:after="0" w:line="220" w:lineRule="auto"/>
        <w:rPr>
          <w:sz w:val="20"/>
          <w:szCs w:val="20"/>
          <w:color w:val="auto"/>
        </w:rPr>
      </w:pPr>
      <w:r>
        <w:rPr>
          <w:rFonts w:ascii="Times New Roman" w:cs="Times New Roman" w:eastAsia="Times New Roman" w:hAnsi="Times New Roman"/>
          <w:sz w:val="17"/>
          <w:szCs w:val="17"/>
          <w:color w:val="auto"/>
        </w:rPr>
        <w:t>Lloyds-led $200 million of cold storage coverage policy may only be cancelled upon: 1) the Company’s election to cancel, 2) the insurer’s election to cancel, on 90 days’ notice to the Company, 3) the Company’s change in ownership or control or seizure by a receiver, trustee, or government entity, 4) voluntary liquidation of the Company, 5) exhaustion of the coverage limit, or 6) non-payment of premium. The AXA XL-led $30 million</w:t>
      </w:r>
    </w:p>
    <w:p>
      <w:pPr>
        <w:spacing w:after="0" w:line="2" w:lineRule="exact"/>
        <w:rPr>
          <w:sz w:val="20"/>
          <w:szCs w:val="20"/>
          <w:color w:val="auto"/>
        </w:rPr>
      </w:pPr>
    </w:p>
    <w:p>
      <w:pPr>
        <w:ind w:left="8" w:right="400"/>
        <w:spacing w:after="0" w:line="218" w:lineRule="auto"/>
        <w:rPr>
          <w:sz w:val="20"/>
          <w:szCs w:val="20"/>
          <w:color w:val="auto"/>
        </w:rPr>
      </w:pPr>
      <w:r>
        <w:rPr>
          <w:rFonts w:ascii="Times New Roman" w:cs="Times New Roman" w:eastAsia="Times New Roman" w:hAnsi="Times New Roman"/>
          <w:sz w:val="18"/>
          <w:szCs w:val="18"/>
          <w:color w:val="auto"/>
        </w:rPr>
        <w:t>of hot storage coverage policy has no automatic or guaranteed renewal provisions, although we expect to renew such coverage prior to its expiration. The Lloyds-led $200 million of cold storage policy has a one-year guaranteed renewal provision. There are no carrier inspection rights, but an affirmative proof of loss statement would need to be completed in the event of a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72" w:top="1035" w:right="479" w:bottom="1440" w:gutter="0" w:footer="0" w:header="0"/>
        </w:sectPr>
      </w:pPr>
    </w:p>
    <w:bookmarkStart w:id="27" w:name="page28"/>
    <w:bookmarkEnd w:id="27"/>
    <w:p>
      <w:pPr>
        <w:ind w:firstLine="991"/>
        <w:spacing w:after="0"/>
        <w:rPr>
          <w:sz w:val="20"/>
          <w:szCs w:val="20"/>
          <w:color w:val="auto"/>
        </w:rPr>
      </w:pPr>
      <w:r>
        <w:rPr>
          <w:rFonts w:ascii="Times New Roman" w:cs="Times New Roman" w:eastAsia="Times New Roman" w:hAnsi="Times New Roman"/>
          <w:sz w:val="18"/>
          <w:szCs w:val="18"/>
          <w:color w:val="auto"/>
        </w:rPr>
        <w:t>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80" w:top="1228" w:right="7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420" w:type="dxa"/>
            <w:vAlign w:val="bottom"/>
            <w:gridSpan w:val="16"/>
            <w:vMerge w:val="restart"/>
          </w:tcPr>
          <w:p>
            <w:pPr>
              <w:ind w:left="2300"/>
              <w:spacing w:after="0" w:line="159"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5420" w:type="dxa"/>
            <w:vAlign w:val="bottom"/>
            <w:gridSpan w:val="16"/>
            <w:vMerge w:val="continue"/>
          </w:tcPr>
          <w:p>
            <w:pPr>
              <w:spacing w:after="0"/>
              <w:rPr>
                <w:sz w:val="10"/>
                <w:szCs w:val="10"/>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5"/>
                <w:szCs w:val="15"/>
                <w:color w:val="auto"/>
              </w:rPr>
            </w:pPr>
          </w:p>
        </w:tc>
        <w:tc>
          <w:tcPr>
            <w:tcW w:w="5340" w:type="dxa"/>
            <w:vAlign w:val="bottom"/>
            <w:tcBorders>
              <w:top w:val="single" w:sz="8" w:color="auto"/>
            </w:tcBorders>
            <w:gridSpan w:val="15"/>
          </w:tcPr>
          <w:p>
            <w:pPr>
              <w:spacing w:after="0" w:line="175"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Amendment No. 1 To Membership Interest Purchase Agreement,</w:t>
              </w:r>
            </w:hyperlink>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2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dated as of March 30, 2023, by and among the Company, Bakkt</w:t>
              </w:r>
            </w:hyperlink>
          </w:p>
        </w:tc>
        <w:tc>
          <w:tcPr>
            <w:tcW w:w="1200" w:type="dxa"/>
            <w:vAlign w:val="bottom"/>
            <w:gridSpan w:val="11"/>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Marketplace,</w:t>
              </w:r>
            </w:hyperlink>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8-K</w:t>
            </w:r>
          </w:p>
        </w:tc>
        <w:tc>
          <w:tcPr>
            <w:tcW w:w="9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w w:val="98"/>
              </w:rPr>
              <w:t>001-39544</w:t>
            </w:r>
          </w:p>
        </w:tc>
        <w:tc>
          <w:tcPr>
            <w:tcW w:w="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80" w:type="dxa"/>
            <w:vAlign w:val="bottom"/>
          </w:tcPr>
          <w:p>
            <w:pPr>
              <w:spacing w:after="0"/>
              <w:rPr>
                <w:sz w:val="12"/>
                <w:szCs w:val="12"/>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April 3, 2023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Apex Fintech Solutions Inc. and Apex Crypto, LLC.</w:t>
              </w:r>
            </w:hyperlink>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428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Certificate of Incorporation of the Company, as currently in effect</w:t>
              </w:r>
            </w:hyperlink>
          </w:p>
        </w:tc>
        <w:tc>
          <w:tcPr>
            <w:tcW w:w="1140" w:type="dxa"/>
            <w:vAlign w:val="bottom"/>
            <w:gridSpan w:val="10"/>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8-K</w:t>
            </w: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8"/>
              </w:rPr>
              <w:t>001-39544</w:t>
            </w: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October 21, 2021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30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By-laws of the Company, as currently in effect</w:t>
              </w:r>
            </w:hyperlink>
          </w:p>
        </w:tc>
        <w:tc>
          <w:tcPr>
            <w:tcW w:w="2380" w:type="dxa"/>
            <w:vAlign w:val="bottom"/>
            <w:gridSpan w:val="13"/>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8-K</w:t>
            </w: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8"/>
              </w:rPr>
              <w:t>001-39544</w:t>
            </w: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October 21, 2021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7"/>
                <w:szCs w:val="17"/>
                <w:color w:val="auto"/>
              </w:rPr>
            </w:pPr>
          </w:p>
        </w:tc>
        <w:tc>
          <w:tcPr>
            <w:tcW w:w="5420" w:type="dxa"/>
            <w:vAlign w:val="bottom"/>
            <w:gridSpan w:val="16"/>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Amendment Agreement by and between Bakkt Holdings, Inc., Apex Fintech</w:t>
              </w:r>
            </w:hyperlink>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10-Q</w:t>
            </w:r>
          </w:p>
        </w:tc>
        <w:tc>
          <w:tcPr>
            <w:tcW w:w="9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w w:val="98"/>
              </w:rPr>
              <w:t>001-39544</w:t>
            </w:r>
          </w:p>
        </w:tc>
        <w:tc>
          <w:tcPr>
            <w:tcW w:w="8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17"/>
                <w:szCs w:val="17"/>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August 10, 2023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Solutions Inc. and PEAK6 Investments LLC</w:t>
              </w:r>
            </w:hyperlink>
          </w:p>
        </w:tc>
        <w:tc>
          <w:tcPr>
            <w:tcW w:w="2060" w:type="dxa"/>
            <w:vAlign w:val="bottom"/>
            <w:tcBorders>
              <w:top w:val="single" w:sz="8" w:color="0000FF"/>
            </w:tcBorders>
            <w:gridSpan w:val="6"/>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 *</w:t>
            </w:r>
          </w:p>
        </w:tc>
        <w:tc>
          <w:tcPr>
            <w:tcW w:w="80" w:type="dxa"/>
            <w:vAlign w:val="bottom"/>
          </w:tcPr>
          <w:p>
            <w:pPr>
              <w:spacing w:after="0"/>
              <w:rPr>
                <w:sz w:val="17"/>
                <w:szCs w:val="17"/>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00" w:type="dxa"/>
            <w:vAlign w:val="bottom"/>
            <w:tcBorders>
              <w:top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14(a) under the Securities Exchange Act of 1934, as Adopted Pursuant to Section</w:t>
            </w:r>
          </w:p>
        </w:tc>
        <w:tc>
          <w:tcPr>
            <w:tcW w:w="12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8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14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 *</w:t>
            </w:r>
          </w:p>
        </w:tc>
        <w:tc>
          <w:tcPr>
            <w:tcW w:w="80" w:type="dxa"/>
            <w:vAlign w:val="bottom"/>
          </w:tcPr>
          <w:p>
            <w:pPr>
              <w:spacing w:after="0"/>
              <w:rPr>
                <w:sz w:val="17"/>
                <w:szCs w:val="17"/>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4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14(a) under the Securities Exchange Act of 1934, as Adopted Pursuant to Section</w:t>
            </w:r>
          </w:p>
        </w:tc>
        <w:tc>
          <w:tcPr>
            <w:tcW w:w="18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8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14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906 of the Sarbanes- Oxley Act of 2002.</w:t>
            </w:r>
          </w:p>
        </w:tc>
        <w:tc>
          <w:tcPr>
            <w:tcW w:w="220" w:type="dxa"/>
            <w:vAlign w:val="bottom"/>
            <w:gridSpan w:val="5"/>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32.2†</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906 of the Sarbanes- Oxley Act of 2002.</w:t>
            </w:r>
          </w:p>
        </w:tc>
        <w:tc>
          <w:tcPr>
            <w:tcW w:w="260" w:type="dxa"/>
            <w:vAlign w:val="bottom"/>
            <w:gridSpan w:val="6"/>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54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20" w:type="dxa"/>
            <w:vAlign w:val="bottom"/>
            <w:gridSpan w:val="16"/>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XBRL tags are embedded within the Inline XBRL</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4"/>
                <w:szCs w:val="14"/>
                <w:color w:val="auto"/>
              </w:rPr>
            </w:pPr>
          </w:p>
        </w:tc>
        <w:tc>
          <w:tcPr>
            <w:tcW w:w="5420" w:type="dxa"/>
            <w:vAlign w:val="bottom"/>
            <w:gridSpan w:val="16"/>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Exhibit 101)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Filed herewith.</w:t>
      </w:r>
    </w:p>
    <w:p>
      <w:pPr>
        <w:spacing w:after="0" w:line="86" w:lineRule="exact"/>
        <w:rPr>
          <w:sz w:val="20"/>
          <w:szCs w:val="20"/>
          <w:color w:val="auto"/>
        </w:rPr>
      </w:pPr>
    </w:p>
    <w:p>
      <w:pPr>
        <w:ind w:left="440" w:hanging="432"/>
        <w:spacing w:after="0" w:line="307" w:lineRule="auto"/>
        <w:tabs>
          <w:tab w:leader="none" w:pos="23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exhibits are furnished with this Quarterly Report on Form 10-Q/A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11" w:right="57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68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Bakkt Holdings, Inc.</w:t>
            </w:r>
          </w:p>
        </w:tc>
        <w:tc>
          <w:tcPr>
            <w:tcW w:w="3480" w:type="dxa"/>
            <w:vAlign w:val="bottom"/>
          </w:tcPr>
          <w:p>
            <w:pPr>
              <w:spacing w:after="0"/>
              <w:rPr>
                <w:sz w:val="18"/>
                <w:szCs w:val="18"/>
                <w:color w:val="auto"/>
              </w:rPr>
            </w:pPr>
          </w:p>
        </w:tc>
      </w:tr>
      <w:tr>
        <w:trPr>
          <w:trHeight w:val="48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7, 2024</w:t>
            </w:r>
          </w:p>
        </w:tc>
        <w:tc>
          <w:tcPr>
            <w:tcW w:w="368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/s/ Gavin Michael</w:t>
            </w:r>
          </w:p>
        </w:tc>
      </w:tr>
      <w:tr>
        <w:trPr>
          <w:trHeight w:val="207"/>
        </w:trPr>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rPr>
              <w:t>Gavin Michael</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8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7, 2024</w:t>
            </w:r>
          </w:p>
        </w:tc>
        <w:tc>
          <w:tcPr>
            <w:tcW w:w="368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/s/ Karen Alexander</w:t>
            </w:r>
          </w:p>
        </w:tc>
      </w:tr>
      <w:tr>
        <w:trPr>
          <w:trHeight w:val="207"/>
        </w:trPr>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rPr>
              <w:t>Karen Alexander</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48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7, 2024</w:t>
            </w:r>
          </w:p>
        </w:tc>
        <w:tc>
          <w:tcPr>
            <w:tcW w:w="368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/s/ Chip Goodroe</w:t>
            </w:r>
          </w:p>
        </w:tc>
      </w:tr>
      <w:tr>
        <w:trPr>
          <w:trHeight w:val="207"/>
        </w:trPr>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rPr>
              <w:t>Chip Goodroe</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16"/>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8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0900"/>
          </w:cols>
          <w:pgMar w:left="480" w:top="765" w:right="51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72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Gavin Michael</w:t>
      </w:r>
    </w:p>
    <w:p>
      <w:pPr>
        <w:spacing w:after="0" w:line="5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Executive Officer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31" w:name="page32"/>
    <w:bookmarkEnd w:id="3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64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5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ind w:left="73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10-Q/A for the period ending September 30, 2023 as filed</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with the Securities and Exchange Commission on the date hereof (the “Report”), I, Gavin Michael, the Chief Executive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620" w:val="left"/>
          <w:tab w:leader="none" w:pos="798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Gavin Michael</w:t>
      </w:r>
    </w:p>
    <w:p>
      <w:pPr>
        <w:spacing w:after="0" w:line="5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10-Q/A for the period ending September 30, 2023 as filed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with the Securities and Exchange Commission on the date hereof (the “Report”), I, Karen Alexander, the Chief Financial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43180</wp:posOffset>
            </wp:positionV>
            <wp:extent cx="33686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51" Type="http://schemas.openxmlformats.org/officeDocument/2006/relationships/hyperlink" Target="https://www.sec.gov/Archives/edgar/data/1820302/000119312523089016/d482123dex22.htm" TargetMode="External"/><Relationship Id="rId52" Type="http://schemas.openxmlformats.org/officeDocument/2006/relationships/hyperlink" Target="https://www.sec.gov/Archives/edgar/data/1820302/000119312521303985/d219325dex31.htm" TargetMode="External"/><Relationship Id="rId53" Type="http://schemas.openxmlformats.org/officeDocument/2006/relationships/hyperlink" Target="https://www.sec.gov/Archives/edgar/data/1820302/000119312521303985/d219325dex32.htm" TargetMode="External"/><Relationship Id="rId54" Type="http://schemas.openxmlformats.org/officeDocument/2006/relationships/hyperlink" Target="https://www.sec.gov/Archives/edgar/data/1820302/000182030223000080/exhibit42amendmen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2024-02-08T05:18:29Z</dcterms:created>
  <dcterms:modified xsi:type="dcterms:W3CDTF">2024-02-08T05:18:29Z</dcterms:modified>
</cp:coreProperties>
</file>