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ind w:left="760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17411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115" cy="514350"/>
                    </a:xfrm>
                    <a:prstGeom prst="rect">
                      <a:avLst/>
                    </a:prstGeom>
                    <a:noFill/>
                  </pic:spPr>
                </pic:pic>
              </a:graphicData>
            </a:graphic>
          </wp:anchor>
        </w:drawing>
      </w:r>
    </w:p>
    <w:p>
      <w:pPr>
        <w:spacing w:after="0" w:line="7" w:lineRule="exact"/>
        <w:rPr>
          <w:sz w:val="24"/>
          <w:szCs w:val="24"/>
          <w:color w:val="auto"/>
        </w:rPr>
      </w:pPr>
    </w:p>
    <w:p>
      <w:pPr>
        <w:ind w:left="760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4"/>
          <w:szCs w:val="24"/>
          <w:color w:val="auto"/>
        </w:rPr>
      </w:pPr>
    </w:p>
    <w:p>
      <w:pPr>
        <w:ind w:left="760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4"/>
          <w:szCs w:val="24"/>
          <w:color w:val="auto"/>
        </w:rPr>
      </w:pPr>
    </w:p>
    <w:p>
      <w:pPr>
        <w:ind w:left="760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4"/>
          <w:szCs w:val="24"/>
          <w:color w:val="auto"/>
        </w:rPr>
      </w:pPr>
    </w:p>
    <w:p>
      <w:pPr>
        <w:ind w:left="760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4"/>
          <w:szCs w:val="24"/>
          <w:color w:val="auto"/>
        </w:rPr>
      </w:pPr>
    </w:p>
    <w:p>
      <w:pPr>
        <w:ind w:left="760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866.974.7329</w:t>
      </w:r>
    </w:p>
    <w:p>
      <w:pPr>
        <w:spacing w:after="0" w:line="23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3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108" w:lineRule="exact"/>
        <w:rPr>
          <w:sz w:val="24"/>
          <w:szCs w:val="24"/>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131" w:lineRule="exact"/>
        <w:rPr>
          <w:sz w:val="24"/>
          <w:szCs w:val="24"/>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 on Form S-3 Filed April 21, 2023 (File No. 333-271361)</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 on Form S-3 Filed April 21, 2023 (File No. 333-271362)</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Post-Effective Amendment No. 2 to Form S-1 on Form S-3 Filed April 21, 2023 (File No. 333-261034)</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 on Form S-3 Filed April 26, 2023 (File No. 333-271438) (collectively, the “</w:t>
      </w:r>
      <w:r>
        <w:rPr>
          <w:rFonts w:ascii="Times New Roman" w:cs="Times New Roman" w:eastAsia="Times New Roman" w:hAnsi="Times New Roman"/>
          <w:sz w:val="18"/>
          <w:szCs w:val="18"/>
          <w:b w:val="1"/>
          <w:bCs w:val="1"/>
          <w:u w:val="single" w:color="auto"/>
          <w:color w:val="auto"/>
        </w:rPr>
        <w:t>Registration Statements</w:t>
      </w:r>
      <w:r>
        <w:rPr>
          <w:rFonts w:ascii="Times New Roman" w:cs="Times New Roman" w:eastAsia="Times New Roman" w:hAnsi="Times New Roman"/>
          <w:sz w:val="18"/>
          <w:szCs w:val="18"/>
          <w:b w:val="1"/>
          <w:bCs w:val="1"/>
          <w:color w:val="auto"/>
        </w:rPr>
        <w: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Ms. Berkheimer and Mr. Lin:</w:t>
      </w:r>
    </w:p>
    <w:p>
      <w:pPr>
        <w:spacing w:after="0" w:line="225" w:lineRule="exact"/>
        <w:rPr>
          <w:sz w:val="24"/>
          <w:szCs w:val="24"/>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behalf of Bakkt Holdings, Inc. (including its subsidiaries as the context requires,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 the responses below,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we submit this letter containing consolidated responses to the comment letters, dated January 11, 2024,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regarding the Registration Statements, including the information incorporated by reference therein from the Company’s Annual Report on Form 10-K for the year ended December 31, 2022 (the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For ease of review, each of your comments from your comment letter relating to the Registration Statement with File No. 333-271362 are set forth below, followed by the Company’s responses. Such responses are intended to be responsive to the comment letter relating to the Registration Statement with File No. 333-271362, as well as the corresponding substantively identical comment letters provided in respect of the other three Registration Statements.</w:t>
      </w:r>
    </w:p>
    <w:p>
      <w:pPr>
        <w:spacing w:after="0" w:line="28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Response Dated November 21, 2023</w:t>
      </w:r>
    </w:p>
    <w:p>
      <w:pPr>
        <w:spacing w:after="0" w:line="33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4"/>
          <w:szCs w:val="24"/>
          <w:color w:val="auto"/>
        </w:rPr>
      </w:pPr>
    </w:p>
    <w:p>
      <w:pPr>
        <w:ind w:left="540" w:right="120" w:hanging="424"/>
        <w:spacing w:after="0" w:line="261" w:lineRule="auto"/>
        <w:tabs>
          <w:tab w:leader="none" w:pos="5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comment 1 that you plan to provide revised disclosure in response to our comments in an amendment to the Company’s recently filed Form 10-Q for the quarter ended September 30, 2023 prior to the effectiveness. Please supplementally provide us with proposed draft pages to an amendment to the Form 10-Q. Please also revise to include a recent developments section in your prospectus summary to disclose the Apex Acquisition and related material risks.</w:t>
      </w:r>
    </w:p>
    <w:p>
      <w:pPr>
        <w:spacing w:after="0" w:line="182" w:lineRule="exact"/>
        <w:rPr>
          <w:sz w:val="24"/>
          <w:szCs w:val="24"/>
          <w:color w:val="auto"/>
        </w:rPr>
      </w:pPr>
    </w:p>
    <w:p>
      <w:pPr>
        <w:ind w:left="1280"/>
        <w:spacing w:after="0"/>
        <w:tabs>
          <w:tab w:leader="none" w:pos="2000" w:val="left"/>
          <w:tab w:leader="none" w:pos="2760" w:val="left"/>
          <w:tab w:leader="none" w:pos="3560" w:val="left"/>
          <w:tab w:leader="none" w:pos="4420" w:val="left"/>
          <w:tab w:leader="none" w:pos="5340" w:val="left"/>
          <w:tab w:leader="none" w:pos="6380" w:val="left"/>
          <w:tab w:leader="none" w:pos="7200" w:val="left"/>
          <w:tab w:leader="none" w:pos="8320" w:val="left"/>
          <w:tab w:leader="none" w:pos="9280" w:val="left"/>
        </w:tabs>
        <w:rPr>
          <w:sz w:val="20"/>
          <w:szCs w:val="20"/>
          <w:color w:val="auto"/>
        </w:rPr>
      </w:pPr>
      <w:r>
        <w:rPr>
          <w:rFonts w:ascii="Times New Roman" w:cs="Times New Roman" w:eastAsia="Times New Roman" w:hAnsi="Times New Roman"/>
          <w:sz w:val="13"/>
          <w:szCs w:val="13"/>
          <w:color w:val="auto"/>
        </w:rPr>
        <w:t>AUSTIN</w:t>
      </w:r>
      <w:r>
        <w:rPr>
          <w:sz w:val="20"/>
          <w:szCs w:val="20"/>
          <w:color w:val="auto"/>
        </w:rPr>
        <w:tab/>
      </w:r>
      <w:r>
        <w:rPr>
          <w:rFonts w:ascii="Times New Roman" w:cs="Times New Roman" w:eastAsia="Times New Roman" w:hAnsi="Times New Roman"/>
          <w:sz w:val="13"/>
          <w:szCs w:val="13"/>
          <w:color w:val="auto"/>
        </w:rPr>
        <w:t>BEIJING</w:t>
      </w:r>
      <w:r>
        <w:rPr>
          <w:sz w:val="20"/>
          <w:szCs w:val="20"/>
          <w:color w:val="auto"/>
        </w:rPr>
        <w:tab/>
      </w:r>
      <w:r>
        <w:rPr>
          <w:rFonts w:ascii="Times New Roman" w:cs="Times New Roman" w:eastAsia="Times New Roman" w:hAnsi="Times New Roman"/>
          <w:sz w:val="13"/>
          <w:szCs w:val="13"/>
          <w:color w:val="auto"/>
        </w:rPr>
        <w:t>BOSTON</w:t>
      </w:r>
      <w:r>
        <w:rPr>
          <w:sz w:val="20"/>
          <w:szCs w:val="20"/>
          <w:color w:val="auto"/>
        </w:rPr>
        <w:tab/>
      </w:r>
      <w:r>
        <w:rPr>
          <w:rFonts w:ascii="Times New Roman" w:cs="Times New Roman" w:eastAsia="Times New Roman" w:hAnsi="Times New Roman"/>
          <w:sz w:val="13"/>
          <w:szCs w:val="13"/>
          <w:color w:val="auto"/>
        </w:rPr>
        <w:t>BOULDER</w:t>
      </w:r>
      <w:r>
        <w:rPr>
          <w:sz w:val="20"/>
          <w:szCs w:val="20"/>
          <w:color w:val="auto"/>
        </w:rPr>
        <w:tab/>
      </w:r>
      <w:r>
        <w:rPr>
          <w:rFonts w:ascii="Times New Roman" w:cs="Times New Roman" w:eastAsia="Times New Roman" w:hAnsi="Times New Roman"/>
          <w:sz w:val="13"/>
          <w:szCs w:val="13"/>
          <w:color w:val="auto"/>
        </w:rPr>
        <w:t>BRUSSELS</w:t>
      </w:r>
      <w:r>
        <w:rPr>
          <w:sz w:val="20"/>
          <w:szCs w:val="20"/>
          <w:color w:val="auto"/>
        </w:rPr>
        <w:tab/>
      </w:r>
      <w:r>
        <w:rPr>
          <w:rFonts w:ascii="Times New Roman" w:cs="Times New Roman" w:eastAsia="Times New Roman" w:hAnsi="Times New Roman"/>
          <w:sz w:val="13"/>
          <w:szCs w:val="13"/>
          <w:color w:val="auto"/>
        </w:rPr>
        <w:t>HONG KONG</w:t>
      </w:r>
      <w:r>
        <w:rPr>
          <w:sz w:val="20"/>
          <w:szCs w:val="20"/>
          <w:color w:val="auto"/>
        </w:rPr>
        <w:tab/>
      </w:r>
      <w:r>
        <w:rPr>
          <w:rFonts w:ascii="Times New Roman" w:cs="Times New Roman" w:eastAsia="Times New Roman" w:hAnsi="Times New Roman"/>
          <w:sz w:val="13"/>
          <w:szCs w:val="13"/>
          <w:color w:val="auto"/>
        </w:rPr>
        <w:t>LONDON</w:t>
      </w:r>
      <w:r>
        <w:rPr>
          <w:sz w:val="20"/>
          <w:szCs w:val="20"/>
          <w:color w:val="auto"/>
        </w:rPr>
        <w:tab/>
      </w:r>
      <w:r>
        <w:rPr>
          <w:rFonts w:ascii="Times New Roman" w:cs="Times New Roman" w:eastAsia="Times New Roman" w:hAnsi="Times New Roman"/>
          <w:sz w:val="13"/>
          <w:szCs w:val="13"/>
          <w:color w:val="auto"/>
        </w:rPr>
        <w:t>LOS ANGELES</w:t>
      </w:r>
      <w:r>
        <w:rPr>
          <w:sz w:val="20"/>
          <w:szCs w:val="20"/>
          <w:color w:val="auto"/>
        </w:rPr>
        <w:tab/>
      </w:r>
      <w:r>
        <w:rPr>
          <w:rFonts w:ascii="Times New Roman" w:cs="Times New Roman" w:eastAsia="Times New Roman" w:hAnsi="Times New Roman"/>
          <w:sz w:val="13"/>
          <w:szCs w:val="13"/>
          <w:color w:val="auto"/>
        </w:rPr>
        <w:t>NEW YORK</w:t>
      </w:r>
      <w:r>
        <w:rPr>
          <w:sz w:val="20"/>
          <w:szCs w:val="20"/>
          <w:color w:val="auto"/>
        </w:rPr>
        <w:tab/>
      </w:r>
      <w:r>
        <w:rPr>
          <w:rFonts w:ascii="Times New Roman" w:cs="Times New Roman" w:eastAsia="Times New Roman" w:hAnsi="Times New Roman"/>
          <w:sz w:val="10"/>
          <w:szCs w:val="10"/>
          <w:color w:val="auto"/>
        </w:rPr>
        <w:t>PALO ALTO</w:t>
      </w:r>
    </w:p>
    <w:p>
      <w:pPr>
        <w:spacing w:after="0" w:line="94" w:lineRule="exact"/>
        <w:rPr>
          <w:sz w:val="24"/>
          <w:szCs w:val="24"/>
          <w:color w:val="auto"/>
        </w:rPr>
      </w:pPr>
    </w:p>
    <w:p>
      <w:pPr>
        <w:ind w:left="1780"/>
        <w:spacing w:after="0"/>
        <w:tabs>
          <w:tab w:leader="none" w:pos="3040" w:val="left"/>
          <w:tab w:leader="none" w:pos="4000" w:val="left"/>
          <w:tab w:leader="none" w:pos="5280" w:val="left"/>
          <w:tab w:leader="none" w:pos="6080" w:val="left"/>
          <w:tab w:leader="none" w:pos="7020" w:val="left"/>
          <w:tab w:leader="none" w:pos="8380" w:val="left"/>
        </w:tabs>
        <w:rPr>
          <w:sz w:val="20"/>
          <w:szCs w:val="20"/>
          <w:color w:val="auto"/>
        </w:rPr>
      </w:pPr>
      <w:r>
        <w:rPr>
          <w:rFonts w:ascii="Times New Roman" w:cs="Times New Roman" w:eastAsia="Times New Roman" w:hAnsi="Times New Roman"/>
          <w:sz w:val="13"/>
          <w:szCs w:val="13"/>
          <w:color w:val="auto"/>
        </w:rPr>
        <w:t>SALT LAKE CITY</w:t>
      </w:r>
      <w:r>
        <w:rPr>
          <w:sz w:val="20"/>
          <w:szCs w:val="20"/>
          <w:color w:val="auto"/>
        </w:rPr>
        <w:tab/>
      </w:r>
      <w:r>
        <w:rPr>
          <w:rFonts w:ascii="Times New Roman" w:cs="Times New Roman" w:eastAsia="Times New Roman" w:hAnsi="Times New Roman"/>
          <w:sz w:val="13"/>
          <w:szCs w:val="13"/>
          <w:color w:val="auto"/>
        </w:rPr>
        <w:t>SAN DIEGO</w:t>
      </w:r>
      <w:r>
        <w:rPr>
          <w:sz w:val="20"/>
          <w:szCs w:val="20"/>
          <w:color w:val="auto"/>
        </w:rPr>
        <w:tab/>
      </w:r>
      <w:r>
        <w:rPr>
          <w:rFonts w:ascii="Times New Roman" w:cs="Times New Roman" w:eastAsia="Times New Roman" w:hAnsi="Times New Roman"/>
          <w:sz w:val="13"/>
          <w:szCs w:val="13"/>
          <w:color w:val="auto"/>
        </w:rPr>
        <w:t>SAN FRANCISCO</w:t>
      </w:r>
      <w:r>
        <w:rPr>
          <w:sz w:val="20"/>
          <w:szCs w:val="20"/>
          <w:color w:val="auto"/>
        </w:rPr>
        <w:tab/>
      </w:r>
      <w:r>
        <w:rPr>
          <w:rFonts w:ascii="Times New Roman" w:cs="Times New Roman" w:eastAsia="Times New Roman" w:hAnsi="Times New Roman"/>
          <w:sz w:val="13"/>
          <w:szCs w:val="13"/>
          <w:color w:val="auto"/>
        </w:rPr>
        <w:t>SEATTLE</w:t>
      </w:r>
      <w:r>
        <w:rPr>
          <w:sz w:val="20"/>
          <w:szCs w:val="20"/>
          <w:color w:val="auto"/>
        </w:rPr>
        <w:tab/>
      </w:r>
      <w:r>
        <w:rPr>
          <w:rFonts w:ascii="Times New Roman" w:cs="Times New Roman" w:eastAsia="Times New Roman" w:hAnsi="Times New Roman"/>
          <w:sz w:val="13"/>
          <w:szCs w:val="13"/>
          <w:color w:val="auto"/>
        </w:rPr>
        <w:t>SHANGHAI</w:t>
      </w:r>
      <w:r>
        <w:rPr>
          <w:sz w:val="20"/>
          <w:szCs w:val="20"/>
          <w:color w:val="auto"/>
        </w:rPr>
        <w:tab/>
      </w:r>
      <w:r>
        <w:rPr>
          <w:rFonts w:ascii="Times New Roman" w:cs="Times New Roman" w:eastAsia="Times New Roman" w:hAnsi="Times New Roman"/>
          <w:sz w:val="13"/>
          <w:szCs w:val="13"/>
          <w:color w:val="auto"/>
        </w:rPr>
        <w:t>WASHINGTON, DC</w:t>
      </w:r>
      <w:r>
        <w:rPr>
          <w:sz w:val="20"/>
          <w:szCs w:val="20"/>
          <w:color w:val="auto"/>
        </w:rPr>
        <w:tab/>
      </w:r>
      <w:r>
        <w:rPr>
          <w:rFonts w:ascii="Times New Roman" w:cs="Times New Roman" w:eastAsia="Times New Roman" w:hAnsi="Times New Roman"/>
          <w:sz w:val="12"/>
          <w:szCs w:val="12"/>
          <w:color w:val="auto"/>
        </w:rPr>
        <w:t>WILMINGTON, DE</w:t>
      </w:r>
    </w:p>
    <w:p>
      <w:pPr>
        <w:sectPr>
          <w:pgSz w:w="11900" w:h="16838" w:orient="portrait"/>
          <w:cols w:equalWidth="0" w:num="1">
            <w:col w:w="11080"/>
          </w:cols>
          <w:pgMar w:left="320" w:top="22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172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proposed draft pages of the amendment to the Company’s Form 10-Q for the quarter ended September 30, 2023 are attached hereto as Annex A, and the updated prospectus summary to Registration Statement with File No. 333-271362, which will be conformed across all the Registration Statements, is attached hereto as Annex B.</w:t>
      </w:r>
    </w:p>
    <w:p>
      <w:pPr>
        <w:spacing w:after="0" w:line="79" w:lineRule="exact"/>
        <w:rPr>
          <w:sz w:val="20"/>
          <w:szCs w:val="20"/>
          <w:color w:val="auto"/>
        </w:rPr>
      </w:pPr>
    </w:p>
    <w:p>
      <w:pPr>
        <w:ind w:left="540" w:right="540" w:hanging="424"/>
        <w:spacing w:after="0" w:line="315" w:lineRule="auto"/>
        <w:tabs>
          <w:tab w:leader="none" w:pos="540"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note your proposed disclosure in response to comment 2 that, “We generally do not engage in any direct-to-consumer marketing for the acquisition or engagement of end consumers...” Please delete “generally” from the beginning of this sentence or disclose any exceptions.</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it has revised the quoted statement to remove the word “generally,” as reflected on page 26 of Annex A.</w:t>
      </w:r>
    </w:p>
    <w:p>
      <w:pPr>
        <w:spacing w:after="0" w:line="65" w:lineRule="exact"/>
        <w:rPr>
          <w:sz w:val="20"/>
          <w:szCs w:val="20"/>
          <w:color w:val="auto"/>
        </w:rPr>
      </w:pPr>
    </w:p>
    <w:p>
      <w:pPr>
        <w:ind w:left="540" w:right="220" w:hanging="424"/>
        <w:spacing w:after="0" w:line="267"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proposed disclosure in response to comment 6 that your insurance policy with respect to crypto assets “contains customary exclusions and limitations of coverage as per industry standards.” Please expand your disclosure to briefly describe such customary exclusions and limitations of coverage and provide examples, as appropriate.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it maintains $230 million of insurance coverage, which includes</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$200 million of cold storage coverage and $30 million of hot storage coverage. The $30 million of hot storage coverage is in excess of a $10 million loss retention. There is no retention applicable to the $200 million of cold storage coverage. All supporting insurers maintain a minimum A.M. Best rating of “A”. The $30 million of hot storage coverage has a three-year term, expiring October 2024. The $200 million of cold storage coverage has a one-year term, expiring November 2024.</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AXA XL-led $30 million of hot storage coverage policy is non-cancellable, other than due to non-payment of premium. The Lloyds-led</w:t>
      </w:r>
    </w:p>
    <w:p>
      <w:pPr>
        <w:spacing w:after="0" w:line="27"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$200 million of cold storage coverage policy may only be cancelled upon: 1) the Company’s election to cancel, 2) the insurer’s election to cancel, on 90 days’ notice to the Company, 3) the Company’s change in ownership or control or seizure by a receiver, trustee, or government entity, 4) voluntary liquidation of the Company, 5) exhaustion of the coverage limit, or 6) non-payment of premium. The AXA XL-led $30 million of hot storage coverage policy has no automatic or guaranteed renewal provisions, although we expect to renew such coverage prior to its expiration. The Lloyds-led</w:t>
      </w:r>
    </w:p>
    <w:p>
      <w:pPr>
        <w:spacing w:after="0" w:line="2"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$200 million of cold storage policy has a one-year guaranteed renewal provision. There are no carrier inspection rights, but an affirmative proof of loss statement would need to be completed in the event of a loss.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172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such as money laundering, are expressly excluded. We have updated our proposed disclosure in Annex A under “</w:t>
      </w:r>
      <w:r>
        <w:rPr>
          <w:rFonts w:ascii="Times New Roman" w:cs="Times New Roman" w:eastAsia="Times New Roman" w:hAnsi="Times New Roman"/>
          <w:sz w:val="18"/>
          <w:szCs w:val="18"/>
          <w:i w:val="1"/>
          <w:iCs w:val="1"/>
          <w:color w:val="auto"/>
        </w:rPr>
        <w:t>Item 5—Other Information—Insurance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w:t>
      </w:r>
      <w:r>
        <w:rPr>
          <w:rFonts w:ascii="Times New Roman" w:cs="Times New Roman" w:eastAsia="Times New Roman" w:hAnsi="Times New Roman"/>
          <w:sz w:val="18"/>
          <w:szCs w:val="18"/>
          <w:color w:val="auto"/>
        </w:rPr>
        <w:t>” to reflect the foregoing.</w:t>
      </w:r>
    </w:p>
    <w:p>
      <w:pPr>
        <w:spacing w:after="0" w:line="87" w:lineRule="exact"/>
        <w:rPr>
          <w:sz w:val="20"/>
          <w:szCs w:val="20"/>
          <w:color w:val="auto"/>
        </w:rPr>
      </w:pPr>
    </w:p>
    <w:p>
      <w:pPr>
        <w:ind w:left="540" w:right="60" w:hanging="424"/>
        <w:spacing w:after="0" w:line="256" w:lineRule="auto"/>
        <w:tabs>
          <w:tab w:leader="none" w:pos="5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proposed disclosure in response to comment 7 that all crypto assets that you make available to Customers are transferable to external wallets, with the exception of: (i) Ethereum Classic (ETC) and Dogecoin (DOGE), which are under development and are expected to be supported for transfers in the first quarter of 2024, and (ii) crypto assets made available to Customers residing in the State of New York. Please provide us your legal analysis as to why such instruments included in your list of exceptions and traded through your platform are not derivatives, such as swaps. In this regard, it appears that such trading may be synthetic with customers depositing cash, trading solely within your closed platform, and being prohibited from withdrawing crypto assets from the platform. In responding to this comment, please address the rights and title a Customer has with respect to such crypto assets traded through your platform.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respectfully acknowledges the Staff’s comment and advises that the Bakkt Crypto (as defined in Annex A) platform has been upgraded to support the customer (as defined in Annex A) transfer of ETC and DOGE to external wallets as of January 19, 2024. This transfer capability will not be available to customers residing in the State of New York until approved by the New York Department of Financial Services, which we plan to seek in 2024. The Company has updated its proposed disclosure accordingly in Annex A under “ </w:t>
      </w:r>
      <w:r>
        <w:rPr>
          <w:rFonts w:ascii="Times New Roman" w:cs="Times New Roman" w:eastAsia="Times New Roman" w:hAnsi="Times New Roman"/>
          <w:sz w:val="18"/>
          <w:szCs w:val="18"/>
          <w:i w:val="1"/>
          <w:iCs w:val="1"/>
          <w:color w:val="auto"/>
        </w:rPr>
        <w:t>Item 5—Other Information—Crypto Assets and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Offered by Bakkt—External Transfer of Crypto Assets (through Bakkt Crypto)</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With respect to the Staff’s request for the Company’s analysis as to why certain crypto assets traded on the Bakkt Crypto platform are not derivatives, such as swaps, all crypto assets held by a customer in its Bakkt Crypto wallet are custodial assets held by Bakkt Crypto for the customer’s benefit. Pursuant to applicable user agreements, customers are able to purchase crypto assets from, or sell crypto assets to, Bakkt Crypto by means of their self-directed Bakkt Crypto accounts. Bakkt Crypto is obligated under the user agreements to keep records reflecting the ownership of crypto assets purchased by customers and stored in Bakkt Crypto-controlled wallets, which Bakkt Crypto maintains through its internal ledgers, and to make ownership information accessible to customers through their accounts. Bakkt Crypto does not purport to hold any property interest in crypto assets held on behalf of customers. Bakkt Crypto does not sell, transfer, assign, lend, hypothecate, pledge, or otherwise use or encumber crypto assets held on behalf of customers. Customers have full authority over the disposition and use of all crypto assets held on their behalf, and they both enjoy all of the benefits, and are subject to all of the burdens, of the ownership of those crypto assets. In sum, Bakkt Crypto’s customers, not Bakkt Crypto, fully bear the economic risks, and stand fully to gain from the economic benefits, of the ownership of the crypto assets they hold on the Bakkt Crypto platform.</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172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jc w:val="both"/>
        <w:ind w:left="120" w:right="100"/>
        <w:spacing w:after="0" w:line="272" w:lineRule="auto"/>
        <w:rPr>
          <w:sz w:val="20"/>
          <w:szCs w:val="20"/>
          <w:color w:val="auto"/>
        </w:rPr>
      </w:pPr>
      <w:r>
        <w:rPr>
          <w:rFonts w:ascii="Times New Roman" w:cs="Times New Roman" w:eastAsia="Times New Roman" w:hAnsi="Times New Roman"/>
          <w:sz w:val="17"/>
          <w:szCs w:val="17"/>
          <w:color w:val="auto"/>
        </w:rPr>
        <w:t>The absence of the particular external withdrawal capability described in the Company’s proposed disclosure does not convert customers’ current legal and beneficial ownership of crypto assets into a swap, or any other species of derivative or synthetic exposure. The crypto assets available on the Bakkt Crypto platform are tradable by customers in all applicable jurisdictions at best available prices as sourced from Bakkt Crypto’s liquidity providers.</w:t>
      </w:r>
    </w:p>
    <w:p>
      <w:pPr>
        <w:spacing w:after="0" w:line="2" w:lineRule="exact"/>
        <w:rPr>
          <w:sz w:val="20"/>
          <w:szCs w:val="20"/>
          <w:color w:val="auto"/>
        </w:rPr>
      </w:pPr>
    </w:p>
    <w:p>
      <w:pPr>
        <w:ind w:left="120" w:right="20"/>
        <w:spacing w:after="0" w:line="214" w:lineRule="auto"/>
        <w:rPr>
          <w:sz w:val="20"/>
          <w:szCs w:val="20"/>
          <w:color w:val="auto"/>
        </w:rPr>
      </w:pPr>
      <w:r>
        <w:rPr>
          <w:rFonts w:ascii="Times New Roman" w:cs="Times New Roman" w:eastAsia="Times New Roman" w:hAnsi="Times New Roman"/>
          <w:sz w:val="17"/>
          <w:szCs w:val="17"/>
          <w:color w:val="auto"/>
        </w:rPr>
        <w:t>They bear none of the characteristics of swaps, nor of any other species of derivative, such as futures contracts. No portion of the six-pronged definition of “swap” set out in the Commodity Exchange Act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could reasonably be read to extend to these holdings. Crypto assets held on the Bakkt Crypto Platform are not put, call, cap, floor, or collar options based on the value of financial or economic interests or property;</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to the contrary, they confer no option-like rights and entail no option-like obligations of any kind. The holdings provide for no purchase, sale, payment, or delivery dependent on the occurrence or non-occurrence of an event or contingency.</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They do not comprise transactions for the exchange of payments based on the value of crypto assets, but rather entail the conveyance of “a current . . . . direct . . . . ownership interest in” those assets.</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xml:space="preserve"> These crypto asset holdings are not known to the trade as swaps,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xml:space="preserve"> nor are they security-based swap agreements,</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xml:space="preserve"> nor are they a “combination or permutation” of any of these categories of swap.</w:t>
      </w:r>
      <w:r>
        <w:rPr>
          <w:rFonts w:ascii="Times New Roman" w:cs="Times New Roman" w:eastAsia="Times New Roman" w:hAnsi="Times New Roman"/>
          <w:sz w:val="25"/>
          <w:szCs w:val="25"/>
          <w:color w:val="auto"/>
          <w:vertAlign w:val="superscript"/>
        </w:rPr>
        <w:t>7</w:t>
      </w:r>
    </w:p>
    <w:p>
      <w:pPr>
        <w:spacing w:after="0" w:line="77" w:lineRule="exact"/>
        <w:rPr>
          <w:sz w:val="20"/>
          <w:szCs w:val="20"/>
          <w:color w:val="auto"/>
        </w:rPr>
      </w:pPr>
    </w:p>
    <w:p>
      <w:pPr>
        <w:ind w:left="120"/>
        <w:spacing w:after="0" w:line="230" w:lineRule="auto"/>
        <w:rPr>
          <w:sz w:val="20"/>
          <w:szCs w:val="20"/>
          <w:color w:val="auto"/>
        </w:rPr>
      </w:pPr>
      <w:r>
        <w:rPr>
          <w:rFonts w:ascii="Times New Roman" w:cs="Times New Roman" w:eastAsia="Times New Roman" w:hAnsi="Times New Roman"/>
          <w:sz w:val="18"/>
          <w:szCs w:val="18"/>
          <w:color w:val="auto"/>
        </w:rPr>
        <w:t xml:space="preserve">In addition, even if the Company </w:t>
      </w:r>
      <w:r>
        <w:rPr>
          <w:rFonts w:ascii="Times New Roman" w:cs="Times New Roman" w:eastAsia="Times New Roman" w:hAnsi="Times New Roman"/>
          <w:sz w:val="18"/>
          <w:szCs w:val="18"/>
          <w:i w:val="1"/>
          <w:iCs w:val="1"/>
          <w:color w:val="auto"/>
        </w:rPr>
        <w:t>were</w:t>
      </w:r>
      <w:r>
        <w:rPr>
          <w:rFonts w:ascii="Times New Roman" w:cs="Times New Roman" w:eastAsia="Times New Roman" w:hAnsi="Times New Roman"/>
          <w:sz w:val="18"/>
          <w:szCs w:val="18"/>
          <w:color w:val="auto"/>
        </w:rPr>
        <w:t xml:space="preserve"> the owner of the underlying crypto assets (which, as noted above, is not the case), that fact, in and of itself, would not be sufficient for Bakkt Crypto’s platform to involve trading in swaps. By way of analogy, when the Commission and the Commodity Futures Trading Commission have previously analyzed the circumstances under which a participation in an asset falls outside the definitions of “swap” and “security-based swap,” they looked beyond title or beneficial ownership.</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The relevant guidance, which was analyzing loan participations,</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 xml:space="preserve"> identified four characteristics of such participations that are not considered to fall under the swap or security-based swap definitions: (i) the grantor of the loan participation is a lender under or participant in the underlying loan; (ii) the aggregate participation in the underlying loan does not exceed the loan’s principal amount, and the grantor of the participation does not convey a greater interest to the participant than the grantor itself holds; (iii) the purchase price for the loan participation is paid in full at time of acquisition; and (iv) the loan participation provides the participant all of the economic benefit and risk of the whole or part of the loan underlying the participation.</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xml:space="preserve"> Reasoning by analogy, all four of these characteristics would be present here:</w:t>
      </w:r>
    </w:p>
    <w:p>
      <w:pPr>
        <w:spacing w:after="0" w:line="4" w:lineRule="exact"/>
        <w:rPr>
          <w:sz w:val="20"/>
          <w:szCs w:val="20"/>
          <w:color w:val="auto"/>
        </w:rPr>
      </w:pPr>
    </w:p>
    <w:p>
      <w:pPr>
        <w:ind w:left="120" w:right="140" w:hanging="4"/>
        <w:spacing w:after="0" w:line="253"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Crypto has legal title to the crypto asset for the benefit of the customer; (ii) the aggregate amount of crypto assets Bakkt Crypto purports to hold for its customers does not exceed the amount of such assets actually held by Bakkt Crypto, and Bakkt Crypto does not convey a greater interest in the assets than it holds itself; (iii) each customer makes payment for the crypto asset in full at the time its order is filled; and (iv) the customer receives all of the economic benefit and risk of the underlying crypto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8"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7 U.S.C. § 1a(47).</w:t>
      </w:r>
    </w:p>
    <w:p>
      <w:pPr>
        <w:ind w:left="540" w:hanging="424"/>
        <w:spacing w:after="0" w:line="180" w:lineRule="auto"/>
        <w:tabs>
          <w:tab w:leader="none" w:pos="5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7 U.S.C. § 1a(47)(A)(i).</w:t>
      </w:r>
    </w:p>
    <w:p>
      <w:pPr>
        <w:ind w:left="540" w:hanging="424"/>
        <w:spacing w:after="0" w:line="180" w:lineRule="auto"/>
        <w:tabs>
          <w:tab w:leader="none" w:pos="5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7 U.S.C. § 1a(47)(A)(ii).</w:t>
      </w:r>
    </w:p>
    <w:p>
      <w:pPr>
        <w:ind w:left="540" w:hanging="424"/>
        <w:spacing w:after="0" w:line="180" w:lineRule="auto"/>
        <w:tabs>
          <w:tab w:leader="none" w:pos="5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7 U.S.C. § 1a(47)(A)(iii).</w:t>
      </w:r>
    </w:p>
    <w:p>
      <w:pPr>
        <w:ind w:left="540" w:hanging="424"/>
        <w:spacing w:after="0" w:line="181" w:lineRule="auto"/>
        <w:tabs>
          <w:tab w:leader="none" w:pos="54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7 U.S.C. § 1a(47)(A)(iv).</w:t>
      </w:r>
    </w:p>
    <w:p>
      <w:pPr>
        <w:ind w:left="540" w:hanging="424"/>
        <w:spacing w:after="0" w:line="180" w:lineRule="auto"/>
        <w:tabs>
          <w:tab w:leader="none" w:pos="54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7 U.S.C. § 1a(47)(A)(v).</w:t>
      </w:r>
    </w:p>
    <w:p>
      <w:pPr>
        <w:ind w:left="540" w:hanging="424"/>
        <w:spacing w:after="0" w:line="180" w:lineRule="auto"/>
        <w:tabs>
          <w:tab w:leader="none" w:pos="54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7 U.S.C. § 1a(47)(A)(vi).</w:t>
      </w:r>
    </w:p>
    <w:p>
      <w:pPr>
        <w:spacing w:after="0" w:line="2" w:lineRule="exact"/>
        <w:rPr>
          <w:sz w:val="20"/>
          <w:szCs w:val="20"/>
          <w:color w:val="auto"/>
        </w:rPr>
      </w:pPr>
    </w:p>
    <w:p>
      <w:pPr>
        <w:ind w:left="540" w:right="140" w:hanging="424"/>
        <w:spacing w:after="0" w:line="199" w:lineRule="auto"/>
        <w:tabs>
          <w:tab w:leader="none" w:pos="54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Final Rule, Further Definition of ‘‘Swap,’’ ‘‘Security-Based Swap,’’ and ‘‘Security-Based Swap Agreement’’; Mixed Swaps; Security-Based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 Agreement Recordkeeping, 77 Fed. Reg. 48251 (Aug. 13, 2012).</w:t>
      </w:r>
    </w:p>
    <w:p>
      <w:pPr>
        <w:ind w:left="540" w:hanging="424"/>
        <w:spacing w:after="0" w:line="181" w:lineRule="auto"/>
        <w:tabs>
          <w:tab w:leader="none" w:pos="5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i w:val="1"/>
          <w:iCs w:val="1"/>
          <w:color w:val="auto"/>
        </w:rPr>
        <w:t>Id</w:t>
      </w:r>
      <w:r>
        <w:rPr>
          <w:rFonts w:ascii="Times New Roman" w:cs="Times New Roman" w:eastAsia="Times New Roman" w:hAnsi="Times New Roman"/>
          <w:sz w:val="17"/>
          <w:szCs w:val="17"/>
          <w:color w:val="auto"/>
        </w:rPr>
        <w:t>. Although the guidance pertained to loans, no aspects of the relevant statutes would justify a different interpretation for other types of assets.</w:t>
      </w:r>
    </w:p>
    <w:p>
      <w:pPr>
        <w:spacing w:after="0" w:line="2" w:lineRule="exact"/>
        <w:rPr>
          <w:rFonts w:ascii="Times New Roman" w:cs="Times New Roman" w:eastAsia="Times New Roman" w:hAnsi="Times New Roman"/>
          <w:sz w:val="25"/>
          <w:szCs w:val="25"/>
          <w:color w:val="auto"/>
          <w:vertAlign w:val="superscript"/>
        </w:rPr>
      </w:pPr>
    </w:p>
    <w:p>
      <w:pPr>
        <w:ind w:left="12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i w:val="1"/>
          <w:iCs w:val="1"/>
          <w:color w:val="auto"/>
        </w:rPr>
        <w:t xml:space="preserve">    Id.</w:t>
      </w:r>
    </w:p>
    <w:p>
      <w:pPr>
        <w:spacing w:after="0" w:line="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172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5</w:t>
      </w:r>
    </w:p>
    <w:p>
      <w:pPr>
        <w:spacing w:after="0" w:line="137" w:lineRule="exact"/>
        <w:rPr>
          <w:sz w:val="20"/>
          <w:szCs w:val="20"/>
          <w:color w:val="auto"/>
        </w:rPr>
      </w:pPr>
    </w:p>
    <w:p>
      <w:pPr>
        <w:ind w:left="540" w:right="40" w:hanging="424"/>
        <w:spacing w:after="0" w:line="258" w:lineRule="auto"/>
        <w:tabs>
          <w:tab w:leader="none" w:pos="5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your proposed disclosure in Annex A defines the term “Client” to include “businesses with whom [you] contract to provide services to Customers on our platforms, and includes financial institutions, hedge funds, merchants, retailers, and other businesses.” Please expand this definition to clarify that the term “Client” also includes the third-party partners to which you refer in your disclosures, as you state in response to comment 8. In addition, please tell us how you considered including risk factor disclosure regarding the enforceability of the agreements with Clients that are not in writing and describing any material impacts to your business.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it has revised the disclosure to clarify that the term “Client” also includes the third-party partners to which it refers, as reflected on page 14 of Annex A.</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does not have any agreements with clients that are not in writing. Relatedly, as disclosed in Annex A to our response dated August 2, 2023, to the Staff comment letters dated June 12, 2023, under the risk factor titled “</w:t>
      </w:r>
      <w:r>
        <w:rPr>
          <w:rFonts w:ascii="Times New Roman" w:cs="Times New Roman" w:eastAsia="Times New Roman" w:hAnsi="Times New Roman"/>
          <w:sz w:val="18"/>
          <w:szCs w:val="18"/>
          <w:i w:val="1"/>
          <w:iCs w:val="1"/>
          <w:color w:val="auto"/>
        </w:rPr>
        <w:t>If we are unable to attract, retain or grow our relationships with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w:t>
      </w:r>
      <w:r>
        <w:rPr>
          <w:rFonts w:ascii="Times New Roman" w:cs="Times New Roman" w:eastAsia="Times New Roman" w:hAnsi="Times New Roman"/>
          <w:sz w:val="18"/>
          <w:szCs w:val="18"/>
          <w:color w:val="auto"/>
        </w:rPr>
        <w:t>organizations,”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advises that some of its written agreements with clients are agreements to collaborate and determine potential products and services to bring to market. These written agreements provide that any such products and services would themselves be the subject of future definitive written agreements between the Company and the relevant client. We have updated this risk factor on pages 5-6 of Annex A to reflect this.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Item 5. Other Information, page 1</w:t>
      </w:r>
    </w:p>
    <w:p>
      <w:pPr>
        <w:spacing w:after="0" w:line="110" w:lineRule="exact"/>
        <w:rPr>
          <w:sz w:val="20"/>
          <w:szCs w:val="20"/>
          <w:color w:val="auto"/>
        </w:rPr>
      </w:pPr>
    </w:p>
    <w:p>
      <w:pPr>
        <w:ind w:left="540" w:right="40" w:hanging="424"/>
        <w:spacing w:after="0" w:line="257" w:lineRule="auto"/>
        <w:tabs>
          <w:tab w:leader="none" w:pos="5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comment 8 and your proposed disclosure in Annex A that you are developing functionalities to transfer supported crypto assets between registered Customers of the Company. Please describe in greater detail the functionalities you are developing, including whether they are intended to create a payment platform or facilitate the matching of transactions between Customers. Further, with respect to your proposed disclosure in Annex A that Customers may purchase crypto assets through the Customer’s “Banking as a Service” provider account, please clarify what is meant by this term, and which parties maintain relationships with the bank that is providing the service. Please also revise to clarify that the company is not regulated as a bank and does not have deposit insurance for its customer accounts.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 xml:space="preserve">The Company respectfully acknowledges the Staff’s comment and advises that the Company has indefinitely postponed further development and rollout of the capability for registered customers to transfer crypto assets to and from other registered customers within our platform. We have updated our disclosure in Annex A under </w:t>
      </w:r>
      <w:r>
        <w:rPr>
          <w:rFonts w:ascii="Times New Roman" w:cs="Times New Roman" w:eastAsia="Times New Roman" w:hAnsi="Times New Roman"/>
          <w:sz w:val="18"/>
          <w:szCs w:val="18"/>
          <w:i w:val="1"/>
          <w:iCs w:val="1"/>
          <w:color w:val="auto"/>
        </w:rPr>
        <w:t>“Item 5—Other Information—Crypto Assets and Services Offered by Bakkt—Other Potential Services</w:t>
      </w:r>
      <w:r>
        <w:rPr>
          <w:rFonts w:ascii="Times New Roman" w:cs="Times New Roman" w:eastAsia="Times New Roman" w:hAnsi="Times New Roman"/>
          <w:sz w:val="18"/>
          <w:szCs w:val="18"/>
          <w:color w:val="auto"/>
        </w:rPr>
        <w:t>” to reflect this.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172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reference to a customer’s “Banking as a Service” provider account refers to instances where a client, through its banking relationships, offers customers the ability to withdraw fiat currency from, or transfer or deposit fiat currency into, the customer’s Banking as a Service account with that client. In those instances, those customers would utilize their Banking as a Service account to purchase supported crypto assets from Bakkt Crypto, as depicted in Figure 2 of Annex A, and to deposit the proceeds of sales of supported crypto assets to Bakkt Crypto, as depicted in Figure 6 of Annex A. Our client, not the Company, maintains the relationship with the Banking as a Service provider and the Company is not itself regulated as a bank. We have revised our disclosure on page 19 of Annex A to clarify this.</w:t>
      </w:r>
    </w:p>
    <w:p>
      <w:pPr>
        <w:spacing w:after="0" w:line="212" w:lineRule="exact"/>
        <w:rPr>
          <w:sz w:val="20"/>
          <w:szCs w:val="20"/>
          <w:color w:val="auto"/>
        </w:rPr>
      </w:pPr>
    </w:p>
    <w:p>
      <w:pPr>
        <w:ind w:left="540" w:right="300" w:hanging="424"/>
        <w:spacing w:after="0" w:line="284" w:lineRule="auto"/>
        <w:tabs>
          <w:tab w:leader="none" w:pos="5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in your response to comment 9 that your definition of “crypto” asset includes the terms “virtual currencies,” “coins,” and “tokens.” Please explain their meanings so that a reader without specialized industry knowledge can understand them.</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for purposes of its public disclosures, the Company regards “crypto assets”, “virtual currency”, “coins” and “tokens” to be interchangeable. We note that the State of New York uses the term “virtual currency,” and therefore, in contexts that refer directly to New York law or regulation, the disclosure uses that term. We have revised our disclosure on page 14 of Annex A to clarify this.</w:t>
      </w:r>
    </w:p>
    <w:p>
      <w:pPr>
        <w:spacing w:after="0" w:line="205" w:lineRule="exact"/>
        <w:rPr>
          <w:sz w:val="20"/>
          <w:szCs w:val="20"/>
          <w:color w:val="auto"/>
        </w:rPr>
      </w:pPr>
    </w:p>
    <w:p>
      <w:pPr>
        <w:ind w:left="540" w:right="200" w:hanging="424"/>
        <w:spacing w:after="0" w:line="267" w:lineRule="auto"/>
        <w:tabs>
          <w:tab w:leader="none" w:pos="5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discussion under “Crypto Asset Trading” on pages 5—9 of Annex A focuses primarily on the Customer side of a transaction. Please also provide additional detail on the execution of transactions with liquidity providers (and the inter-relationship between such transactions and the transactions with Customers). For example, and without limitation, please discuss:</w:t>
      </w:r>
    </w:p>
    <w:p>
      <w:pPr>
        <w:spacing w:after="0" w:line="78" w:lineRule="exact"/>
        <w:rPr>
          <w:rFonts w:ascii="Times New Roman" w:cs="Times New Roman" w:eastAsia="Times New Roman" w:hAnsi="Times New Roman"/>
          <w:sz w:val="18"/>
          <w:szCs w:val="18"/>
          <w:i w:val="1"/>
          <w:iCs w:val="1"/>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How many liquidity providers you route 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How you determine which liquidity provider to route to for a particular order;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material terms of your relationships with liquidity providers;</w:t>
      </w:r>
    </w:p>
    <w:p>
      <w:pPr>
        <w:spacing w:after="0" w:line="130"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Whether the execution of a Customer’s order is contingent upon the execution of an offsetting order with a liquidity provider, or alternatively, whether Bakkt Crypto executes a Customer’s order and subsequently executes an offsetting order with a liquidity provider. If the latter, please explain why the use of the term “riskless principal” is appropriate in this context;</w:t>
      </w:r>
    </w:p>
    <w:p>
      <w:pPr>
        <w:spacing w:after="0" w:line="78"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Whether Bakkt Crypto is required to pre-fund any transactions with liquidity providers and, if so, whether Bakkt Crypto uses its own cash or crypto assets to do so; and</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liquidity risk to the company associated with these arrangements with liquidity providers.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Bakkt Crypto currently has relationships with seven liquidity providers, with at least three providers servicing each supported crypto asset in order to provide consistent liquidity. Bakkt Crypto utilizes a proprietary, internal system to aggregate quotes from its liquidity providers by asset, side, price and size, which Bakkt Crypto uses to determine what quotes to provide, as principal, to its clients for display to customers.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172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7</w:t>
      </w:r>
    </w:p>
    <w:p>
      <w:pPr>
        <w:spacing w:after="0" w:line="13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To fill customer orders as riskless principal, the Bakkt Crypto platform compares customer orders to the aggregated best bid or offer prices quoted by Bakkt Crypto’s liquidity providers. If a customer order is marketable, Bakkt Crypto routes an offsetting order for its own account, on a one-to-one basis, to the liquidity provider quoting the best price. Customers may place market orders or limit orders on the Bakkt Crypto platform. Market orders are, by definition, marketable when they are placed. As such, when a customer market order is received, Bakkt Crypto will offset that order by routing an order for its own account to the relevant liquidity provider on an “immediate or cancel” basis. Limit orders may be marketable when they are placed, or may become marketable when the aggregated market price, as determined by Bakkt Crypto’s proprietary internal system, aligns with the limit price selected by the customer. The Bakkt Crypto platform holds customer market orders that are not marketable at the time they are placed on Bakkt Crypto’s internal order book and evaluates such orders for marketability on an ongoing basis as liquidity providers change their best bid or offer prices. Should a customer limit order become marketable as the aggregated best price changes, the Bakkt Crypto platform would, at that point, place an offsetting order for its own account with a liquidity provider.</w:t>
      </w:r>
    </w:p>
    <w:p>
      <w:pPr>
        <w:spacing w:after="0" w:line="19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Upon receipt of a fill confirmation from the liquidity provider servicing one of Bakkt Crypto’s offsetting orders, Bakkt Crypto will fill the corresponding customer transaction out of its own account as riskless principal. In other words, the Bakkt Crypto platform is structured to execute the offsetting order for Bakkt Crypto’s own account prior to executing the corresponding customer order.</w:t>
      </w:r>
    </w:p>
    <w:p>
      <w:pPr>
        <w:spacing w:after="0" w:line="176"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Bakkt Crypto has written agreements with all of its liquidity providers. Under these agreements, Bakkt Crypto is granted access to proprietary trading platforms of the liquidity providers for the purpose of placing orders for purchase or sale of crypto assets. Bakkt Crypto acts as principal in such transactions with liquidity providers. Orders cannot be withdrawn, cancelled or amended. After the liquidity provider accepts the order, it issues a transaction confirmation. The parties then are obligated to deliver fiat currency and crypto assets according to the terms of the transaction. The agreements contain customary representations and warranties and confidentiality, limitation of liability and indemnification provisions. The agreements do not have a set term and generally may be cancelled by either party for convenience on prior written notice of 30 to 60 days, with some agreements providing for no such notice obligations or a notice obligation of seven days.</w:t>
      </w:r>
    </w:p>
    <w:p>
      <w:pPr>
        <w:spacing w:after="0" w:line="18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Settlement is conducted on a net basis on the blockchain supporting the crypto asset. Bakkt Crypto is not required to pre-fund any transactions with liquidity providers. Instead, Bakkt Crypto settles with its liquidity providers on a daily or other post-trade, non-real-time basis, at which time, fiat currency and crypto assets are exchanged to settle trading obligations from the previous period. In periods of heavy trading volumes, Bakkt Crypto and the liquidity providers may agree to perform more frequent settlements in order to decrease the exposure of unsettled transactions. We have revised our disclosure on page 22 of Annex A to provide this additional detail.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Bakkt Crypto, page 2</w:t>
      </w:r>
    </w:p>
    <w:p>
      <w:pPr>
        <w:spacing w:after="0" w:line="129" w:lineRule="exact"/>
        <w:rPr>
          <w:sz w:val="20"/>
          <w:szCs w:val="20"/>
          <w:color w:val="auto"/>
        </w:rPr>
      </w:pPr>
    </w:p>
    <w:p>
      <w:pPr>
        <w:ind w:left="540" w:right="100" w:hanging="424"/>
        <w:spacing w:after="0" w:line="258" w:lineRule="auto"/>
        <w:tabs>
          <w:tab w:leader="none" w:pos="5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comment 10 that you do not have any updates at this time on your plans to offer non-fungible tokens or NFTs and your proposed disclosure that you are evaluating the opportunity to purchase and sell NFTs. To the extent that you may offer NFTs to your Customers but do not have a timeline related thereto, please disclose the factors you will consider when determining whether and when to offer NFTs to your Customers. In addition, please identify the local Client with which you have a partnership and customers with in Spain, Mexico, Argentina, and soon Brazil.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172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8</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 xml:space="preserve">The Company respectfully acknowledges the Staff’s comment and advises that the Company has postponed further development and rollout of NFTs indefinitely. Factors relevant to our determination include, among other things, revenue expectations and compliance with applicable laws. We have updated our disclosure in Annex A under </w:t>
      </w:r>
      <w:r>
        <w:rPr>
          <w:rFonts w:ascii="Times New Roman" w:cs="Times New Roman" w:eastAsia="Times New Roman" w:hAnsi="Times New Roman"/>
          <w:sz w:val="18"/>
          <w:szCs w:val="18"/>
          <w:i w:val="1"/>
          <w:iCs w:val="1"/>
          <w:color w:val="auto"/>
        </w:rPr>
        <w:t>“Item 5—Other Information—Crypto Assets and Services Offered by Bakkt—Other Potential Services</w:t>
      </w:r>
      <w:r>
        <w:rPr>
          <w:rFonts w:ascii="Times New Roman" w:cs="Times New Roman" w:eastAsia="Times New Roman" w:hAnsi="Times New Roman"/>
          <w:sz w:val="18"/>
          <w:szCs w:val="18"/>
          <w:color w:val="auto"/>
        </w:rPr>
        <w:t>” to reflect this.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is currently live in Spain, Mexico, Argentina, and Brazil with Hapi Crypto.</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Risk Factors, page 3</w:t>
      </w:r>
    </w:p>
    <w:p>
      <w:pPr>
        <w:spacing w:after="0" w:line="129" w:lineRule="exact"/>
        <w:rPr>
          <w:sz w:val="20"/>
          <w:szCs w:val="20"/>
          <w:color w:val="auto"/>
        </w:rPr>
      </w:pPr>
    </w:p>
    <w:p>
      <w:pPr>
        <w:jc w:val="both"/>
        <w:ind w:left="540" w:right="240" w:hanging="424"/>
        <w:spacing w:after="0" w:line="267" w:lineRule="auto"/>
        <w:tabs>
          <w:tab w:leader="none" w:pos="5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proposed disclosure in Annex A that Bakkt Trust and Bakkt Crypto hold proprietary assets in the same wallets that hold Customer assets. Please expand your risk factor disclosure to discuss related risks. Please also expand your risk factor disclosure to discuss the potential impact of the insolvency of any of your third-party custodians.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it intends to supplement its disclosure in response to the Staff’s comments. The proposed text is set forth below and included on pages 7-8 of Annex A under the risk factor captioned “</w:t>
      </w:r>
      <w:r>
        <w:rPr>
          <w:rFonts w:ascii="Times New Roman" w:cs="Times New Roman" w:eastAsia="Times New Roman" w:hAnsi="Times New Roman"/>
          <w:sz w:val="18"/>
          <w:szCs w:val="18"/>
          <w:i w:val="1"/>
          <w:iCs w:val="1"/>
          <w:color w:val="auto"/>
        </w:rPr>
        <w:t>Our failure to safeguard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 our customers’ crypto could adversely impact our business, operating results, and financial condition.</w:t>
      </w:r>
      <w:r>
        <w:rPr>
          <w:rFonts w:ascii="Times New Roman" w:cs="Times New Roman" w:eastAsia="Times New Roman" w:hAnsi="Times New Roman"/>
          <w:sz w:val="18"/>
          <w:szCs w:val="18"/>
          <w:color w:val="auto"/>
        </w:rPr>
        <w:t>” The Company also advises the Staff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as of the date of this submission, the value of Bakkt Crypto assets held in omnibus wallet accounts for less than one tenth of one percent of the value of the balance of crypto assets held on behalf of Bakkt Crypto customers.</w:t>
      </w:r>
    </w:p>
    <w:p>
      <w:pPr>
        <w:spacing w:after="0" w:line="75"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“We regard the crypto assets that we hold in custody for customers as the property of those customers, who benefit from the rewards and bear the risks associated with their ownership, and we believe that customer crypto assets, consistent with the nature and terms of the services we offer and applicable law, would not be made available to satisfy the claims of our general creditors in the event of our bankruptcy. In addition, since the acquisition of Bakkt Crypto, we have utilized the services of third-party custodians to hold crypto assets in custody for the benefit of Bakkt Crypto customers. These third-party custodians maintain their own bankruptcy protection procedures and contractual protections designed with the goal that the crypto assets held in custody by these third-party custodians would not be made available to satisfy the claims of such custodian’s general creditors in the event of bankruptcy. However, insolvency law is not fully developed with respect to the holding of crypto assets in custodial arrangements and continues to develop. As a result, there is a risk that crypto assets held in custody could be considered to be the property of a bankruptcy estate in the event of a bankruptcy, and that the crypto assets held in custody on behalf of our customers could be subject to bankruptcy proceedings and such customers could be treated as general unsecured creditors. This prospect may result in customers finding our custodial services more risky and less attractive.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172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9</w:t>
      </w:r>
    </w:p>
    <w:p>
      <w:pPr>
        <w:spacing w:after="0" w:line="139"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 xml:space="preserve">Both Bakkt Trust and Bakkt Crypto use omnibus wallets to hold crypto assets belonging to the Company as well as crypto assets held for the benefit of and on behalf of customers. The balances of Bakkt Crypto-owned assets in such wallets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and are maintained solely to facilitate customer transactions, such as by funding the payment of transfer fees and addressing rounding conventions and trade errors. Although the Company maintains detailed internal ledgers recording the ownership of crypto assets held in Company-controlled omnibus wallets, the use of omnibus wallets could complicate the disposition or treatment of customer crypto assets in the event of our bankruptcy, including by increasing the risk that crypto assets held in the omnibus wallets are considered to be the property of our bankruptcy estate.”</w:t>
      </w:r>
    </w:p>
    <w:p>
      <w:pPr>
        <w:spacing w:after="0" w:line="91" w:lineRule="exact"/>
        <w:rPr>
          <w:sz w:val="20"/>
          <w:szCs w:val="20"/>
          <w:color w:val="auto"/>
        </w:rPr>
      </w:pPr>
    </w:p>
    <w:p>
      <w:pPr>
        <w:ind w:left="540" w:right="180" w:hanging="424"/>
        <w:spacing w:after="0" w:line="254" w:lineRule="auto"/>
        <w:tabs>
          <w:tab w:leader="none" w:pos="5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proposed disclosure in response to comment 22. Please expand your disclosure in the subsection headed “Custody Services for the Crypto Assets Supported for Trading” to include the information you provide in your response regarding the material terms of your third-party custody arrangements. In addition, your response notes that “[a]ssets stored by Coinbase Custody and Bitgo are held 100% in segregated cold storage.” However, you subsequently state that BitGo, at Bakkt Crypto’s direction, establishes and maintains wallets for the storage of crypto assets, including cold wallets where BitGo holds a majority of the keys and a majority of those are stored offline” (emphasis added). Please reconcile these statements. Please also clarify what you mean by the term “segregated” cold storage in the first sentence (as opposed to unsegregated cold storage). In addition, in the second sentence, please explain why only a majority of keys held by BitGo in cold wallets are stored offline. If some portion of the keys held in cold wallets are stored online, it is unclear why those wallets would be considered cold wallets. Please also revise to describe the term and termination provisions of your custody agreements.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The Company respectfully acknowledges the Staff’s comment and advises that it has expanded the subject disclosure to include the material terms of the custody agreements in the subsection headed “ </w:t>
      </w:r>
      <w:r>
        <w:rPr>
          <w:rFonts w:ascii="Times New Roman" w:cs="Times New Roman" w:eastAsia="Times New Roman" w:hAnsi="Times New Roman"/>
          <w:sz w:val="18"/>
          <w:szCs w:val="18"/>
          <w:i w:val="1"/>
          <w:iCs w:val="1"/>
          <w:color w:val="auto"/>
        </w:rPr>
        <w:t>—Custody Services for the Crypto Assets Supported for Trading</w:t>
      </w:r>
      <w:r>
        <w:rPr>
          <w:rFonts w:ascii="Times New Roman" w:cs="Times New Roman" w:eastAsia="Times New Roman" w:hAnsi="Times New Roman"/>
          <w:sz w:val="18"/>
          <w:szCs w:val="18"/>
          <w:color w:val="auto"/>
        </w:rPr>
        <w:t>” of Annex A.</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All of the keys for the cold wallets BitGo and Coinbase have established to hold Bakkt Crypto assets are held by BitGo or Coinbase, as applicable, and stored in cold storage.</w:t>
      </w:r>
    </w:p>
    <w:p>
      <w:pPr>
        <w:spacing w:after="0" w:line="16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“Segregated” means that Bakkt Crypto customers assets are held in unique addresses on the respective blockchains and do not include assets of other clients of BitGo or Coinbase, or of BitGo or Coinbase themselves.</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has revised the subject disclosure to include a description of the term and terminations provisions of the custody agreements, as reflected on page 23 of Annex A.</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Regulatory regimes governing blockchain technologies and crypto, page 12</w:t>
      </w:r>
    </w:p>
    <w:p>
      <w:pPr>
        <w:spacing w:after="0" w:line="129" w:lineRule="exact"/>
        <w:rPr>
          <w:sz w:val="20"/>
          <w:szCs w:val="20"/>
          <w:color w:val="auto"/>
        </w:rPr>
      </w:pPr>
    </w:p>
    <w:p>
      <w:pPr>
        <w:ind w:left="540" w:right="480" w:hanging="424"/>
        <w:spacing w:after="0" w:line="284" w:lineRule="auto"/>
        <w:tabs>
          <w:tab w:leader="none" w:pos="5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tell us how you considered revising your disclosure in this risk factor to address the Digital Financial Assets Law recently enacted in California and its potential impact on the Company.</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172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10</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it intends to supplement its disclosure in response to the Staff’s comments. The proposed text is set forth below and included on pages 9-10 of Annex A under the risk factor captioned “</w:t>
      </w:r>
      <w:r>
        <w:rPr>
          <w:rFonts w:ascii="Times New Roman" w:cs="Times New Roman" w:eastAsia="Times New Roman" w:hAnsi="Times New Roman"/>
          <w:sz w:val="18"/>
          <w:szCs w:val="18"/>
          <w:i w:val="1"/>
          <w:iCs w:val="1"/>
          <w:color w:val="auto"/>
        </w:rPr>
        <w:t>Regulatory regimes 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blockchain technologies and crypto are evolving and uncertain, and new legislation, regulations, guidance and enforcement actions have in the past required, and may in the future require, us to alter our business practices.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“In October 2023, the governor of California signed into law the Digital Financial Assets Law (“DFAL”), which establishes a required licensing framework administered by the California Department of Financial Protection and Innovation (“DFPI”) for entities engaged in digital financial asset business activity in the state of California. The Company expects that its business will require licensure under the DFAL and will therefore take steps to obtain necessary licenses prior to the enactment’s effective date of July 1, 2025.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crypto asset’s status as a “security” in any relevant jurisdiction…, page 14</w:t>
      </w:r>
    </w:p>
    <w:p>
      <w:pPr>
        <w:spacing w:after="0" w:line="129" w:lineRule="exact"/>
        <w:rPr>
          <w:sz w:val="20"/>
          <w:szCs w:val="20"/>
          <w:color w:val="auto"/>
        </w:rPr>
      </w:pPr>
    </w:p>
    <w:p>
      <w:pPr>
        <w:ind w:left="540" w:right="20" w:hanging="424"/>
        <w:spacing w:after="0" w:line="261" w:lineRule="auto"/>
        <w:tabs>
          <w:tab w:leader="none" w:pos="5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comment 26. To the extent that you do not believe it would be appropriate to reference the term “clearing agency” in your disclosure, please provide your analysis as to why you believe an entity that is not registered as a broker-dealer may be eligible to rely on the exclusion from the definition of “clearing agency” for a broker or dealer engaged in customary brokerage or dealing activities, and why you believe the Company would be considered to be engaged in customary brokerage or dealing activities.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40"/>
        <w:spacing w:after="0" w:line="207" w:lineRule="auto"/>
        <w:rPr>
          <w:sz w:val="20"/>
          <w:szCs w:val="20"/>
          <w:color w:val="auto"/>
        </w:rPr>
      </w:pPr>
      <w:r>
        <w:rPr>
          <w:rFonts w:ascii="Times New Roman" w:cs="Times New Roman" w:eastAsia="Times New Roman" w:hAnsi="Times New Roman"/>
          <w:sz w:val="18"/>
          <w:szCs w:val="18"/>
          <w:color w:val="auto"/>
        </w:rPr>
        <w:t>The Company respectfully acknowledges the Staff’s comment. The cited exclusion from the Exchange Act’s definition of “clearing agency” is not limited on its face to registered broker-dealers, but rather extends to any “broker” or any “dealer.” The Exchange Act defines “broker” and “dealer” broadly</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 xml:space="preserve"> and captures the more limited subset of entities that have registered with the Commission as broker dealers under the separate defined term “registered broker or dealer.”</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Where Congress intended to limit the import of particular provisions of the Exchange Act to registered broker-dealers only, the statutory text expressly reflects as much.</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An entity that meets the Exchange Act definition of “broker” or “dealer” is therefore eligible to rely on the Section 3(a)(23)(B)(iii) exclusion even if such entity would not qualify as a “registered broker or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7" w:lineRule="exact"/>
        <w:rPr>
          <w:sz w:val="20"/>
          <w:szCs w:val="20"/>
          <w:color w:val="auto"/>
        </w:rPr>
      </w:pPr>
    </w:p>
    <w:p>
      <w:pPr>
        <w:ind w:left="540" w:right="340" w:hanging="424"/>
        <w:spacing w:after="0" w:line="221" w:lineRule="auto"/>
        <w:tabs>
          <w:tab w:leader="none" w:pos="54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Exchange Act § 3(a)(4) (defining “broker” as “any person engaged in the business of effecting transactions in securities for the account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18"/>
          <w:szCs w:val="18"/>
          <w:i w:val="1"/>
          <w:iCs w:val="1"/>
          <w:color w:val="auto"/>
        </w:rPr>
        <w:t>id</w:t>
      </w:r>
      <w:r>
        <w:rPr>
          <w:rFonts w:ascii="Times New Roman" w:cs="Times New Roman" w:eastAsia="Times New Roman" w:hAnsi="Times New Roman"/>
          <w:sz w:val="18"/>
          <w:szCs w:val="18"/>
          <w:color w:val="auto"/>
        </w:rPr>
        <w:t>. § 3(a)(5) (defining “dealer” as “any person engaged in the business of buying and selling securities . . . . for such person’s own account through a broker or otherwise”).</w:t>
      </w:r>
    </w:p>
    <w:p>
      <w:pPr>
        <w:spacing w:after="0" w:line="1" w:lineRule="exact"/>
        <w:rPr>
          <w:rFonts w:ascii="Times New Roman" w:cs="Times New Roman" w:eastAsia="Times New Roman" w:hAnsi="Times New Roman"/>
          <w:sz w:val="27"/>
          <w:szCs w:val="27"/>
          <w:color w:val="auto"/>
          <w:vertAlign w:val="superscript"/>
        </w:rPr>
      </w:pPr>
    </w:p>
    <w:p>
      <w:pPr>
        <w:ind w:left="540" w:hanging="424"/>
        <w:spacing w:after="0" w:line="180" w:lineRule="auto"/>
        <w:tabs>
          <w:tab w:leader="none" w:pos="54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i w:val="1"/>
          <w:iCs w:val="1"/>
          <w:color w:val="auto"/>
        </w:rPr>
        <w:t xml:space="preserve">See id. </w:t>
      </w:r>
      <w:r>
        <w:rPr>
          <w:rFonts w:ascii="Times New Roman" w:cs="Times New Roman" w:eastAsia="Times New Roman" w:hAnsi="Times New Roman"/>
          <w:sz w:val="17"/>
          <w:szCs w:val="17"/>
          <w:color w:val="auto"/>
        </w:rPr>
        <w:t>§ 3(a)(48).</w:t>
      </w:r>
    </w:p>
    <w:p>
      <w:pPr>
        <w:spacing w:after="0" w:line="2" w:lineRule="exact"/>
        <w:rPr>
          <w:rFonts w:ascii="Times New Roman" w:cs="Times New Roman" w:eastAsia="Times New Roman" w:hAnsi="Times New Roman"/>
          <w:sz w:val="25"/>
          <w:szCs w:val="25"/>
          <w:color w:val="auto"/>
          <w:vertAlign w:val="superscript"/>
        </w:rPr>
      </w:pPr>
    </w:p>
    <w:p>
      <w:pPr>
        <w:ind w:left="540" w:hanging="424"/>
        <w:spacing w:after="0" w:line="230" w:lineRule="auto"/>
        <w:tabs>
          <w:tab w:leader="none" w:pos="54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e.g. id. § 3(a)(3)(A) (defining the term “member” with respect to a national securities exchange to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i w:val="1"/>
          <w:iCs w:val="1"/>
          <w:color w:val="auto"/>
        </w:rPr>
        <w:t>registered broker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dealer </w:t>
      </w:r>
      <w:r>
        <w:rPr>
          <w:rFonts w:ascii="Times New Roman" w:cs="Times New Roman" w:eastAsia="Times New Roman" w:hAnsi="Times New Roman"/>
          <w:sz w:val="18"/>
          <w:szCs w:val="18"/>
          <w:color w:val="auto"/>
        </w:rPr>
        <w:t>which agrees to be regulated by such exchange and with respect to which the exchange undertakes to enforce compliance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provisions of this title, the rules and regulations thereunder, and its own rules”) (emphasis added); </w:t>
      </w:r>
      <w:r>
        <w:rPr>
          <w:rFonts w:ascii="Times New Roman" w:cs="Times New Roman" w:eastAsia="Times New Roman" w:hAnsi="Times New Roman"/>
          <w:sz w:val="18"/>
          <w:szCs w:val="18"/>
          <w:i w:val="1"/>
          <w:iCs w:val="1"/>
          <w:color w:val="auto"/>
        </w:rPr>
        <w:t>id</w:t>
      </w:r>
      <w:r>
        <w:rPr>
          <w:rFonts w:ascii="Times New Roman" w:cs="Times New Roman" w:eastAsia="Times New Roman" w:hAnsi="Times New Roman"/>
          <w:sz w:val="18"/>
          <w:szCs w:val="18"/>
          <w:color w:val="auto"/>
        </w:rPr>
        <w:t>. § 3(a)(3)(B) (defining the term “member” with respect to a registered securities association to include any “</w:t>
      </w:r>
      <w:r>
        <w:rPr>
          <w:rFonts w:ascii="Times New Roman" w:cs="Times New Roman" w:eastAsia="Times New Roman" w:hAnsi="Times New Roman"/>
          <w:sz w:val="18"/>
          <w:szCs w:val="18"/>
          <w:i w:val="1"/>
          <w:iCs w:val="1"/>
          <w:color w:val="auto"/>
        </w:rPr>
        <w:t>broker or dealer</w:t>
      </w:r>
      <w:r>
        <w:rPr>
          <w:rFonts w:ascii="Times New Roman" w:cs="Times New Roman" w:eastAsia="Times New Roman" w:hAnsi="Times New Roman"/>
          <w:sz w:val="18"/>
          <w:szCs w:val="18"/>
          <w:color w:val="auto"/>
        </w:rPr>
        <w:t xml:space="preserve"> who agrees to be regulated by such association and with respect to whom the association undertakes to enforce compliance with the provisions of this title, the rules and regulations thereunder, and its own rules”) (emphasis added).</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172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11</w:t>
      </w:r>
    </w:p>
    <w:p>
      <w:pPr>
        <w:spacing w:after="0" w:line="139" w:lineRule="exact"/>
        <w:rPr>
          <w:sz w:val="20"/>
          <w:szCs w:val="20"/>
          <w:color w:val="auto"/>
        </w:rPr>
      </w:pPr>
    </w:p>
    <w:p>
      <w:pPr>
        <w:ind w:left="120" w:right="80"/>
        <w:spacing w:after="0" w:line="244" w:lineRule="auto"/>
        <w:rPr>
          <w:sz w:val="20"/>
          <w:szCs w:val="20"/>
          <w:color w:val="auto"/>
        </w:rPr>
      </w:pPr>
      <w:r>
        <w:rPr>
          <w:rFonts w:ascii="Times New Roman" w:cs="Times New Roman" w:eastAsia="Times New Roman" w:hAnsi="Times New Roman"/>
          <w:sz w:val="18"/>
          <w:szCs w:val="18"/>
          <w:color w:val="auto"/>
        </w:rPr>
        <w:t>With respect to the characterization of the Company’s activities, the proposed Business Update included with the Company’s November 21, 2023 letter submission explained that the Bakkt Crypto platform operates as a riskless principal, offsetting each customer order it fills by routing a corresponding order to a liquidity provider on a one-to-one basis.</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xml:space="preserve"> Commission guidance has consistently treated and addressed such trading activity as customary brokerage or dealing activity to the extent it involves securities. For instance, in a 2001 rulemaking release regarding the scope and interpretation of certain bank-related exemptions from the Exchange Act’s definitions of “broker” and “dealer,” the Commission explained that, “under the securities laws, ‘riskless’ principal transactions involve dealer activity because entities that engage in ‘riskless’ principal transactions as a matter of course would be involved in the business of buying and selling securities for their own accounts, even if the risk associated with the transactions is minimal or non-existent.”</w:t>
      </w:r>
      <w:r>
        <w:rPr>
          <w:rFonts w:ascii="Times New Roman" w:cs="Times New Roman" w:eastAsia="Times New Roman" w:hAnsi="Times New Roman"/>
          <w:sz w:val="26"/>
          <w:szCs w:val="26"/>
          <w:color w:val="auto"/>
          <w:vertAlign w:val="superscript"/>
        </w:rPr>
        <w:t>15</w:t>
      </w:r>
    </w:p>
    <w:p>
      <w:pPr>
        <w:spacing w:after="0" w:line="7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trust that you find these responses helpful in your evaluation of the Registration Statements. Please do not hesitate to contact us should you require further information.</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Wilson Sonsini Goodrich &amp; Rosati, Professional</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34" w:lineRule="exact"/>
        <w:rPr>
          <w:sz w:val="20"/>
          <w:szCs w:val="20"/>
          <w:color w:val="auto"/>
        </w:rPr>
      </w:pPr>
    </w:p>
    <w:p>
      <w:pPr>
        <w:ind w:left="560" w:right="7620" w:hanging="444"/>
        <w:spacing w:after="0" w:line="289" w:lineRule="auto"/>
        <w:tabs>
          <w:tab w:leader="none" w:pos="55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Gavin Michael, Bakkt Holdings, Inc. Marc D’Annunzio, Bakkt Holdings, Inc. Paul Simmons, Bakkt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206375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4"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Annex A at 18.</w:t>
      </w:r>
    </w:p>
    <w:p>
      <w:pPr>
        <w:spacing w:after="0" w:line="1" w:lineRule="exact"/>
        <w:rPr>
          <w:rFonts w:ascii="Times New Roman" w:cs="Times New Roman" w:eastAsia="Times New Roman" w:hAnsi="Times New Roman"/>
          <w:sz w:val="27"/>
          <w:szCs w:val="27"/>
          <w:color w:val="auto"/>
          <w:vertAlign w:val="superscript"/>
        </w:rPr>
      </w:pPr>
    </w:p>
    <w:p>
      <w:pPr>
        <w:ind w:left="540" w:hanging="424"/>
        <w:spacing w:after="0" w:line="227" w:lineRule="auto"/>
        <w:tabs>
          <w:tab w:leader="none" w:pos="5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Definition of Terms in and Specific Exemptions for Banks, Savings Associations, and Savings Banks Under Sections 3(a)(4) and 3(a)(5)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Securities Exchange Act of 1934, 66 Fed. Reg. 27784 (May 18, 2001); </w:t>
      </w:r>
      <w:r>
        <w:rPr>
          <w:rFonts w:ascii="Times New Roman" w:cs="Times New Roman" w:eastAsia="Times New Roman" w:hAnsi="Times New Roman"/>
          <w:sz w:val="18"/>
          <w:szCs w:val="18"/>
          <w:i w:val="1"/>
          <w:iCs w:val="1"/>
          <w:color w:val="auto"/>
        </w:rPr>
        <w:t>see also</w:t>
      </w:r>
      <w:r>
        <w:rPr>
          <w:rFonts w:ascii="Times New Roman" w:cs="Times New Roman" w:eastAsia="Times New Roman" w:hAnsi="Times New Roman"/>
          <w:sz w:val="18"/>
          <w:szCs w:val="18"/>
          <w:color w:val="auto"/>
        </w:rPr>
        <w:t xml:space="preserve"> Confirmation of Transactions, Release No. 34-33743 (March 17, 1994) (defining riskless principal trades as “transactions in which, after receiving an order to buy or sell from a customer, the broker-dealer purchases the security from another person to offset a contemporaneous purchase by the customer or sells the security to another person to offset a contemporaneous sale by the customer”).</w:t>
      </w:r>
    </w:p>
    <w:p>
      <w:pPr>
        <w:spacing w:after="0" w:line="1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1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i w:val="1"/>
          <w:iCs w:val="1"/>
          <w:color w:val="auto"/>
        </w:rPr>
        <w:t>(See Attached)</w:t>
      </w:r>
    </w:p>
    <w:p>
      <w:pPr>
        <w:sectPr>
          <w:pgSz w:w="11900" w:h="16838" w:orient="portrait"/>
          <w:cols w:equalWidth="0" w:num="1">
            <w:col w:w="10139"/>
          </w:cols>
          <w:pgMar w:left="320" w:top="45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0"/>
          <w:szCs w:val="20"/>
          <w:color w:val="auto"/>
        </w:rPr>
      </w:pPr>
    </w:p>
    <w:p>
      <w:pPr>
        <w:ind w:left="540" w:right="100" w:hanging="424"/>
        <w:spacing w:after="0" w:line="237" w:lineRule="auto"/>
        <w:tabs>
          <w:tab w:leader="none" w:pos="540" w:val="left"/>
        </w:tabs>
        <w:numPr>
          <w:ilvl w:val="0"/>
          <w:numId w:val="28"/>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2023</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0"/>
          <w:szCs w:val="20"/>
          <w:color w:val="auto"/>
        </w:rPr>
      </w:pPr>
    </w:p>
    <w:p>
      <w:pPr>
        <w:ind w:left="540" w:right="80" w:hanging="424"/>
        <w:spacing w:after="0" w:line="262" w:lineRule="auto"/>
        <w:tabs>
          <w:tab w:leader="none" w:pos="540" w:val="left"/>
        </w:tabs>
        <w:numPr>
          <w:ilvl w:val="0"/>
          <w:numId w:val="29"/>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001-39544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520" w:type="dxa"/>
        <w:tblCellMar>
          <w:top w:w="0" w:type="dxa"/>
          <w:left w:w="0" w:type="dxa"/>
          <w:bottom w:w="0" w:type="dxa"/>
          <w:right w:w="0" w:type="dxa"/>
        </w:tblCellMar>
      </w:tblPr>
      <w:tr>
        <w:trPr>
          <w:trHeight w:val="214"/>
        </w:trPr>
        <w:tc>
          <w:tcPr>
            <w:tcW w:w="456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49"/>
        </w:trPr>
        <w:tc>
          <w:tcPr>
            <w:tcW w:w="4560" w:type="dxa"/>
            <w:vAlign w:val="bottom"/>
          </w:tcPr>
          <w:p>
            <w:pPr>
              <w:jc w:val="center"/>
              <w:ind w:right="17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jc w:val="center"/>
              <w:ind w:left="17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6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56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940" w:type="dxa"/>
            <w:vAlign w:val="bottom"/>
          </w:tcPr>
          <w:p>
            <w:pPr>
              <w:spacing w:after="0"/>
              <w:rPr>
                <w:sz w:val="24"/>
                <w:szCs w:val="24"/>
                <w:color w:val="auto"/>
              </w:rPr>
            </w:pPr>
          </w:p>
        </w:tc>
      </w:tr>
      <w:tr>
        <w:trPr>
          <w:trHeight w:val="227"/>
        </w:trPr>
        <w:tc>
          <w:tcPr>
            <w:tcW w:w="456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rPr>
              <w:t>Alpharetta, Georgia</w:t>
            </w:r>
          </w:p>
        </w:tc>
        <w:tc>
          <w:tcPr>
            <w:tcW w:w="29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4560" w:type="dxa"/>
            <w:vAlign w:val="bottom"/>
          </w:tcPr>
          <w:p>
            <w:pPr>
              <w:jc w:val="center"/>
              <w:ind w:right="17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4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 (s)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left="120" w:right="28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left="120" w:right="22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40"/>
          </w:cols>
          <w:pgMar w:left="320" w:top="455" w:right="439" w:bottom="0" w:gutter="0" w:footer="0" w:header="0"/>
        </w:sectPr>
      </w:pPr>
    </w:p>
    <w:bookmarkStart w:id="13" w:name="page14"/>
    <w:bookmarkEnd w:id="13"/>
    <w:p>
      <w:pPr>
        <w:ind w:right="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440"/>
        <w:spacing w:after="0" w:line="207" w:lineRule="exact"/>
        <w:tabs>
          <w:tab w:leader="none" w:pos="8760" w:val="left"/>
          <w:tab w:leader="none" w:pos="9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of November 10, 2023, there were 91,429,477 shares of the registrant’s Class A common stock, 183,234,872 shares of Class V common stock, and 7,140,808 public warrants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121"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Bakkt Holdings, Inc. (Bakkt,” “we,” “us,” “our,” or the “Company”) is filing this Amendment No. 1 to its Quarterly Report on Form 10-Q/A for the quarterly period ended September 30, 2023 (this “Amended Form 10-Q” or “10-Q/A”), as originally filed with the U.S. Securities and Exchange Commission (the “SEC”) on November 14, 2023 (the “Original Form 10-Q”).</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Amended Form 10-Q is presented as of the filing date of the Original Form 10-Q and does not reflect events occurring after that date or modify or update disclosures in any way other than as required to reflect the amendment and restatement as described below. Accordingly, this Amended Form 10-Q should be read in conjunction with the Original Form 10-Q and our filings with the SEC subsequent to the date on which we filed the Original Form 10-Q. This Amended Form 10-Q does not change our consolidated financial statements as set forth in the Original Form 10-Q.</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purpose of this Amended Form 10-Q is to (i) amend and restate the disclosure in Part II, Item 1A “Risk Factors” to provide further updates to certain risks resulting from changes to the Company’s business following its acquisition (the “Bakkt Crypto Acquisition”) of Bakkt Crypto Solutions, LLC (“Bakkt Crypto”), formerly Apex Crypto LLC (“Apex Crypto”), and (ii) amend and restate Part II, Item 5, which provides an update to the Company’s business activities following the Bakkt Crypto Acquisition. Part II, Item 6 “Exhibits” has also been amended and restated to include currently-dated certifications of the Company’s principal executive officer and principal financial officer as required by Sections 302 and 906 of the Sarbanes Oxley Act of 2002 (the “Sarbanes-Oxley Act”). The certifications are attached to this Amended Form 10-Q as Exhibits 31.1, 31.2, 32.1 and 32.2.</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180" w:type="dxa"/>
            <w:vAlign w:val="bottom"/>
            <w:gridSpan w:val="2"/>
          </w:tcPr>
          <w:p>
            <w:pPr>
              <w:jc w:val="center"/>
              <w:ind w:right="3668"/>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0" w:type="dxa"/>
            <w:vAlign w:val="bottom"/>
          </w:tcPr>
          <w:p>
            <w:pPr>
              <w:spacing w:after="0"/>
              <w:rPr>
                <w:sz w:val="1"/>
                <w:szCs w:val="1"/>
                <w:color w:val="auto"/>
              </w:rPr>
            </w:pPr>
          </w:p>
        </w:tc>
      </w:tr>
      <w:tr>
        <w:trPr>
          <w:trHeight w:val="392"/>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9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8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860" w:type="dxa"/>
            <w:vAlign w:val="bottom"/>
            <w:vMerge w:val="continue"/>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6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8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040" w:type="dxa"/>
            <w:vAlign w:val="bottom"/>
          </w:tcPr>
          <w:p>
            <w:pPr>
              <w:spacing w:after="0"/>
              <w:rPr>
                <w:sz w:val="24"/>
                <w:szCs w:val="24"/>
                <w:color w:val="auto"/>
              </w:rPr>
            </w:pPr>
          </w:p>
        </w:tc>
        <w:tc>
          <w:tcPr>
            <w:tcW w:w="7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1600" w:type="dxa"/>
            <w:vAlign w:val="bottom"/>
            <w:gridSpan w:val="2"/>
          </w:tcPr>
          <w:p>
            <w:pPr>
              <w:spacing w:after="0"/>
              <w:rPr>
                <w:sz w:val="24"/>
                <w:szCs w:val="24"/>
                <w:color w:val="auto"/>
              </w:rPr>
            </w:pPr>
          </w:p>
        </w:tc>
        <w:tc>
          <w:tcPr>
            <w:tcW w:w="7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2320" w:type="dxa"/>
            <w:vAlign w:val="bottom"/>
            <w:gridSpan w:val="5"/>
          </w:tcPr>
          <w:p>
            <w:pPr>
              <w:spacing w:after="0"/>
              <w:rPr>
                <w:sz w:val="24"/>
                <w:szCs w:val="24"/>
                <w:color w:val="auto"/>
              </w:rPr>
            </w:pPr>
          </w:p>
        </w:tc>
        <w:tc>
          <w:tcPr>
            <w:tcW w:w="7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8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This Amended Form 10-Q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Amended Form 10-Q may include, for example, statements about:</w:t>
      </w:r>
    </w:p>
    <w:p>
      <w:pPr>
        <w:spacing w:after="0" w:line="9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 including our plans to expand to international markets.</w:t>
      </w:r>
    </w:p>
    <w:p>
      <w:pPr>
        <w:spacing w:after="0" w:line="117"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Amended Form 10-Q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75"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acquisition of Bakkt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New York Stock Exchange (the “NYSE”);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Amended Form 10-Q,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addition to the information set forth in this Amended Form 10-Q and the Original Form 10-Q,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ind w:left="120" w:right="400" w:firstLine="9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67"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Moreover, our growth plan includes marketing expense to incentivize clients with whom we develop partnerships to market our platform to their customers, which we expect would accelerate customer adoption of our platform and lower our overall customer acquisition cost.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189"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188" w:lineRule="exact"/>
        <w:rPr>
          <w:sz w:val="20"/>
          <w:szCs w:val="20"/>
          <w:color w:val="auto"/>
        </w:rPr>
      </w:pPr>
    </w:p>
    <w:p>
      <w:pPr>
        <w:ind w:left="120" w:firstLine="991"/>
        <w:spacing w:after="0" w:line="274" w:lineRule="auto"/>
        <w:rPr>
          <w:sz w:val="20"/>
          <w:szCs w:val="20"/>
          <w:color w:val="auto"/>
        </w:rPr>
      </w:pPr>
      <w:r>
        <w:rPr>
          <w:rFonts w:ascii="Times New Roman" w:cs="Times New Roman" w:eastAsia="Times New Roman" w:hAnsi="Times New Roman"/>
          <w:sz w:val="17"/>
          <w:szCs w:val="17"/>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173"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Our agreements with our clients have terms that range from approximately one to three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 accounts, transaction volume and revenue attributable to customers generated from that client relationship, and our business, financial condition, results of operations and future prospects would be materially and adversely affected.</w:t>
      </w:r>
    </w:p>
    <w:p>
      <w:pPr>
        <w:spacing w:after="0" w:line="187"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Additionally, certain terms of our partner agreements remain subject to further discussion and refinement before they can be implemented, including the potential products and services to bring to market. Our ability to realize the intended benefits of these partnerships will depend on our ability to finalize such agreements, for such products and services, and to do so on terms sufficiently favorable to us. While we continue to negotiate partnership terms, we may be unable to agree to terms with such clients on commercially advantageous terms or at all, which may adversely affect our business and prospects.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Furthermore, our ability to retain existing, or obtain new, partners and customers may be impacted to the extent that clients choose not to partner with us, or customers choose not to transact or to engage in fewer transactions on our platform, in each case, because we do not currently offer or plan to cease offering certain crypto assets. For example, Bakkt has delisted or determined to delist a substantial majority of the crypto assets that had historically been available for trading on the Bakkt Crypto platform. The decision to delist those crypto assets has impacted, and may in the future further impact, our revenues as additional crypto assets are delisted and may impact the expected synergies and benefits from the Bakkt Crypto acquisition. If partners do not engage with us, or if customers choose not to transact or make fewer transactions on our platform, as a result of the decision to delist those crypto assets or our decision not to offer other crypto assets, our revenues will be adversely impacted.</w:t>
      </w:r>
    </w:p>
    <w:p>
      <w:pPr>
        <w:spacing w:after="0" w:line="189"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Any of the foregoing could, among other things, adversely impact our stock price, make us less competitive compared to our peers and otherwise significantly adversely affect our business.</w:t>
      </w:r>
    </w:p>
    <w:p>
      <w:pPr>
        <w:spacing w:after="0" w:line="26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Excessive redemptions or withdrawals, or a suspension of redemptions or withdrawals, of crypto assets could adversely impact our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99"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We have procedures to process redemptions and withdrawals promptly in accordance with the terms of the applicable user agreements. Although we have not experienced excessive redemptions or withdrawals, or suspensions of redemptions or withdrawals, of crypto assets to date, we could experience process-related withdrawal or redemption delays in the future if there were to be a significant and unexpected volume of withdrawal or redemption requests.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293" w:lineRule="exact"/>
        <w:rPr>
          <w:sz w:val="20"/>
          <w:szCs w:val="20"/>
          <w:color w:val="auto"/>
        </w:rPr>
      </w:pPr>
    </w:p>
    <w:p>
      <w:pPr>
        <w:ind w:left="120" w:right="20"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may be difficult to identify. We may not realize the anticipated benefits of past or future investments, strategic transactions or acquisitions, including our acquisition of Apex Crypto, and integration of these acquisitions may pose integration challenges, divert the attention of management, disrupt our business, dilute stockholder value or otherwise adversely affect our business, financial condition and results of operations.</w:t>
      </w:r>
    </w:p>
    <w:p>
      <w:pPr>
        <w:spacing w:after="0" w:line="72" w:lineRule="exact"/>
        <w:rPr>
          <w:sz w:val="20"/>
          <w:szCs w:val="20"/>
          <w:color w:val="auto"/>
        </w:rPr>
      </w:pPr>
    </w:p>
    <w:p>
      <w:pPr>
        <w:ind w:left="120" w:right="120" w:firstLine="991"/>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partnerships, alliances and platform technologies that we believe could complement or expand our platform, enhance our technology, or otherwise offer growth opportunities. For example, on April 1, 2023, we consummated our agreement to acquire all of the membership interests of Apex Crypto, which we have since renamed Bakkt Crypto.</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We may not realize the anticipated benefits of past or future investments, strategic transactions, or acquisitions, including the acquisition of</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Bakkt Crypto, and these transactions involve numerous risks that are not within our control. These risks include the following, among others:</w:t>
      </w:r>
    </w:p>
    <w:p>
      <w:pPr>
        <w:spacing w:after="0" w:line="112" w:lineRule="exact"/>
        <w:rPr>
          <w:sz w:val="20"/>
          <w:szCs w:val="20"/>
          <w:color w:val="auto"/>
        </w:rPr>
      </w:pPr>
    </w:p>
    <w:p>
      <w:pPr>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requisite regulatory approvals necessary to consummate the transaction the acquisition, or to integrate the acquired business with our own;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systems, and personnel of the acquired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integrating the acquired technologies or products with our current products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distraction of our management and employees from other opportunities and challenges due to integration issues;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business’s accounting, management information and other administrative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clients of the acquired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our results of operations;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the businesses we acquire or our plans for integration of those businesses, or that expose us to additional regulation or litigation in connection with the acquired businesses;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post-acquisition investments which may lower the actual benefits realized through the acquisition;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the due diligence process to identify significant issues with product quality, legal, and financial liabilities among other things;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assert that internal controls over financial reporting are effective.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acquisition of Bakkt Crypto presents risks to our business, including because:</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legacy clients of Apex Crypto, and expand those relationships, is a key growth driver for us;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replacing and/or augmenting many of our existing systems and relationships (e.g., agreements with crypto liquidity providers) with those historically used by Apex Crypto;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be able to accommodate the significantly increased volume on our platform;</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integration of the Bakkt Crypto business—which includes, among other things, merging legal entities, eliminating duplicative licenses, and adjusting the amount of regulatory capital associated therewith—remains subject to regulatory approval, the delay of which extends the timeline for our recognition of the full benefits of the transaction;</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increased liability and/or regulatory risk from the list of additional crypto assets on our platform and from the pre-acquisition activities of Bakkt Crypto, even after we elected to delist certain of the crypto assets on the Bakkt Crypto platform; and</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relationship with Apex Clearing Corporation that is a part of the acquisition is a key growth driver for us, but that relationship may not produce the benefits that we envision.</w:t>
      </w:r>
    </w:p>
    <w:p>
      <w:pPr>
        <w:spacing w:after="0" w:line="162"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common stock could decline. For example, under the purchase agreement for the acquisition of Apex Crypto, we agreed to pay or issue an aggregate of $200 million in cash and/or common stock as contingent consideration in respect of Bakkt Crypto achieving certain financial targets through 2025. Through November 13, 2023, we have delivered approximately $9.1 million of shares of Class A common stock in respect of such obligations.</w:t>
      </w:r>
    </w:p>
    <w:p>
      <w:pPr>
        <w:spacing w:after="0" w:line="29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safeguard and manage our customers’ crypto could adversely impact our business, operating results, and financial</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w:t>
      </w:r>
    </w:p>
    <w:p>
      <w:pPr>
        <w:spacing w:after="0" w:line="99"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In our capacity as a crypto custodian, our platform holds crypto for individual and institutional customers, and buys, sells, sends and receives crypto to fulfill buy and sell orders of such customers. Specifically, Bakkt Trust Company LLC (“Bakkt Trust”) provides custody services to customers of Bakkt Marketplace and to its own institutional customers with respect to all crypto assets which we support for trading. In addition, Bakkt Crypto provides custodial services that support the crypto tokens offered on the consumer platform through both third-party providers of custodial services and self-custody through. the Fireblocks Vault service. Should we or one of our third-party custodians fail to implement or maintain the policies, procedures and controls necessary to secure the custody of the crypto assets entrusted to us by our customers in full compliance with applicable law and regulation, the Company could suffer reputational harm and/or significant financial losses; face litigation or regulatory enforcement action potentially leading to significant fines, penalties, and additional restrictions; and see its customers discontinue or reduce their use of our and our partners’ products. Any of these occurrences could adversely impact our business, operating results, and financial condition.</w:t>
      </w:r>
    </w:p>
    <w:p>
      <w:pPr>
        <w:spacing w:after="0" w:line="188"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We regard the crypto assets that we hold in custody for customers as the property of those customers, who benefit from the rewards and bear the risks associated with their ownership, and we believe that customer crypto assets, consistent with the nature and terms of the services we offer and applicable law, would not be made available to satisfy the claims of our general creditors in the event of our bankruptcy. In addition, since the acquisition of Bakkt Crypto, we have utilized the services of third-party custodians to hold crypto assets in custody for the benefit of Bakkt Crypto customers. These third-party custodians maintain their own bankruptcy protection procedures and contractual protections designed with the goal that the crypto assets held in custody by these third-party custodians would not be made available to satisfy the claims of such custodian’s general creditors in the event of bankruptcy. However, insolvency law is not fully developed with respect to the holding of crypto assets in custodial arrangements and continues to develop. As a result, there is a risk that crypto assets held in custody could be considered to be the property of a bankruptcy estate in the event of a bankruptcy, and that the crypto assets held in custody on behalf of our customers could be subject to bankruptcy proceedings and such customers could be treated as general unsecured creditors. This prospect may result in customers finding our custodial services more risky and less attractive.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Both Bakkt Trust and Bakkt Crypto use omnibus wallets to hold crypto assets belonging to the Company as well as crypto assets held for the benefit of and on behalf of customers. The balances of Bakkt Crypto-owned assets in such wallets are de minimis and are maintained solely to facilitate customer transactions, such as by funding the payment of transfer fees and addressing rounding conventions and trade errors. Although the Company maintains detailed internal ledgers recording the ownership of crypto assets held in Company-controlled omnibus wallets, the use of omnibus wallets could complicate the disposition or treatment of customer crypto assets in the event of our bankruptcy, including by increasing the risk that crypto assets held in the omnibus wallets are considered to be the property of our bankruptcy estate.</w:t>
      </w:r>
    </w:p>
    <w:p>
      <w:pPr>
        <w:spacing w:after="0" w:line="187" w:lineRule="exact"/>
        <w:rPr>
          <w:sz w:val="20"/>
          <w:szCs w:val="20"/>
          <w:color w:val="auto"/>
        </w:rPr>
      </w:pPr>
    </w:p>
    <w:p>
      <w:pPr>
        <w:ind w:left="120" w:right="160" w:firstLine="991"/>
        <w:spacing w:after="0" w:line="261" w:lineRule="auto"/>
        <w:rPr>
          <w:sz w:val="20"/>
          <w:szCs w:val="20"/>
          <w:color w:val="auto"/>
        </w:rPr>
      </w:pPr>
      <w:r>
        <w:rPr>
          <w:rFonts w:ascii="Times New Roman" w:cs="Times New Roman" w:eastAsia="Times New Roman" w:hAnsi="Times New Roman"/>
          <w:sz w:val="18"/>
          <w:szCs w:val="18"/>
          <w:color w:val="auto"/>
        </w:rPr>
        <w:t>Further, on March 31, 2022, the SEC issued Staff Accounting Bulletin No. 121, which represents a significant change regarding how a company safeguarding crypto held for its platform users reports such crypto on its balance sheet. Any future changes in U.S. generally accepted accounting principles (“GAAP”) that require us to change the manner in which we account for our crypto held for our customers could have a material adverse effect on our financial results and the market price of our securities.</w:t>
      </w:r>
    </w:p>
    <w:p>
      <w:pPr>
        <w:spacing w:after="0" w:line="178" w:lineRule="exact"/>
        <w:rPr>
          <w:sz w:val="20"/>
          <w:szCs w:val="20"/>
          <w:color w:val="auto"/>
        </w:rPr>
      </w:pPr>
    </w:p>
    <w:p>
      <w:pPr>
        <w:jc w:val="both"/>
        <w:ind w:left="120" w:right="80" w:firstLine="991"/>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Risks Related to Risk Management and Financial Reporting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Future changes in financial accounting standards may significantly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our reported results of operations.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right="200" w:firstLine="991"/>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28" w:lineRule="exact"/>
        <w:rPr>
          <w:sz w:val="20"/>
          <w:szCs w:val="20"/>
          <w:color w:val="auto"/>
        </w:rPr>
      </w:pPr>
    </w:p>
    <w:p>
      <w:pPr>
        <w:jc w:val="both"/>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Our business is subject to laws, rules, regulations, policies and legal interpretations in the markets in which we operate, including, but not limited to, those governing money transmission, crypto asset business activity, consumer protection, anti-money laundering, counter-terrorist financing, privacy and data protection, cybersecurity, economic and trade sanctions, commodities, derivatives, and securities.</w:t>
      </w:r>
    </w:p>
    <w:p>
      <w:pPr>
        <w:spacing w:after="0" w:line="176"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each of Bakkt Marketplace and Bakkt Crypto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each of Bakkt Marketplace and Bakkt Crypto is subject to reporting requirements, restrictions with respect to the investment of consumer funds, bonding requirements and inspection by state regulatory agencies.</w:t>
      </w:r>
    </w:p>
    <w:p>
      <w:pPr>
        <w:spacing w:after="0" w:line="19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As we expand our business activities, both as to the products and services offered and into jurisdictions beyond the United States, including as a result of the Bakkt Crypto acquisition, we have become increasingly obligated to comply with new laws and regulations, including those of any additional countries and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spacing w:after="0" w:line="194"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As we expand our international activities, we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crypto asset platforms over time, such as by requiring crypto asset platforms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298" w:lineRule="exact"/>
        <w:rPr>
          <w:sz w:val="20"/>
          <w:szCs w:val="20"/>
          <w:color w:val="auto"/>
        </w:rPr>
      </w:pPr>
    </w:p>
    <w:p>
      <w:pPr>
        <w:ind w:left="120" w:right="56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51"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and 2023 events have accelerated, and continue to accelerate, an existing regulatory trend toward stricter oversight of crypto platforms and the crypto industry. Legislation, regulations and enforcement actions applicable to crypto in the United States include, but are not limited to the following:</w:t>
      </w:r>
    </w:p>
    <w:p>
      <w:pPr>
        <w:spacing w:after="0" w:line="93" w:lineRule="exact"/>
        <w:rPr>
          <w:sz w:val="20"/>
          <w:szCs w:val="20"/>
          <w:color w:val="auto"/>
        </w:rPr>
      </w:pPr>
    </w:p>
    <w:p>
      <w:pPr>
        <w:ind w:left="1080" w:right="1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SEC initiated lawsuits against certain crypto asset exchanges, including Bittrex, Coinbase, Binance, and Kraken alleging among other things that those entities operated as unregistered national securities exchanges, unregistered broker-dealers and unregistered clearing agencies and alleging that certain crypto assets available on their platforms are securities.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Futures Trading Commission (“CFTC”) staff has publicly taken the position that certain crypto 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CFTC won a default judgment against Ooki DAO, a decentralized autonomous organization that the CFTC charged with operating an illegal trading platform and unlawfully offering leveraged and margined retail commodity transactions in crypto assets outside of a registered exchange, unlawfully acting as a Futures Commission Merchant (FCM), and unlawfully failing to comply with Bank Secrecy Act obligations applicable to FCMs.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2023, a different court in the Southern District of New York held that the SEC had asserted a plausible claim that certain inter-related crypto assets offered by Terraform Labs qualified as investment contracts.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CFTC issued orders and simultaneously filed and settled charges against Opyn, Inc., ZeroEx, Inc., and Deridex, Inc., alleging that each had offered users the ability to trade crypto asset derivatives without registering with the CFTC as one or more regulated entities.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Congress has expressed the need for both greater federal oversight of the crypto industry and comprehensive crypto asset legislation. In June 2023, a bill was introduced in the U.S. House of Representatives that would place certain crypto assets under SEC oversight, while placing others that qualify as commodities, under the jurisdiction of the CFTC. Under the draft bill, whether a particularly crypto asset is as a security or commodity would depend, among other things, on how decentralized its underlying blockchain is. The bill would also require crypto asset intermediaries, such as certain of our subsidiaries, to register with and be regulated by the CFTC, the SEC or both.</w:t>
      </w:r>
    </w:p>
    <w:p>
      <w:pPr>
        <w:spacing w:after="0" w:line="92"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regulators, such as NYDFS, have created or are in the process of creating new regulatory frameworks with respect to crypto. For example, in 2015, the State of New York adopted the “BitLicense,” the first U.S. regulatory framework for licensing participants in crypto business activity. Each of Bakkt Marketplace and Bakkt Crypto currently operates under a BitLicense. On January 25, 2023, NYDFS released guidance regarding crypto custody practices, providing that a “virtual currency entity custodian” must: (1) separately account for and segregate customer assets from proprietary assets, (2) take possession of customer assets only for the limited purpose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73" w:lineRule="auto"/>
        <w:rPr>
          <w:sz w:val="20"/>
          <w:szCs w:val="20"/>
          <w:color w:val="auto"/>
        </w:rPr>
      </w:pPr>
      <w:r>
        <w:rPr>
          <w:rFonts w:ascii="Times New Roman" w:cs="Times New Roman" w:eastAsia="Times New Roman" w:hAnsi="Times New Roman"/>
          <w:sz w:val="17"/>
          <w:szCs w:val="17"/>
          <w:color w:val="auto"/>
        </w:rPr>
        <w:t>carrying out custody and safekeeping services, (3) request approval before implementing any sub-custody arrangements, and (4) provide adequate disclosure to customers. In addition, Louisiana has adopted a virtual currency regulation, effective as of January 1, 2023, which requires operators of virtual currency businesses to obtain a virtual currency license in order to conduct business in Louisiana, and as such, we are in the process of applying for this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7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FinCEN has released guidance regarding how it considers its regulations to interact with crypto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released guidance treating crypto as property that is not currency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IRS published proposed regulations on tax reporting requirements for cryptocurrency brokers, which are generally expected to expand the scope of companies that are required to report basis, adjusted basis, gross proceeds and amounts realized from sales of covered crypto assets.</w:t>
      </w:r>
    </w:p>
    <w:p>
      <w:pPr>
        <w:spacing w:after="0" w:line="81"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the governor of California signed into law the Digital Financial Assets Law (“DFAL”), which establishes a required licensing framework administered by the California Department of Financial Protection and Innovation (“DFPI”) for entities engaged in digital financial asset business activity in the state of California. The Company expects that its business will require licensure under the DFAL and will therefore take steps to obtain necessary licenses prior to the enactment’s effective date of July 1, 2025.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spacing w:after="0" w:line="192"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Governmental and regulatory bodies may continue to adopt new laws and regulations, issue new guidance or bring new enforcement actions relating to crypto and the crypto industry generally, and crypto platforms in particular, the direction and timing of which may be influenced by changes in the governing administrations and major events in the crypto industry. In addition, regulators may establish self-regulatory bodies to set guidelines regarding crypto,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 contested in litigation, which could take years to resolve, and can also lead to an uncertain regulatory environment.</w:t>
      </w:r>
    </w:p>
    <w:p>
      <w:pPr>
        <w:spacing w:after="0" w:line="189"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 technologies underlying crypto are novel technologies and relatively untested, and the application of securities and other laws to aspects of these technologies and crypto is unclear in certain respects. It is difficult to predict how or whether regulatory agencies may apply existing or new regulation with respect to this technology and its applications, and whether regulators will bring enforcement actions on specific issues. For instance, U.S. bankruptcy courts are now faced with a number of questions of first impression that may determine the status of crypto in bankruptcy, and the rights and obligations of platforms that custody crypto for their customers.</w:t>
      </w:r>
    </w:p>
    <w:p>
      <w:pPr>
        <w:spacing w:after="0" w:line="183" w:lineRule="exact"/>
        <w:rPr>
          <w:sz w:val="20"/>
          <w:szCs w:val="20"/>
          <w:color w:val="auto"/>
        </w:rPr>
      </w:pPr>
    </w:p>
    <w:p>
      <w:pPr>
        <w:ind w:left="120" w:right="120" w:firstLine="991"/>
        <w:spacing w:after="0" w:line="253" w:lineRule="auto"/>
        <w:rPr>
          <w:sz w:val="20"/>
          <w:szCs w:val="20"/>
          <w:color w:val="auto"/>
        </w:rPr>
      </w:pPr>
      <w:r>
        <w:rPr>
          <w:rFonts w:ascii="Times New Roman" w:cs="Times New Roman" w:eastAsia="Times New Roman" w:hAnsi="Times New Roman"/>
          <w:sz w:val="18"/>
          <w:szCs w:val="18"/>
          <w:color w:val="auto"/>
        </w:rPr>
        <w:t>New interpretations of, or changes to, existing laws, regulations and guidance, and new enforcement actions, may adversely impact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policies and procedures, imposing new licensing requirements, or imposing a total ban on certain crypto transactions, as has occurred in certain jurisdictions in the past. In addition, new or changing laws, regulations, guidance or enforcement actions, could severely or materially adversely impact, among other things, the permissibility of the operation of the blockchain networks underlying crypto and our operations; adversely impact the value or liquidity of crypto; limit the ability to access marketplaces or exchanges on which to trade crypto; adversely impact the structure, rights and transferability of crypto and the treatment of crypto and holders of crypto in insolvency proceedings; and result in further negative publicity relating to particular crypto assets or platforms or the crypto industry more generally. Any of the foregoing could significantly adversely impact our business.</w:t>
      </w:r>
    </w:p>
    <w:p>
      <w:pPr>
        <w:spacing w:after="0" w:line="192" w:lineRule="exact"/>
        <w:rPr>
          <w:sz w:val="20"/>
          <w:szCs w:val="20"/>
          <w:color w:val="auto"/>
        </w:rPr>
      </w:pPr>
    </w:p>
    <w:p>
      <w:pPr>
        <w:ind w:left="120" w:right="6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See also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Regulation, Taxation and Law—A crypto asset’s status as a “security” in any relevant jurisdiction is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9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175" w:lineRule="exact"/>
        <w:rPr>
          <w:sz w:val="20"/>
          <w:szCs w:val="20"/>
          <w:color w:val="auto"/>
        </w:rPr>
      </w:pPr>
    </w:p>
    <w:p>
      <w:pPr>
        <w:ind w:left="120" w:right="20" w:firstLine="991"/>
        <w:spacing w:after="0" w:line="252" w:lineRule="auto"/>
        <w:rPr>
          <w:sz w:val="20"/>
          <w:szCs w:val="20"/>
          <w:color w:val="auto"/>
        </w:rPr>
      </w:pPr>
      <w:r>
        <w:rPr>
          <w:rFonts w:ascii="Times New Roman" w:cs="Times New Roman" w:eastAsia="Times New Roman" w:hAnsi="Times New Roman"/>
          <w:sz w:val="18"/>
          <w:szCs w:val="18"/>
          <w:color w:val="auto"/>
        </w:rPr>
        <w:t>The SEC and its staff have taken the position that certain crypto assets fall within the definition of a “security” under the U.S. federal securities laws, and it is possible the SEC may take this position with respect to other assets that may be transacted on our platform. Certain legal tests for determining whether any given asset is a security may require highly complex and fact-driven analyses, and the outcome is difficult to predict. The SEC, as well as other regulators, have been increasingly focused on the regulation of crypto, which has impacted and will continue to impact our business. In recent months, the SEC has alleged a number of additional crypto assets to be securities in the course of enforcement actions and lawsuits brought against crypto market participants, including lawsuits brought against the crypto exchanges Bittrex, Coinbase, Binance, and Kraken. Among the crypto assets identified as securities in these actions are assets that were previously listed on Bakkt Crypto’s platform, which Bakkt has since delisted. Prior SEC enforcement activity had not alleged crypto assets made available for trading on or through a Bakkt platform to be securities. It is not clear what actions the SEC will take with respect to those or other crypto assets, including in the course of the SEC inquiry regarding the Bakkt Crypto platform that began prior to Bakkt’s acquisition, or what decisions the courts will reach regarding the status of specific crypto assets as securities. For example, in December 2020, the SEC initiated a lawsuit against Ripple Labs, Inc. (“Ripple”) and two of its executives, alleging that they engaged in the unlawful offer and sale of unregistered securities through sales of XRP, Ripple’s crypto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There also remains a significant lack of clarity over whether individual crypto assets that purport to maintain a fixed or “stable” value relative to a fiat currency or other underlying asset, known as “stablecoins,” will be deemed to be “securities.”</w:t>
      </w:r>
    </w:p>
    <w:p>
      <w:pPr>
        <w:spacing w:after="0" w:line="195"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192"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We could be subject to legal or regulatory action in the event the SEC, a foreign regulatory authority, or a court were to determine that a supported crypto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 assets on our platform, we currently only permit transactions in crypto assets that we have determined are not securities. We intend to offer other crypto assets on our platform in the future, although which crypto assets will be allowed on our platform, and the timing for such crypto assets to be allowed on our platform, is uncertain. We will only allow those crypto assets for which we determine there are reasonably strong arguments to conclude that the crypto asset is not a security.</w:t>
      </w:r>
    </w:p>
    <w:p>
      <w:pPr>
        <w:spacing w:after="0" w:line="189" w:lineRule="exact"/>
        <w:rPr>
          <w:sz w:val="20"/>
          <w:szCs w:val="20"/>
          <w:color w:val="auto"/>
        </w:rPr>
      </w:pPr>
    </w:p>
    <w:p>
      <w:pPr>
        <w:jc w:val="both"/>
        <w:ind w:left="120" w:right="40" w:firstLine="991"/>
        <w:spacing w:after="0" w:line="270" w:lineRule="auto"/>
        <w:rPr>
          <w:sz w:val="20"/>
          <w:szCs w:val="20"/>
          <w:color w:val="auto"/>
        </w:rPr>
      </w:pPr>
      <w:r>
        <w:rPr>
          <w:rFonts w:ascii="Times New Roman" w:cs="Times New Roman" w:eastAsia="Times New Roman" w:hAnsi="Times New Roman"/>
          <w:sz w:val="17"/>
          <w:szCs w:val="17"/>
          <w:color w:val="auto"/>
        </w:rPr>
        <w:t>However, the application of securities laws to the specific facts and circumstances of crypto may be complex and subject to change, and a listing determination does not guarantee any conclusion under the United States federal securities laws. While we have policies that are designed to help us analyze whether a particular crypto asset is a “security”, our policies and procedures are not a legal standard, but rather a framework for analysis that permits us to make a risk-based assessment regarding the likelihood that a particular crypto asset could be deemed a “security” under applicable laws.</w:t>
      </w:r>
    </w:p>
    <w:p>
      <w:pPr>
        <w:spacing w:after="0" w:line="3" w:lineRule="exact"/>
        <w:rPr>
          <w:sz w:val="20"/>
          <w:szCs w:val="20"/>
          <w:color w:val="auto"/>
        </w:rPr>
      </w:pPr>
    </w:p>
    <w:p>
      <w:pPr>
        <w:ind w:left="120" w:right="160"/>
        <w:spacing w:after="0" w:line="252" w:lineRule="auto"/>
        <w:rPr>
          <w:sz w:val="20"/>
          <w:szCs w:val="20"/>
          <w:color w:val="auto"/>
        </w:rPr>
      </w:pPr>
      <w:r>
        <w:rPr>
          <w:rFonts w:ascii="Times New Roman" w:cs="Times New Roman" w:eastAsia="Times New Roman" w:hAnsi="Times New Roman"/>
          <w:sz w:val="18"/>
          <w:szCs w:val="18"/>
          <w:color w:val="auto"/>
        </w:rPr>
        <w:t>Regardless of our conclusions, we could be subject to legal or regulatory action in the event the SEC, a state or foreign regulatory authority, or a court, were to determine that a crypto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 these crypto assets, these developments and changes may occur more rapidly than we are able to change our related policies and procedures. Actions may also be brought by private individuals or entities alleging illegal transactions involving crypto assets that they claim are securities, and seeking rescission of those transactions, and/or other legal and equitable relief under federal or state securities laws.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In addition, in connection with our acquisition of Bakkt Crypto we have needed to, and if we engage in any other acquisitions in the future, may further need to, update our policies and procedures to account for additional types of crypto assets or additional functionalities, and there may be a delay in adopting uniform policies and procedures relating to the acquired company or in applying such policies and procedures to an acquired company’s crypto assets. In applying our policies and procedures to an acquired company’s crypto assets, we may determine to delist some or all of such company’s crypto assets. See also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we are unable to attract, retain or grow our relationships with our existing clients, our business,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189"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There can be no assurances that we will properly characterize any given crypto asset as a security or non-security for purposes of determining if that crypto asset is allowed to be offered through our platform, or that the SEC, foreign regulatory authority, or a court, if the question was presented to it, would agree with our assessment. If the SEC, foreign regulatory authority, or a court were to determine that bitcoin or any other crypto asset to be offered, sold, or traded on our platform in the future is a security, we would not be able to offer such crypto asset for trading until we are able to do so in a compliant manner, such as through an alternative trading system approved to trade crypto assets that constitute securities, and such determination may have adverse consequences for such supported crypto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 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300" w:lineRule="exact"/>
        <w:rPr>
          <w:sz w:val="20"/>
          <w:szCs w:val="20"/>
          <w:color w:val="auto"/>
        </w:rPr>
      </w:pPr>
    </w:p>
    <w:p>
      <w:pPr>
        <w:ind w:left="120" w:right="16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51"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seeking damages as well as fees and costs. On March 14, 2023, the parties reached a settlement in principle. On 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 On June 23, 2023, an “opt-out” action related to the foregoing class action was filed against Bakkt Holdings, Inc. and the individuals named in the class action. 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are in the process of responding to the SEC and cannot estimate the potential impact, if any, of the resolution of this matter on our business or financial statements at this time, which could be material.</w:t>
      </w:r>
    </w:p>
    <w:p>
      <w:pPr>
        <w:spacing w:after="0" w:line="193"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91"/>
        <w:spacing w:after="0" w:line="255" w:lineRule="auto"/>
        <w:rPr>
          <w:sz w:val="20"/>
          <w:szCs w:val="20"/>
          <w:color w:val="auto"/>
        </w:rPr>
      </w:pPr>
      <w:r>
        <w:rPr>
          <w:rFonts w:ascii="Times New Roman" w:cs="Times New Roman" w:eastAsia="Times New Roman" w:hAnsi="Times New Roman"/>
          <w:sz w:val="18"/>
          <w:szCs w:val="18"/>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189"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In light of our business model based on crypto, we are also subject to substantial regulatory risks. For more information about the regulatory risks to which our business is subject, see “A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“Regulatory regimes governing blockchain technologies and crypto are evolving and uncertain, and new legislation, regulations, guidance and enforcement actions have in the past required, and may in the future require, us to alter our business practices” and “Our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92"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284" w:lineRule="exact"/>
        <w:rPr>
          <w:sz w:val="20"/>
          <w:szCs w:val="20"/>
          <w:color w:val="auto"/>
        </w:rPr>
      </w:pPr>
    </w:p>
    <w:p>
      <w:pPr>
        <w:ind w:left="120" w:right="4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51" w:lineRule="exact"/>
        <w:rPr>
          <w:sz w:val="20"/>
          <w:szCs w:val="20"/>
          <w:color w:val="auto"/>
        </w:rPr>
      </w:pPr>
    </w:p>
    <w:p>
      <w:pPr>
        <w:ind w:left="120" w:right="440" w:firstLine="991"/>
        <w:spacing w:after="0" w:line="258" w:lineRule="auto"/>
        <w:rPr>
          <w:sz w:val="20"/>
          <w:szCs w:val="20"/>
          <w:color w:val="auto"/>
        </w:rPr>
      </w:pPr>
      <w:r>
        <w:rPr>
          <w:rFonts w:ascii="Times New Roman" w:cs="Times New Roman" w:eastAsia="Times New Roman" w:hAnsi="Times New Roman"/>
          <w:sz w:val="18"/>
          <w:szCs w:val="18"/>
          <w:color w:val="auto"/>
        </w:rPr>
        <w:t>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not identify control deficiencies or material weaknesses in the future. Furthermore, in accordance with SEC guidance, our assessment of our internal controls over financial reporting has excluded Bakkt Crypto. There is no assurance that we will not identify control deficiencies or material weaknesses when our assessment include Bakkt Crypto in future periods.</w:t>
      </w:r>
    </w:p>
    <w:p>
      <w:pPr>
        <w:spacing w:after="0" w:line="183"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80"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We expect these costs to increase once we cease to be an emerging growth company and be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89" w:lineRule="exact"/>
        <w:rPr>
          <w:sz w:val="20"/>
          <w:szCs w:val="20"/>
          <w:color w:val="auto"/>
        </w:rPr>
      </w:pPr>
    </w:p>
    <w:p>
      <w:pPr>
        <w:ind w:left="120" w:right="380" w:firstLine="991"/>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266" w:lineRule="exact"/>
        <w:rPr>
          <w:sz w:val="20"/>
          <w:szCs w:val="20"/>
          <w:color w:val="auto"/>
        </w:rPr>
      </w:pPr>
    </w:p>
    <w:p>
      <w:pPr>
        <w:ind w:left="120" w:right="44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159"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Our securities are currently listed on NYSE. However, we cannot assure you that we will be able to meet the NYSE’s continued listing requirements for our common stock or our warrants in the future. For example, as of November 13, 2023, our stock price had closed below $1.00 for the preceding nine consecutive trading days and, if it does not increase, we may receive a written notification from the NYSE that we are not in compliance with the continued listing standard set forth in Section 802.01C of the NYSE Listed Company Manual, which requires that the closing price of our Class A Common Stock</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is not less than an average of $1.00 per share over a consecutive 30 trading-day period. While the NYSE rules generally provide for a six-month period to return to compliance following delivery of a noncompliance notice including by taking an action that will require approval of our shareholders, there can be no assurances that we will be able to achieve compliance with the minimum bid price requirements or any other listing requirements during such period, or at all.</w:t>
      </w:r>
    </w:p>
    <w:p>
      <w:pPr>
        <w:spacing w:after="0" w:line="180" w:lineRule="exact"/>
        <w:rPr>
          <w:sz w:val="20"/>
          <w:szCs w:val="20"/>
          <w:color w:val="auto"/>
        </w:rPr>
      </w:pPr>
    </w:p>
    <w:p>
      <w:pPr>
        <w:jc w:val="both"/>
        <w:ind w:left="120" w:right="420" w:firstLine="991"/>
        <w:spacing w:after="0" w:line="266" w:lineRule="auto"/>
        <w:rPr>
          <w:sz w:val="20"/>
          <w:szCs w:val="20"/>
          <w:color w:val="auto"/>
        </w:rPr>
      </w:pPr>
      <w:r>
        <w:rPr>
          <w:rFonts w:ascii="Times New Roman" w:cs="Times New Roman" w:eastAsia="Times New Roman" w:hAnsi="Times New Roman"/>
          <w:sz w:val="18"/>
          <w:szCs w:val="18"/>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We are providing an update to our business activities following our acquisition of Bakkt Crypto, formerly Apex Crypto, on April 1, 2023. Effective June 12, 2023, we changed the name of Apex Crypto to Bakkt Crypto. This business update should be read together with “Item 1. Business” and “Item 1A. Risk Factors” in the Company’s Annual Report on Form 10-K for the fiscal year ended December 31, 2023, “Item 2. Management’s Discussion and Analysis of Financial Condition and Results of Operations – Recent Developments” in the Original Form 10-Q and “Item 1A. Risk Factors” in this Amended Form 10-Q.</w:t>
      </w:r>
    </w:p>
    <w:p>
      <w:pPr>
        <w:spacing w:after="0" w:line="183"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Some of the information contained in this update,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in “Cautionary Statement Regarding Forward-Looking Statements” and “Item 1A. Risk Factors” in this Amended Form 10-Q.</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this Amended Form 10-Q, we use the following terms, which are defined as follows:</w:t>
      </w:r>
    </w:p>
    <w:p>
      <w:pPr>
        <w:spacing w:after="0" w:line="127" w:lineRule="exact"/>
        <w:rPr>
          <w:sz w:val="20"/>
          <w:szCs w:val="20"/>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Client </w:t>
      </w:r>
      <w:r>
        <w:rPr>
          <w:rFonts w:ascii="Times New Roman" w:cs="Times New Roman" w:eastAsia="Times New Roman" w:hAnsi="Times New Roman"/>
          <w:sz w:val="17"/>
          <w:szCs w:val="17"/>
          <w:color w:val="auto"/>
        </w:rPr>
        <w:t>means businesses with whom we contract to provide services to customers on our platform, and includes financial institutions,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hedge funds, merchants, retailers, third party partners, and other businesses (except in the accompanying notes to the consolidated financial statements, where we refer to revenue earned from customers, instead of clients). The term customers is in accordance with the Financial Accounting Standards Board (“FASB”) Accounting Standards Codification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w:t>
      </w:r>
    </w:p>
    <w:p>
      <w:pPr>
        <w:spacing w:after="0" w:line="66" w:lineRule="exact"/>
        <w:rPr>
          <w:rFonts w:ascii="Times New Roman" w:cs="Times New Roman" w:eastAsia="Times New Roman" w:hAnsi="Times New Roman"/>
          <w:sz w:val="17"/>
          <w:szCs w:val="17"/>
          <w:color w:val="auto"/>
        </w:rPr>
      </w:pPr>
    </w:p>
    <w:p>
      <w:pPr>
        <w:ind w:left="1080" w:hanging="424"/>
        <w:spacing w:after="0" w:line="26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assets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crypto</w:t>
      </w:r>
      <w:r>
        <w:rPr>
          <w:rFonts w:ascii="Times New Roman" w:cs="Times New Roman" w:eastAsia="Times New Roman" w:hAnsi="Times New Roman"/>
          <w:sz w:val="18"/>
          <w:szCs w:val="18"/>
          <w:color w:val="auto"/>
        </w:rPr>
        <w:t>) means an asset that is built using blockchain technology, including virtual currencies (as used in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coins, cryptocurrencies, stablecoins, and other tokens. Our platform enables transactions in certain supported crypto assets. For purposes of this Amended Form 10-Q, we use crypto assets, virtual currency, coins, and tokens interchangeably.</w:t>
      </w:r>
    </w:p>
    <w:p>
      <w:pPr>
        <w:spacing w:after="0" w:line="76"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customers of our loyalty clients who use our platform to transact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loyalty points, as well as customers of our clients who transact in crypto through, and have accounts on, our platform (except as defined for ASC 606 purposes above).</w:t>
      </w:r>
    </w:p>
    <w:p>
      <w:pPr>
        <w:spacing w:after="0" w:line="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Loyalty points </w:t>
      </w:r>
      <w:r>
        <w:rPr>
          <w:rFonts w:ascii="Times New Roman" w:cs="Times New Roman" w:eastAsia="Times New Roman" w:hAnsi="Times New Roman"/>
          <w:sz w:val="18"/>
          <w:szCs w:val="18"/>
          <w:color w:val="auto"/>
        </w:rPr>
        <w:t>means loyalty and/or reward points that are issued by clients to their customers.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operate primarily through the following entities:</w:t>
      </w:r>
    </w:p>
    <w:p>
      <w:pPr>
        <w:spacing w:after="0" w:line="131" w:lineRule="exact"/>
        <w:rPr>
          <w:sz w:val="20"/>
          <w:szCs w:val="20"/>
          <w:color w:val="auto"/>
        </w:rPr>
      </w:pPr>
    </w:p>
    <w:p>
      <w:pPr>
        <w:ind w:left="1080" w:hanging="424"/>
        <w:spacing w:after="0" w:line="25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Marketplace, LLC (“Bakkt Marketplace”) and Bakkt Crypto – through these entities we operate integrated platforms that provide customers with the ability to buy, sell and store crypto in a simple, intuitive digital experience accessed via application programming interfaces (“APIs”) or embedded web experience. Bakkt Marketplace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United States Department of the Treasury. Bakkt Crypto similarly holds a BitLicense and money transmitter licenses in various states, where its business requires. Currently, all of the outstanding equity interests of Bakkt Crypto are held by Bakkt Marketplace. The Bakkt Crypto and Bakkt Marketplace platforms generally are operated separately, though Bakkt Marketplace provides fiat funding services to Bakkt Crypto in instances where a client does not have that capability. The Bakkt Marketplace platform was originally conceived and built in connection with a consumer app that enabled crypto asset transactions, and, at the time, represented a direct-to consumer business model, which is no longer being pursued by the Company. In contrast, the Bakkt Crypto platform was originally conceived and built as an embedded crypto trading platform that would be integrated into client environments to service customers in those environments. Subject to applicable regulatory approvals, which we are presently pursuing, we intend to merge Bakkt Crypto with and into Bakkt Marketplace, with the surviving entity of the merger to be renamed Bakkt Crypto Solutions, LLC. The two platforms will then be combined into one business, which will be operated by the surviving entity. Similar to the Bakkt Crypto business model, the combined business will focus on a client-led, or “business-to-business-to-consumer” (“B2B2C”), strategy in which crypto asset solutions can be embedded into client environments.</w:t>
      </w:r>
    </w:p>
    <w:p>
      <w:pPr>
        <w:spacing w:after="0" w:line="9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Trust is a New York limited-purpose trust company that is chartered by and subject to the supervision and oversight of New York Department of Financial Services and governed by an independent Board of Managers. Bakkt Trust provides our institutional-grade qualified custody solution, which caters to more experienced market participants and also supports our consumer-facing crypto business. Bakkt Trust’s custody solution also provides support to Bakkt Marketplace with respect to all crypto assets supported by the Company. See “</w:t>
      </w:r>
      <w:r>
        <w:rPr>
          <w:rFonts w:ascii="Times New Roman" w:cs="Times New Roman" w:eastAsia="Times New Roman" w:hAnsi="Times New Roman"/>
          <w:sz w:val="18"/>
          <w:szCs w:val="18"/>
          <w:i w:val="1"/>
          <w:iCs w:val="1"/>
          <w:color w:val="auto"/>
        </w:rPr>
        <w:t>—Crypto Assets and Services Offered by Bakkt.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540" w:firstLine="991"/>
        <w:spacing w:after="0" w:line="282" w:lineRule="auto"/>
        <w:rPr>
          <w:sz w:val="20"/>
          <w:szCs w:val="20"/>
          <w:color w:val="auto"/>
        </w:rPr>
      </w:pPr>
      <w:r>
        <w:rPr>
          <w:rFonts w:ascii="Times New Roman" w:cs="Times New Roman" w:eastAsia="Times New Roman" w:hAnsi="Times New Roman"/>
          <w:sz w:val="18"/>
          <w:szCs w:val="18"/>
          <w:color w:val="auto"/>
        </w:rPr>
        <w:t>We acquired Bumped Financial, LLC (“Bumped”) (renamed Bakkt Brokerage), a registered broker-dealer, in February 2023. Bakkt Brokerage is not engaged in any business activities at this time and we have no current plans for it to engage in future business activities.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Bakkt Crypto</w:t>
      </w:r>
    </w:p>
    <w:p>
      <w:pPr>
        <w:spacing w:after="0" w:line="121" w:lineRule="exact"/>
        <w:rPr>
          <w:sz w:val="20"/>
          <w:szCs w:val="20"/>
          <w:color w:val="auto"/>
        </w:rPr>
      </w:pPr>
    </w:p>
    <w:p>
      <w:pPr>
        <w:ind w:left="120" w:right="180" w:firstLine="991"/>
        <w:spacing w:after="0" w:line="254" w:lineRule="auto"/>
        <w:rPr>
          <w:sz w:val="20"/>
          <w:szCs w:val="20"/>
          <w:color w:val="auto"/>
        </w:rPr>
      </w:pPr>
      <w:r>
        <w:rPr>
          <w:rFonts w:ascii="Times New Roman" w:cs="Times New Roman" w:eastAsia="Times New Roman" w:hAnsi="Times New Roman"/>
          <w:sz w:val="18"/>
          <w:szCs w:val="18"/>
          <w:color w:val="auto"/>
        </w:rPr>
        <w:t>In April 2023, we acquired Apex Crypto, a platform for integrated crypto trading, which we renamed Bakkt Crypto. This platform supports clients with a range of crypto solutions.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2" w:lineRule="exact"/>
        <w:rPr>
          <w:sz w:val="20"/>
          <w:szCs w:val="20"/>
          <w:color w:val="auto"/>
        </w:rPr>
      </w:pPr>
    </w:p>
    <w:p>
      <w:pPr>
        <w:ind w:left="120" w:right="140" w:firstLine="991"/>
        <w:spacing w:after="0" w:line="255"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Bakkt Crypto is regularly exploring additional ways to innovate and provide additional products and services to its clients. Bakkt Crypto is in the process of developing, subject to applicable regulatory approvals, a solution to facilitate international remittances where users can remit fiat currency, with Bakkt leveraging crypto rails to settle the transaction, and conversion of certain loyalty and rewards points into supported crypto assets.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Hapi Crypto. Bakkt Crypto executes a de minimis amount of trades for entity accounts in jurisdictions other than the State of New York. Subject to applicable regulatory approvals, Bakkt Crypto intends to expand the provision of trading services for institutional clients.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Crypto Market Developments</w:t>
      </w:r>
    </w:p>
    <w:p>
      <w:pPr>
        <w:spacing w:after="0" w:line="121"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Over approximately the last eighteen months, the crypto markets were impacted by, among other developments, significant decreases and volatility in crypto asset prices, a loss of confidence in many participants in the crypto asset ecosystem, regulatory actions and adverse publicity around specific companies, the crypto industry and crypto assets more broadly, including as a result of continued industry-wide consequences from the Chapter 11 bankruptcy filings of crypto asset exchange FTX, crypto hedge fund Three Arrows, crypto miners Compute North and Core Scientific, and crypto lenders Celsius Network, Voyager Digital and BlockFi. In addition, the liquidity of the crypto asset markets has been adversely impacted by these bankruptcy filings as, among other things, certain entities affiliated with FTX and other former participants had engaged in significant trading activity. Although we did not have any exposure to these companies, and we do not have material assets that may not be recovered or may otherwise be lost or misappropriated due to the bankruptcies, we were nonetheless impacted by, and continue to be impacted by, the broader conditions in the crypto markets.</w:t>
      </w:r>
    </w:p>
    <w:p>
      <w:pPr>
        <w:spacing w:after="0" w:line="188"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The crypto markets also have been and continue to be impacted by the broader macroeconomic conditions, including the strength of the overall macroeconomic environment, high and rising interest rates, spikes in inflation rates, general market volatility, and geopolitical concerns. We expect the macroeconomic environment and the state of the crypto markets to remain dynamic in the near-term.</w:t>
      </w:r>
    </w:p>
    <w:p>
      <w:pPr>
        <w:spacing w:after="0" w:line="176" w:lineRule="exact"/>
        <w:rPr>
          <w:sz w:val="20"/>
          <w:szCs w:val="20"/>
          <w:color w:val="auto"/>
        </w:rPr>
      </w:pPr>
    </w:p>
    <w:p>
      <w:pPr>
        <w:ind w:left="120" w:right="200" w:firstLine="991"/>
        <w:spacing w:after="0" w:line="258" w:lineRule="auto"/>
        <w:rPr>
          <w:sz w:val="20"/>
          <w:szCs w:val="20"/>
          <w:color w:val="auto"/>
        </w:rPr>
      </w:pPr>
      <w:r>
        <w:rPr>
          <w:rFonts w:ascii="Times New Roman" w:cs="Times New Roman" w:eastAsia="Times New Roman" w:hAnsi="Times New Roman"/>
          <w:sz w:val="18"/>
          <w:szCs w:val="18"/>
          <w:color w:val="auto"/>
        </w:rPr>
        <w:t>In addition, crypto assets and crypto market participants have recently faced increased scrutiny by regulators. For example, in 2023, the SEC has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 For more information see “</w:t>
      </w:r>
      <w:r>
        <w:rPr>
          <w:rFonts w:ascii="Times New Roman" w:cs="Times New Roman" w:eastAsia="Times New Roman" w:hAnsi="Times New Roman"/>
          <w:sz w:val="18"/>
          <w:szCs w:val="18"/>
          <w:i w:val="1"/>
          <w:iCs w:val="1"/>
          <w:color w:val="auto"/>
        </w:rPr>
        <w:t>—Regulation—Regulation of Our Virtual Currency Business</w:t>
      </w:r>
      <w:r>
        <w:rPr>
          <w:rFonts w:ascii="Times New Roman" w:cs="Times New Roman" w:eastAsia="Times New Roman" w:hAnsi="Times New Roman"/>
          <w:sz w:val="18"/>
          <w:szCs w:val="18"/>
          <w:color w:val="auto"/>
        </w:rPr>
        <w:t>,”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Crypto Assets and Services Offered by Bakkt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Retail Customers</w:t>
      </w:r>
    </w:p>
    <w:p>
      <w:pPr>
        <w:spacing w:after="0" w:line="121"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We currently provide, or intend to provide, the following crypto-related services for retail customers. These services are provided through our clients which have a direct relationship with such customers and utilize our trading platform and custody services.</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asset trading;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custody services for the crypto assets supported for trading;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transfers of crypto assets (through Bakkt Crypto);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rewards (expected to become available in the first quarter of 2024).</w:t>
      </w:r>
    </w:p>
    <w:p>
      <w:pPr>
        <w:spacing w:after="0" w:line="225"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Our management regularly considers whether to make any potential additional crypto assets available on our platform, consistent with our policies and procedures. See “</w:t>
      </w:r>
      <w:r>
        <w:rPr>
          <w:rFonts w:ascii="Times New Roman" w:cs="Times New Roman" w:eastAsia="Times New Roman" w:hAnsi="Times New Roman"/>
          <w:sz w:val="18"/>
          <w:szCs w:val="18"/>
          <w:i w:val="1"/>
          <w:iCs w:val="1"/>
          <w:color w:val="auto"/>
        </w:rPr>
        <w:t>—Policies and Procedures—Listing-Related Policies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Bakkt Crypto, Bakkt Marketplace and Bakkt Trust facilitate transactions in, and provide services for, the crypto assets listed in the tables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Bakkt Marketplace / Bakkt Crypto</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Crypto Asset</w:t>
            </w:r>
          </w:p>
        </w:tc>
        <w:tc>
          <w:tcPr>
            <w:tcW w:w="460" w:type="dxa"/>
            <w:vAlign w:val="bottom"/>
          </w:tcPr>
          <w:p>
            <w:pPr>
              <w:spacing w:after="0"/>
              <w:rPr>
                <w:sz w:val="16"/>
                <w:szCs w:val="16"/>
                <w:color w:val="auto"/>
              </w:rPr>
            </w:pPr>
          </w:p>
        </w:tc>
        <w:tc>
          <w:tcPr>
            <w:tcW w:w="21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Supported for</w:t>
            </w: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gridSpan w:val="2"/>
          </w:tcPr>
          <w:p>
            <w:pPr>
              <w:jc w:val="center"/>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Trading</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Transfers</w:t>
            </w:r>
          </w:p>
        </w:tc>
        <w:tc>
          <w:tcPr>
            <w:tcW w:w="14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Rewards</w:t>
            </w:r>
          </w:p>
        </w:tc>
        <w:tc>
          <w:tcPr>
            <w:tcW w:w="0" w:type="dxa"/>
            <w:vAlign w:val="bottom"/>
          </w:tcPr>
          <w:p>
            <w:pPr>
              <w:spacing w:after="0"/>
              <w:rPr>
                <w:sz w:val="1"/>
                <w:szCs w:val="1"/>
                <w:color w:val="auto"/>
              </w:rPr>
            </w:pPr>
          </w:p>
        </w:tc>
      </w:tr>
      <w:tr>
        <w:trPr>
          <w:trHeight w:val="185"/>
        </w:trPr>
        <w:tc>
          <w:tcPr>
            <w:tcW w:w="80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Bitcoin</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ind w:right="372"/>
              <w:spacing w:after="0" w:line="185" w:lineRule="exact"/>
              <w:rPr>
                <w:sz w:val="20"/>
                <w:szCs w:val="20"/>
                <w:color w:val="auto"/>
              </w:rPr>
            </w:pPr>
            <w:r>
              <w:rPr>
                <w:rFonts w:ascii="Times New Roman" w:cs="Times New Roman" w:eastAsia="Times New Roman" w:hAnsi="Times New Roman"/>
                <w:sz w:val="18"/>
                <w:szCs w:val="18"/>
                <w:color w:val="auto"/>
                <w:w w:val="96"/>
              </w:rPr>
              <w:t>BTC</w:t>
            </w: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right="290"/>
              <w:spacing w:after="0" w:line="185" w:lineRule="exact"/>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1"/>
              </w:rPr>
              <w:t>Yes*</w:t>
            </w:r>
          </w:p>
        </w:tc>
        <w:tc>
          <w:tcPr>
            <w:tcW w:w="100" w:type="dxa"/>
            <w:vAlign w:val="bottom"/>
          </w:tcPr>
          <w:p>
            <w:pPr>
              <w:spacing w:after="0"/>
              <w:rPr>
                <w:sz w:val="16"/>
                <w:szCs w:val="16"/>
                <w:color w:val="auto"/>
              </w:rPr>
            </w:pPr>
          </w:p>
        </w:tc>
        <w:tc>
          <w:tcPr>
            <w:tcW w:w="1440" w:type="dxa"/>
            <w:vAlign w:val="bottom"/>
            <w:tcBorders>
              <w:top w:val="single" w:sz="8" w:color="auto"/>
            </w:tcBorders>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Planned Q1 2024</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Bitcoin Cash</w:t>
            </w:r>
          </w:p>
        </w:tc>
        <w:tc>
          <w:tcPr>
            <w:tcW w:w="460" w:type="dxa"/>
            <w:vAlign w:val="bottom"/>
          </w:tcPr>
          <w:p>
            <w:pPr>
              <w:spacing w:after="0"/>
              <w:rPr>
                <w:sz w:val="18"/>
                <w:szCs w:val="18"/>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BCH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Yes*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Dogecoin</w:t>
            </w:r>
          </w:p>
        </w:tc>
        <w:tc>
          <w:tcPr>
            <w:tcW w:w="460" w:type="dxa"/>
            <w:vAlign w:val="bottom"/>
          </w:tcPr>
          <w:p>
            <w:pPr>
              <w:spacing w:after="0"/>
              <w:rPr>
                <w:sz w:val="18"/>
                <w:szCs w:val="18"/>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DOGE</w:t>
            </w:r>
          </w:p>
        </w:tc>
        <w:tc>
          <w:tcPr>
            <w:tcW w:w="1000" w:type="dxa"/>
            <w:vAlign w:val="bottom"/>
          </w:tcPr>
          <w:p>
            <w:pPr>
              <w:spacing w:after="0"/>
              <w:rPr>
                <w:sz w:val="18"/>
                <w:szCs w:val="18"/>
                <w:color w:val="auto"/>
              </w:rPr>
            </w:pPr>
          </w:p>
        </w:tc>
        <w:tc>
          <w:tcPr>
            <w:tcW w:w="8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7"/>
              </w:rPr>
              <w:t>Yes*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Yes*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Ethereum</w:t>
            </w:r>
          </w:p>
        </w:tc>
        <w:tc>
          <w:tcPr>
            <w:tcW w:w="460" w:type="dxa"/>
            <w:vAlign w:val="bottom"/>
          </w:tcPr>
          <w:p>
            <w:pPr>
              <w:spacing w:after="0"/>
              <w:rPr>
                <w:sz w:val="18"/>
                <w:szCs w:val="18"/>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ETH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Yes*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Ethereum Classic</w:t>
            </w:r>
          </w:p>
        </w:tc>
        <w:tc>
          <w:tcPr>
            <w:tcW w:w="460" w:type="dxa"/>
            <w:vAlign w:val="bottom"/>
          </w:tcPr>
          <w:p>
            <w:pPr>
              <w:spacing w:after="0"/>
              <w:rPr>
                <w:sz w:val="18"/>
                <w:szCs w:val="18"/>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ETC</w:t>
            </w:r>
          </w:p>
        </w:tc>
        <w:tc>
          <w:tcPr>
            <w:tcW w:w="1000" w:type="dxa"/>
            <w:vAlign w:val="bottom"/>
          </w:tcPr>
          <w:p>
            <w:pPr>
              <w:spacing w:after="0"/>
              <w:rPr>
                <w:sz w:val="18"/>
                <w:szCs w:val="18"/>
                <w:color w:val="auto"/>
              </w:rPr>
            </w:pPr>
          </w:p>
        </w:tc>
        <w:tc>
          <w:tcPr>
            <w:tcW w:w="8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7"/>
              </w:rPr>
              <w:t>Yes*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Yes*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Litecoin</w:t>
            </w:r>
          </w:p>
        </w:tc>
        <w:tc>
          <w:tcPr>
            <w:tcW w:w="460" w:type="dxa"/>
            <w:vAlign w:val="bottom"/>
          </w:tcPr>
          <w:p>
            <w:pPr>
              <w:spacing w:after="0"/>
              <w:rPr>
                <w:sz w:val="18"/>
                <w:szCs w:val="18"/>
                <w:color w:val="auto"/>
              </w:rPr>
            </w:pPr>
          </w:p>
        </w:tc>
        <w:tc>
          <w:tcPr>
            <w:tcW w:w="21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3"/>
              </w:rPr>
              <w:t>LTC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Yes*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Shiba Inu</w:t>
            </w:r>
          </w:p>
        </w:tc>
        <w:tc>
          <w:tcPr>
            <w:tcW w:w="460" w:type="dxa"/>
            <w:vAlign w:val="bottom"/>
          </w:tcPr>
          <w:p>
            <w:pPr>
              <w:spacing w:after="0"/>
              <w:rPr>
                <w:sz w:val="18"/>
                <w:szCs w:val="18"/>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SHIB</w:t>
            </w:r>
          </w:p>
        </w:tc>
        <w:tc>
          <w:tcPr>
            <w:tcW w:w="1000" w:type="dxa"/>
            <w:vAlign w:val="bottom"/>
          </w:tcPr>
          <w:p>
            <w:pPr>
              <w:spacing w:after="0"/>
              <w:rPr>
                <w:sz w:val="18"/>
                <w:szCs w:val="18"/>
                <w:color w:val="auto"/>
              </w:rPr>
            </w:pPr>
          </w:p>
        </w:tc>
        <w:tc>
          <w:tcPr>
            <w:tcW w:w="8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7"/>
              </w:rPr>
              <w:t>Yes*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Yes*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34"/>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USD Coin</w:t>
            </w:r>
          </w:p>
        </w:tc>
        <w:tc>
          <w:tcPr>
            <w:tcW w:w="460" w:type="dxa"/>
            <w:vAlign w:val="bottom"/>
          </w:tcPr>
          <w:p>
            <w:pPr>
              <w:spacing w:after="0"/>
              <w:rPr>
                <w:sz w:val="20"/>
                <w:szCs w:val="20"/>
                <w:color w:val="auto"/>
              </w:rPr>
            </w:pPr>
          </w:p>
        </w:tc>
        <w:tc>
          <w:tcPr>
            <w:tcW w:w="21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USDC</w:t>
            </w:r>
          </w:p>
        </w:tc>
        <w:tc>
          <w:tcPr>
            <w:tcW w:w="1000" w:type="dxa"/>
            <w:vAlign w:val="bottom"/>
          </w:tcPr>
          <w:p>
            <w:pPr>
              <w:spacing w:after="0"/>
              <w:rPr>
                <w:sz w:val="20"/>
                <w:szCs w:val="20"/>
                <w:color w:val="auto"/>
              </w:rPr>
            </w:pPr>
          </w:p>
        </w:tc>
        <w:tc>
          <w:tcPr>
            <w:tcW w:w="8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7"/>
              </w:rPr>
              <w:t>Yes*</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Yes*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Except for the State of New York.</w:t>
            </w: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Bakkt Trust</w:t>
            </w: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2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Crypto Asset</w:t>
            </w:r>
          </w:p>
        </w:tc>
        <w:tc>
          <w:tcPr>
            <w:tcW w:w="460" w:type="dxa"/>
            <w:vAlign w:val="bottom"/>
          </w:tcPr>
          <w:p>
            <w:pPr>
              <w:spacing w:after="0"/>
              <w:rPr>
                <w:sz w:val="24"/>
                <w:szCs w:val="24"/>
                <w:color w:val="auto"/>
              </w:rPr>
            </w:pPr>
          </w:p>
        </w:tc>
        <w:tc>
          <w:tcPr>
            <w:tcW w:w="2180" w:type="dxa"/>
            <w:vAlign w:val="bottom"/>
            <w:gridSpan w:val="2"/>
            <w:vMerge w:val="restart"/>
          </w:tcPr>
          <w:p>
            <w:pPr>
              <w:jc w:val="center"/>
              <w:ind w:left="912"/>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Supported for</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8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Custody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Transfers</w:t>
            </w:r>
          </w:p>
        </w:tc>
        <w:tc>
          <w:tcPr>
            <w:tcW w:w="0" w:type="dxa"/>
            <w:vAlign w:val="bottom"/>
          </w:tcPr>
          <w:p>
            <w:pPr>
              <w:spacing w:after="0"/>
              <w:rPr>
                <w:sz w:val="1"/>
                <w:szCs w:val="1"/>
                <w:color w:val="auto"/>
              </w:rPr>
            </w:pPr>
          </w:p>
        </w:tc>
      </w:tr>
      <w:tr>
        <w:trPr>
          <w:trHeight w:val="185"/>
        </w:trPr>
        <w:tc>
          <w:tcPr>
            <w:tcW w:w="80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Bitcoin</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Borders>
              <w:top w:val="single" w:sz="8" w:color="auto"/>
            </w:tcBorders>
            <w:gridSpan w:val="2"/>
          </w:tcPr>
          <w:p>
            <w:pPr>
              <w:jc w:val="center"/>
              <w:ind w:left="912"/>
              <w:spacing w:after="0" w:line="185" w:lineRule="exact"/>
              <w:rPr>
                <w:sz w:val="20"/>
                <w:szCs w:val="20"/>
                <w:color w:val="auto"/>
              </w:rPr>
            </w:pPr>
            <w:r>
              <w:rPr>
                <w:rFonts w:ascii="Times New Roman" w:cs="Times New Roman" w:eastAsia="Times New Roman" w:hAnsi="Times New Roman"/>
                <w:sz w:val="18"/>
                <w:szCs w:val="18"/>
                <w:color w:val="auto"/>
                <w:w w:val="96"/>
              </w:rPr>
              <w:t>BTC</w:t>
            </w: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760"/>
              <w:spacing w:after="0" w:line="185" w:lineRule="exact"/>
              <w:rPr>
                <w:sz w:val="20"/>
                <w:szCs w:val="20"/>
                <w:color w:val="auto"/>
              </w:rPr>
            </w:pPr>
            <w:r>
              <w:rPr>
                <w:rFonts w:ascii="Times New Roman" w:cs="Times New Roman" w:eastAsia="Times New Roman" w:hAnsi="Times New Roman"/>
                <w:sz w:val="18"/>
                <w:szCs w:val="18"/>
                <w:color w:val="auto"/>
                <w:w w:val="92"/>
              </w:rPr>
              <w:t>Yes</w:t>
            </w: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Bitcoin Cash</w:t>
            </w:r>
          </w:p>
        </w:tc>
        <w:tc>
          <w:tcPr>
            <w:tcW w:w="460" w:type="dxa"/>
            <w:vAlign w:val="bottom"/>
          </w:tcPr>
          <w:p>
            <w:pPr>
              <w:spacing w:after="0"/>
              <w:rPr>
                <w:sz w:val="18"/>
                <w:szCs w:val="18"/>
                <w:color w:val="auto"/>
              </w:rPr>
            </w:pPr>
          </w:p>
        </w:tc>
        <w:tc>
          <w:tcPr>
            <w:tcW w:w="218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BCH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2"/>
              </w:rPr>
              <w:t>Yes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Dogecoin</w:t>
            </w:r>
          </w:p>
        </w:tc>
        <w:tc>
          <w:tcPr>
            <w:tcW w:w="460" w:type="dxa"/>
            <w:vAlign w:val="bottom"/>
          </w:tcPr>
          <w:p>
            <w:pPr>
              <w:spacing w:after="0"/>
              <w:rPr>
                <w:sz w:val="18"/>
                <w:szCs w:val="18"/>
                <w:color w:val="auto"/>
              </w:rPr>
            </w:pPr>
          </w:p>
        </w:tc>
        <w:tc>
          <w:tcPr>
            <w:tcW w:w="218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w w:val="99"/>
              </w:rPr>
              <w:t>DOGE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2"/>
              </w:rPr>
              <w:t>Yes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Ethereum</w:t>
            </w:r>
          </w:p>
        </w:tc>
        <w:tc>
          <w:tcPr>
            <w:tcW w:w="460" w:type="dxa"/>
            <w:vAlign w:val="bottom"/>
          </w:tcPr>
          <w:p>
            <w:pPr>
              <w:spacing w:after="0"/>
              <w:rPr>
                <w:sz w:val="18"/>
                <w:szCs w:val="18"/>
                <w:color w:val="auto"/>
              </w:rPr>
            </w:pPr>
          </w:p>
        </w:tc>
        <w:tc>
          <w:tcPr>
            <w:tcW w:w="218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w w:val="97"/>
              </w:rPr>
              <w:t>ETH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2"/>
              </w:rPr>
              <w:t>Yes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Ethereum Classic</w:t>
            </w:r>
          </w:p>
        </w:tc>
        <w:tc>
          <w:tcPr>
            <w:tcW w:w="460" w:type="dxa"/>
            <w:vAlign w:val="bottom"/>
          </w:tcPr>
          <w:p>
            <w:pPr>
              <w:spacing w:after="0"/>
              <w:rPr>
                <w:sz w:val="18"/>
                <w:szCs w:val="18"/>
                <w:color w:val="auto"/>
              </w:rPr>
            </w:pPr>
          </w:p>
        </w:tc>
        <w:tc>
          <w:tcPr>
            <w:tcW w:w="218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w w:val="99"/>
              </w:rPr>
              <w:t>ETC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2"/>
              </w:rPr>
              <w:t>Yes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Litecoin</w:t>
            </w:r>
          </w:p>
        </w:tc>
        <w:tc>
          <w:tcPr>
            <w:tcW w:w="460" w:type="dxa"/>
            <w:vAlign w:val="bottom"/>
          </w:tcPr>
          <w:p>
            <w:pPr>
              <w:spacing w:after="0"/>
              <w:rPr>
                <w:sz w:val="18"/>
                <w:szCs w:val="18"/>
                <w:color w:val="auto"/>
              </w:rPr>
            </w:pPr>
          </w:p>
        </w:tc>
        <w:tc>
          <w:tcPr>
            <w:tcW w:w="218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w w:val="99"/>
              </w:rPr>
              <w:t>LTC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2"/>
              </w:rPr>
              <w:t>Yes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Shiba Inu</w:t>
            </w:r>
          </w:p>
        </w:tc>
        <w:tc>
          <w:tcPr>
            <w:tcW w:w="460" w:type="dxa"/>
            <w:vAlign w:val="bottom"/>
          </w:tcPr>
          <w:p>
            <w:pPr>
              <w:spacing w:after="0"/>
              <w:rPr>
                <w:sz w:val="18"/>
                <w:szCs w:val="18"/>
                <w:color w:val="auto"/>
              </w:rPr>
            </w:pPr>
          </w:p>
        </w:tc>
        <w:tc>
          <w:tcPr>
            <w:tcW w:w="218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SHIB</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2"/>
              </w:rPr>
              <w:t>Yes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34"/>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USD Coin</w:t>
            </w:r>
          </w:p>
        </w:tc>
        <w:tc>
          <w:tcPr>
            <w:tcW w:w="460" w:type="dxa"/>
            <w:vAlign w:val="bottom"/>
          </w:tcPr>
          <w:p>
            <w:pPr>
              <w:spacing w:after="0"/>
              <w:rPr>
                <w:sz w:val="20"/>
                <w:szCs w:val="20"/>
                <w:color w:val="auto"/>
              </w:rPr>
            </w:pPr>
          </w:p>
        </w:tc>
        <w:tc>
          <w:tcPr>
            <w:tcW w:w="2180" w:type="dxa"/>
            <w:vAlign w:val="bottom"/>
            <w:gridSpan w:val="2"/>
          </w:tcPr>
          <w:p>
            <w:pPr>
              <w:jc w:val="center"/>
              <w:ind w:left="892"/>
              <w:spacing w:after="0"/>
              <w:rPr>
                <w:sz w:val="20"/>
                <w:szCs w:val="20"/>
                <w:color w:val="auto"/>
              </w:rPr>
            </w:pPr>
            <w:r>
              <w:rPr>
                <w:rFonts w:ascii="Times New Roman" w:cs="Times New Roman" w:eastAsia="Times New Roman" w:hAnsi="Times New Roman"/>
                <w:sz w:val="18"/>
                <w:szCs w:val="18"/>
                <w:color w:val="auto"/>
                <w:w w:val="99"/>
              </w:rPr>
              <w:t>USDC</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2"/>
              </w:rPr>
              <w:t>Yes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firstLine="991"/>
        <w:spacing w:after="0" w:line="253" w:lineRule="auto"/>
        <w:rPr>
          <w:sz w:val="20"/>
          <w:szCs w:val="20"/>
          <w:color w:val="auto"/>
        </w:rPr>
      </w:pPr>
      <w:r>
        <w:rPr>
          <w:rFonts w:ascii="Times New Roman" w:cs="Times New Roman" w:eastAsia="Times New Roman" w:hAnsi="Times New Roman"/>
          <w:sz w:val="18"/>
          <w:szCs w:val="18"/>
          <w:color w:val="auto"/>
        </w:rPr>
        <w:t>Following the acquisition of Bakkt Crypto, and as further detailed in the table below, we delisted 37 of the 45 crypto assets that had historically been available for trading on the Bakkt Crypto platform. We first requested the delisting of certain crypto assets from the Bakkt Crypto platform in connection with our due diligence review of the Bakkt Crypto business in 2022. Following the closing of our acquisition of Bakkt Crypto on April 1, 2023, and in light of regulatory developments, we undertook an updated review of all crypto assets then available on the Bakkt Crypto platform and determined that it was appropriate to delist certain additional assets. We have also directed the delisting of certain crypto assets in response to charges recently filed by the SEC against crypto asset exchanges alleging that those crypto assets are securities. We believe that these delistings will not have a material impact on our business and results of operations in future periods. While the delisted crypto assets represented approximately 15% of gross profit of Bakkt Crypto at the time of its acquisition by the Company, many of these crypto assets constitute what is referred to in the fintech industry as “meme coins.” Historically, many meme coins have been subject to anecdotal spikes in trading activity that may not repeat for a protracted period of time if at all. In implementing our coin delisting decisions, we have attempted to mitigate impacts on our business and our clients and customers by affording customers a period in which to exit their positions in the impacted crypto assets as part of an orderly wind-down. We expect our listing and delisting decisions to continue to evolve based on relevant regulatory and judicial precedent.</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Crypto Asset (Symbol)</w:t>
            </w: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Delisting</w:t>
            </w:r>
          </w:p>
        </w:tc>
      </w:tr>
      <w:tr>
        <w:trPr>
          <w:trHeight w:val="185"/>
        </w:trPr>
        <w:tc>
          <w:tcPr>
            <w:tcW w:w="1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AMP</w:t>
            </w:r>
          </w:p>
        </w:tc>
        <w:tc>
          <w:tcPr>
            <w:tcW w:w="4340" w:type="dxa"/>
            <w:vAlign w:val="bottom"/>
          </w:tcPr>
          <w:p>
            <w:pPr>
              <w:spacing w:after="0"/>
              <w:rPr>
                <w:sz w:val="16"/>
                <w:szCs w:val="16"/>
                <w:color w:val="auto"/>
              </w:rPr>
            </w:pPr>
          </w:p>
        </w:tc>
        <w:tc>
          <w:tcPr>
            <w:tcW w:w="52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December 6, 2022</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 DASH; ONE; LUNA; LUNC; ZEC</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2023</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ALGO; MANA</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21, 2023</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 GALA; YFI; LRC; ICP; BAT; LINK; APE; MKR; REN; BNT; SNX;</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19, 2023</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ATOM; GRT; AAVE; FIL; XTZ; AVAX; UNI; XLM; CHZ; SUSHI; CRV;</w:t>
            </w:r>
          </w:p>
        </w:tc>
        <w:tc>
          <w:tcPr>
            <w:tcW w:w="5280" w:type="dxa"/>
            <w:vAlign w:val="bottom"/>
          </w:tcPr>
          <w:p>
            <w:pPr>
              <w:spacing w:after="0"/>
              <w:rPr>
                <w:sz w:val="18"/>
                <w:szCs w:val="18"/>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ENJ; FTM; SOL; ADA; MATIC</w:t>
            </w:r>
          </w:p>
        </w:tc>
        <w:tc>
          <w:tcPr>
            <w:tcW w:w="5280" w:type="dxa"/>
            <w:vAlign w:val="bottom"/>
          </w:tcPr>
          <w:p>
            <w:pPr>
              <w:spacing w:after="0"/>
              <w:rPr>
                <w:sz w:val="20"/>
                <w:szCs w:val="20"/>
                <w:color w:val="auto"/>
              </w:rPr>
            </w:pPr>
          </w:p>
        </w:tc>
      </w:tr>
      <w:tr>
        <w:trPr>
          <w:trHeight w:val="364"/>
        </w:trPr>
        <w:tc>
          <w:tcPr>
            <w:tcW w:w="574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17</w:t>
            </w:r>
          </w:p>
        </w:tc>
        <w:tc>
          <w:tcPr>
            <w:tcW w:w="52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Crypto Asset Trading</w:t>
      </w:r>
    </w:p>
    <w:p>
      <w:pPr>
        <w:spacing w:after="0" w:line="121"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We have agreements with clients that entitle us to receive recurring subscription revenues in the form of platform fees from clients for the use of our platforms by their customers.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Customers may purchase approved crypto assets directly through Bakkt Crypto utilizing one of four funding sources:</w:t>
      </w:r>
    </w:p>
    <w:p>
      <w:pPr>
        <w:spacing w:after="0" w:line="131"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fiat wallet (see Fig. 1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Banking as a Service (“BaaS”) provider account (see Fig. 2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brokerage account (see Fig. 3 below); or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points/rewards account with a participating loyalty client (see Fig. 4 below; expected to become available in the first quarter of 2024).</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Customers may sell crypto assets through Bakkt Crypto. The sale proceeds from a sale can be directed to one of three potential customer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w:t>
      </w:r>
    </w:p>
    <w:p>
      <w:pPr>
        <w:spacing w:after="0" w:line="112"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fiat wallet (see Fig. 5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BaaS account (see Fig. 6 below);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brokerage account (see Fig. 7 below).</w:t>
      </w:r>
    </w:p>
    <w:p>
      <w:pPr>
        <w:spacing w:after="0" w:line="225" w:lineRule="exact"/>
        <w:rPr>
          <w:sz w:val="20"/>
          <w:szCs w:val="20"/>
          <w:color w:val="auto"/>
        </w:rPr>
      </w:pPr>
    </w:p>
    <w:p>
      <w:pPr>
        <w:ind w:left="120" w:right="160" w:firstLine="991"/>
        <w:spacing w:after="0" w:line="261" w:lineRule="auto"/>
        <w:rPr>
          <w:sz w:val="20"/>
          <w:szCs w:val="20"/>
          <w:color w:val="auto"/>
        </w:rPr>
      </w:pPr>
      <w:r>
        <w:rPr>
          <w:rFonts w:ascii="Times New Roman" w:cs="Times New Roman" w:eastAsia="Times New Roman" w:hAnsi="Times New Roman"/>
          <w:sz w:val="18"/>
          <w:szCs w:val="18"/>
          <w:color w:val="auto"/>
        </w:rPr>
        <w:t>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w:t>
      </w:r>
    </w:p>
    <w:p>
      <w:pPr>
        <w:spacing w:after="0" w:line="180" w:lineRule="exact"/>
        <w:rPr>
          <w:sz w:val="20"/>
          <w:szCs w:val="20"/>
          <w:color w:val="auto"/>
        </w:rPr>
      </w:pPr>
    </w:p>
    <w:p>
      <w:pPr>
        <w:jc w:val="both"/>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With respect to customer purchase and sale orders, Bakkt Crypto operates as a riskless principal and offsets each customer order it fills by routing a corresponding order to a liquidity provider on a one-to-one basis. Bakkt Crypto settles its transactions with liquidity providers on a net basis. For more information, see “</w:t>
      </w:r>
      <w:r>
        <w:rPr>
          <w:rFonts w:ascii="Times New Roman" w:cs="Times New Roman" w:eastAsia="Times New Roman" w:hAnsi="Times New Roman"/>
          <w:sz w:val="18"/>
          <w:szCs w:val="18"/>
          <w:i w:val="1"/>
          <w:iCs w:val="1"/>
          <w:color w:val="auto"/>
        </w:rPr>
        <w:t>—Crypto Assets and Services Offered by Bakkt–Crypto Asset Trading–Liquidity Providers</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Customers can submit an order request to purchase crypto assets by specifying the dollar value or coin quantity that they wish to purchase. The client’s user interface displays the estimated price or quantity, as applicable, as well as any transaction fees. Before sending a purchase order request, the client must verify that sufficient funds are available in the applicable customer funding source. If the customer account has sufficient funds, the client then sends the order to Bakkt Crypto. Upon receipt of the purchase order, Bakkt Crypto accepts and processes the purchase order and records any order fill transactions on Bakkt Crypto’s internal ledger. Bakkt Crypto recognizes the revenue from markup and/or trade fees at this time in the flow using explicit journal types in the transaction ledgering.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If the customer’s funding source is a fiat wallet, Bakkt Marketplace will debit the customer’s fiat wallet on its internal ledger. During the daily net settlement period fiat funds are transmitted from the for benefit of (“FBO”) account to the Bakkt Crypto transaction account.</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Fig. 1 Crypto Assets Purchase Through A Fiat 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171450</wp:posOffset>
            </wp:positionV>
            <wp:extent cx="5357495" cy="20059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5749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If the customer’s funding source is a BaaS account, Bakkt Crypto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Bakkt Crypto transaction account.</w:t>
      </w:r>
    </w:p>
    <w:p>
      <w:pPr>
        <w:spacing w:after="0" w:line="180"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A BaaS account is one where a client, through its banking relationships, offers customers the ability to withdraw fiat currency from, or transfer or deposit fiat currency into, the customer’s BaaS account with that client. In those instances, those customers would utilize their BaaS account to purchase supported crypto assets from Bakkt Crypto, as depicted in Figure 2, below, and to deposit the proceeds of sales of supported crypto assets to Bakkt Cyrpto, as depicted in Figure 6, below. Our client, not the Company, maintains the relationship with the BaaS provider and the Company is not itself regulated as a bank.</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Fig. 2 Crypto Assets Purchase Through A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171450</wp:posOffset>
            </wp:positionV>
            <wp:extent cx="4954905" cy="2099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5490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If the customer’s funding source is a brokerage account, Bakkt Crypto sends a message to ledger the funds from the customer’s brokerage account at the brokerage’s clearing firm to Bakkt Crypto brokerage account at the brokerage’s clearing firm. During the daily batch settlement period, fiat funds are transmitted from the Bakkt Crypto brokerage account to the Bakkt Crypto transaction account.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Fig. 3 Crypto Assets Purchase Through A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171450</wp:posOffset>
            </wp:positionV>
            <wp:extent cx="5314950" cy="2280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149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If the customer’s funding source is a points account at points/rewards client, Bakkt Crypto will debit the customer’s points account. During the daily batch settlement, funds are transferred from the rewards client account to the Bakkt Crypto transaction account.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Fig. 4 Crypto Assets Purchase Through A Customer’s Points/Rewards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171450</wp:posOffset>
            </wp:positionV>
            <wp:extent cx="5134610" cy="2108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3461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160" w:firstLine="991"/>
        <w:spacing w:after="0" w:line="258" w:lineRule="auto"/>
        <w:rPr>
          <w:sz w:val="20"/>
          <w:szCs w:val="20"/>
          <w:color w:val="auto"/>
        </w:rPr>
      </w:pPr>
      <w:r>
        <w:rPr>
          <w:rFonts w:ascii="Times New Roman" w:cs="Times New Roman" w:eastAsia="Times New Roman" w:hAnsi="Times New Roman"/>
          <w:sz w:val="18"/>
          <w:szCs w:val="18"/>
          <w:color w:val="auto"/>
        </w:rPr>
        <w:t>For sales, customers submit an order request via the client with which they have a relationship to Bakkt Crypto to sell crypto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Bakkt Crypto by the client. Upon receipt of the order, Bakkt Crypto accepts and processes the sale order and records the order fill transaction on Bakkt Crypto’s internal ledger by recording a debit to the customer’s crypto asset account.</w:t>
      </w:r>
    </w:p>
    <w:p>
      <w:pPr>
        <w:spacing w:after="0" w:line="183"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If the customer’s funding source is a fiat wallet, Bakkt Marketplace will credit the customer’s fiat wallet on its internal ledger. During the daily batch settlement period, fiat funds are transmitted from the Bakkt Crypto transaction account to the FBO account.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u w:val="single" w:color="auto"/>
          <w:color w:val="auto"/>
        </w:rPr>
        <w:t>Fig. 5 Crypto Assets Sale with proceeds to the Customer’s Fiat Wallet Hosted by Bakkt Crypto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20335" cy="1963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2033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If the customer’s funding source is a BaaS account, Bakkt Crypto sends a message to the client that a trade has been executed. The client then instructs the BaaS provider to transfer the funds from its BaaS FBO account to the customer’s BaaS account. The BaaS will credit the customer’s fiat wallet on its internal ledger. During the daily batch settlement period, fiat funds are transmitted from the Bakkt Crypto transaction account to the BaaS FBO account.</w:t>
      </w:r>
    </w:p>
    <w:p>
      <w:pPr>
        <w:spacing w:after="0" w:line="1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u w:val="single" w:color="auto"/>
          <w:color w:val="auto"/>
        </w:rPr>
        <w:t>Fig. 6 Crypto Assets Sale with Proceeds to the Customer’s BaaS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20" w:right="500" w:firstLine="991"/>
        <w:spacing w:after="0" w:line="266" w:lineRule="auto"/>
        <w:rPr>
          <w:sz w:val="20"/>
          <w:szCs w:val="20"/>
          <w:color w:val="auto"/>
        </w:rPr>
      </w:pPr>
      <w:r>
        <w:rPr>
          <w:rFonts w:ascii="Times New Roman" w:cs="Times New Roman" w:eastAsia="Times New Roman" w:hAnsi="Times New Roman"/>
          <w:sz w:val="18"/>
          <w:szCs w:val="18"/>
          <w:color w:val="auto"/>
        </w:rPr>
        <w:t>If the customer’s funding source is a brokerage account, Bakkt Crypto sends a message to ledger the funds from the Bakkt Crypto brokerage account at the brokerage’s clearing firm to the customer’s brokerage account at the brokerage’s clearing firm. During the daily batch settlement period, fiat funds are transmitted from the Bakkt Crypto transaction account to the Bakkt Crypto brokerage account.</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320" w:top="455" w:right="6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Fig. 7 Crypto Assets Sale with Proceeds to the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100320" cy="1929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003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Providers</w:t>
      </w:r>
    </w:p>
    <w:p>
      <w:pPr>
        <w:spacing w:after="0" w:line="121"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Bakkt Crypto currently has relationships with seven liquidity providers, with at least three providers servicing each supported crypto asset in order to provide consistent liquidity. Bakkt Crypto utilizes a proprietary, internal system to aggregate quotes from its liquidity providers by asset, side, price and size, which Bakkt Crypto uses to determine what quotes to provide, as principal, to its clients for display to customers.</w:t>
      </w:r>
    </w:p>
    <w:p>
      <w:pPr>
        <w:spacing w:after="0" w:line="176"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To fill customer orders as riskless principal, the Bakkt Crypto platform compares customer orders to the aggregated best bid or offer prices quoted by Bakkt Crypto’s liquidity providers. If a customer order is marketable, Bakkt Crypto routes an offsetting order for its own account, on a one-to-one basis, to the liquidity provider quoting the best price. Customers may place market orders or limit orders on the Bakkt Crypto platform. Market orders are, by definition, marketable when they are placed. As such, when a customer market order is received, Bakkt Crypto will offset that order by routing an order for its own account to the relevant liquidity provider on an “immediate or cancel” basis. Limit orders may be marketable when they are placed or may become marketable when the aggregated market price, as determined by Bakkt Crypto’s proprietary internal system, aligns with the limit price selected by the customer. The Bakkt Crypto platform holds customer market orders that are not marketable at the time they are placed on Bakkt Crypto’s internal order book and evaluates such orders for marketability on an ongoing basis as liquidity providers change their best bid or offer prices. Should a customer limit order become marketable as the aggregated best price changes, the Bakkt Crypto platform would, at that point, place an offsetting order for its own account with a liquidity provider.</w:t>
      </w:r>
    </w:p>
    <w:p>
      <w:pPr>
        <w:spacing w:after="0" w:line="194" w:lineRule="exact"/>
        <w:rPr>
          <w:sz w:val="20"/>
          <w:szCs w:val="20"/>
          <w:color w:val="auto"/>
        </w:rPr>
      </w:pPr>
    </w:p>
    <w:p>
      <w:pPr>
        <w:jc w:val="both"/>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Upon receipt of a fill confirmation from the liquidity provider servicing one of Bakkt Crypto’s offsetting orders, Bakkt Crypto will fill the corresponding customer transaction out of its own account, as riskless principal. In other words, the Bakkt Crypto platform is structured to execute the offsetting order for Bakkt Crypto’s own account prior to executing the corresponding customer order.</w:t>
      </w:r>
    </w:p>
    <w:p>
      <w:pPr>
        <w:spacing w:after="0" w:line="176"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Bakkt Crypto has written agreements with all of its liquidity providers. Under these agreements, Bakkt Crypto is granted access to proprietary trading platforms of the liquidity providers for the purpose of placing orders for purchase or sale of crypto assets. Bakkt Crypto acts as principal in such transactions with liquidity providers. Orders cannot be withdrawn, cancelled or amended. After the liquidity provider accepts the order, it issues a transaction confirmation. The parties then are obligated to deliver fiat currency and crypto assets according to the terms of the transaction. The agreements contain customary representations and warranties and confidentiality, limitation of liability and indemnification provisions. The agreements do not have a set term and generally may be cancelled by either party for convenience on prior written notice of 30 to 60 days, with some agreements providing for no such notice obligations or a notice obligation of seven days.</w:t>
      </w:r>
    </w:p>
    <w:p>
      <w:pPr>
        <w:spacing w:after="0" w:line="189" w:lineRule="exact"/>
        <w:rPr>
          <w:sz w:val="20"/>
          <w:szCs w:val="20"/>
          <w:color w:val="auto"/>
        </w:rPr>
      </w:pPr>
    </w:p>
    <w:p>
      <w:pPr>
        <w:ind w:left="120" w:right="260" w:firstLine="991"/>
        <w:spacing w:after="0" w:line="281" w:lineRule="auto"/>
        <w:rPr>
          <w:sz w:val="20"/>
          <w:szCs w:val="20"/>
          <w:color w:val="auto"/>
        </w:rPr>
      </w:pPr>
      <w:r>
        <w:rPr>
          <w:rFonts w:ascii="Times New Roman" w:cs="Times New Roman" w:eastAsia="Times New Roman" w:hAnsi="Times New Roman"/>
          <w:sz w:val="17"/>
          <w:szCs w:val="17"/>
          <w:color w:val="auto"/>
        </w:rPr>
        <w:t>Settlement is conducted on a net basis on the blockchain supporting the crypto asset. Bakkt Crypto is not required to pre-fund any transactions with liquidity providers. Instead, Bakkt Crypto settles with its liquidity providers on a daily or other post-trade, non-real-time basis, at which time, fiat currency and crypto assets are exchanged to settle trading obligations from the previous period. In periods of heavy trading volumes, Bakkt Crypto and the liquidity providers may agree to perform more frequent settlements in order to decrease the exposure of unsettled transactions.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Custody Services for the Crypto Assets Supported for Trading</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Prior to the acquisition of Bakkt Crypto, we did not use third party custodians, other than minimal amounts at liquidity providers that also provide custody for the purpose of facilitating trading and settlement. In connection with our acquisition of Bakkt Crypto, we acquired third-party custodial relationships with Coinbase Custody Trust Company (“Coinbase Custody”) and BitGo Trust Company (“BitGo”), which are currently used by Bakkt Crypto for custody and crypto asset transfers, where applicable. In addition, Bakkt Crypto also self-custodies select crypto assets (less than 7.6% of total customer crypto assets were self-custodied as of December 31, 2023) to facilitate customer withdrawals utilizing the Fireblocks Vault service. Self-custodying customer crypto assets through the use of Fireblocks third-party custody software involves risks related to our reliance on the third party for the certain services. These include the implementation of Secure Multi-Party Computation (MPC) key creation software, the provision of software that facilitates a Secure Transfer Environment for the transfer of crypto assets, and workflow authorization functionality ensuring that only Bakkt Crypto specified authorized persons are able to access the wallets for authorized purposes.</w:t>
      </w:r>
    </w:p>
    <w:p>
      <w:pPr>
        <w:spacing w:after="0" w:line="188" w:lineRule="exact"/>
        <w:rPr>
          <w:sz w:val="20"/>
          <w:szCs w:val="20"/>
          <w:color w:val="auto"/>
        </w:rPr>
      </w:pPr>
    </w:p>
    <w:p>
      <w:pPr>
        <w:ind w:left="120" w:right="120" w:firstLine="991"/>
        <w:spacing w:after="0" w:line="254" w:lineRule="auto"/>
        <w:rPr>
          <w:sz w:val="20"/>
          <w:szCs w:val="20"/>
          <w:color w:val="auto"/>
        </w:rPr>
      </w:pPr>
      <w:r>
        <w:rPr>
          <w:rFonts w:ascii="Times New Roman" w:cs="Times New Roman" w:eastAsia="Times New Roman" w:hAnsi="Times New Roman"/>
          <w:sz w:val="18"/>
          <w:szCs w:val="18"/>
          <w:color w:val="auto"/>
        </w:rPr>
        <w:t>Under the BitGo Custody Agreement, BitGo, at Bakkt Crypto’s direction, establishes and maintains wallets for the storage of crypto assets, including cold wallets where BitGo holds a majority of the keys and a majority of those keys are stored offline (“Vault”). BitGo serves as custodian of crypto assets stored in these wallets. BitGo is required to use reasonable best efforts to keep all custodial coins received by BitGo in safe custody on behalf of Bakkt Crypto and to keep all keys to the custodial wallet held by BitGo secure and to maintain at least one backup key. BitGo is also required to exercise all reasonable best efforts to prevent unauthorized access to or use of the keys held by BitGo to the custodial wallet. Bakkt Crypto does not have inspection rights under the BitGo Custody Agreement. The BitGo Custody Agreement has an initial one year term and renews automatically for successive one-year periods unless either party provides notice to the other party of its intent not to renew at least 60 days prior to the expiration of the then-current term.</w:t>
      </w:r>
    </w:p>
    <w:p>
      <w:pPr>
        <w:spacing w:after="0" w:line="192" w:lineRule="exact"/>
        <w:rPr>
          <w:sz w:val="20"/>
          <w:szCs w:val="20"/>
          <w:color w:val="auto"/>
        </w:rPr>
      </w:pPr>
    </w:p>
    <w:p>
      <w:pPr>
        <w:ind w:left="120" w:right="20" w:firstLine="991"/>
        <w:spacing w:after="0" w:line="271" w:lineRule="auto"/>
        <w:rPr>
          <w:sz w:val="20"/>
          <w:szCs w:val="20"/>
          <w:color w:val="auto"/>
        </w:rPr>
      </w:pPr>
      <w:r>
        <w:rPr>
          <w:rFonts w:ascii="Times New Roman" w:cs="Times New Roman" w:eastAsia="Times New Roman" w:hAnsi="Times New Roman"/>
          <w:sz w:val="17"/>
          <w:szCs w:val="17"/>
          <w:color w:val="auto"/>
        </w:rPr>
        <w:t>Under the Coinbase Custody Agreement, Coinbase Custody provides Bakkt with a segregated custody account controlled and secured by Coinbase Custody to store certain crypto assets supported by Coinbase Custody on Bakkt Crypto’s behalf. Crypto assets in the custodial account are not treated as general assets of Coinbase Custody, and Coinbase Custody is a fiduciary and custodian on Bakkt Crypto’s behalf. Under the Coinbase Custody Agreement, Coinbase Custody securely stores crypto asset private keys in offline storage. Under the Coinbase Custody Agreement, Coinbase Custody has implemented and agrees to maintain a reasonable information security program with policies and procedures reasonably designed to safeguard its electronic systems and Bakkt Crypto’s confidential information. Coinbase Custody is required to keep timely and accurate records as to the deposit, disbursement, investment and reinvestment of crypto assets and maintain accurate books and records of the custody services in accordance with applicable law and its own internal document retention policies. Bakkt Crypto does not have inspection rights under the Coinbase Custody Agreement. The Coinbase Custody Agreement remains effective until terminated by either party by providing at least 30 days’ prior written notice to the other party.</w:t>
      </w:r>
    </w:p>
    <w:p>
      <w:pPr>
        <w:spacing w:after="0" w:line="173"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Under the Fireblocks License Agreement, Fireblocks has granted Bakkt Crypto a non-exclusive, non-sublicensable, non-transferable license to generate wallets through the Fireblocks Vault service. The service allows Bakkt Crypto to access and use crypto asset wallets that store private and public keys, interact with various blockchains and monitor its balances of crypto assets.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intention is to consolidate our self-custodial services while still offering diversification across custodians for clients that request it.</w:t>
      </w:r>
    </w:p>
    <w:p>
      <w:pPr>
        <w:spacing w:after="0" w:line="225" w:lineRule="exact"/>
        <w:rPr>
          <w:sz w:val="20"/>
          <w:szCs w:val="20"/>
          <w:color w:val="auto"/>
        </w:rPr>
      </w:pPr>
    </w:p>
    <w:p>
      <w:pPr>
        <w:ind w:left="120" w:right="800" w:firstLine="991"/>
        <w:spacing w:after="0" w:line="282" w:lineRule="auto"/>
        <w:rPr>
          <w:sz w:val="20"/>
          <w:szCs w:val="20"/>
          <w:color w:val="auto"/>
        </w:rPr>
      </w:pPr>
      <w:r>
        <w:rPr>
          <w:rFonts w:ascii="Times New Roman" w:cs="Times New Roman" w:eastAsia="Times New Roman" w:hAnsi="Times New Roman"/>
          <w:sz w:val="18"/>
          <w:szCs w:val="18"/>
          <w:color w:val="auto"/>
        </w:rPr>
        <w:t>Bakkt Trust holds at least 90% of the crypto assets held in custody in cold storage and up to 10% of crypto assets (not to exceed $25.0 million in notional value at any one time) in warm or hot wallets.</w:t>
      </w:r>
    </w:p>
    <w:p>
      <w:pPr>
        <w:spacing w:after="0" w:line="162"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Bakkt Crypto holds all crypto assets, including customer crypto assets and the immaterial inventory of crypto assets that Bakkt Crypto maintains for purposes such as facilitating blockchain fee payments and accommodating the impacts of rounding, in omnibus wallets. With respect to mode of storage, a small percentage of all crypto assets (generally not more than 2%) are held in warm or hot storage in order to facilitate daily settlement and customer withdrawals, while the vast majority of crypto assets are held in cold storage and accessed, as needed, to replenish the warm or hot wallets. The amounts of crypto assets held in warm/hot storage and cold storage are monitored daily by our custody operations team and reviewed by management on a monthly basis.</w:t>
      </w:r>
    </w:p>
    <w:p>
      <w:pPr>
        <w:spacing w:after="0" w:line="187"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Assets stored by Coinbase Custody and BitGo are held 100% in segregated cold storage. “Segregated” means that Bakkt Crypto customer assets are held in unique addresses on the respective blockchains and do not include assets of other BitGo or Coinbase clients, or of BitGo or Coinbase themselves. Both entities are SOC 1 certified. At this time, Bakkt Crypto does not utilize third parties other than Coinbase Custody and BitGo to hold customer crypto assets as custodian.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To ensure the security of crypto assets, we do not disclose the geographic location where such assets are held or the identity of the persons who have access to them or the authority to release those assets from wallets. Private keys are held in controlled locations dispersed through the United States according to SOC 1 audit procedures to ensure appropriate security. There are dedicated team members responsible for daily reconciliation of wallet holdings. New members of our custody operations team are required to complete trainings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and provided to external auditors at least annually, or as otherwise requested.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 The existence, exclusive ownership and software functionality of private digital keys and other ownership records are subject to annual audits conducted by external auditors.</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 insurance provider has inspection rights in respect of the crypto assets held in storage.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External Transfers of Crypto Assets (through Bakkt Crypto)</w:t>
      </w:r>
    </w:p>
    <w:p>
      <w:pPr>
        <w:spacing w:after="0" w:line="121" w:lineRule="exact"/>
        <w:rPr>
          <w:sz w:val="20"/>
          <w:szCs w:val="20"/>
          <w:color w:val="auto"/>
        </w:rPr>
      </w:pPr>
    </w:p>
    <w:p>
      <w:pPr>
        <w:jc w:val="both"/>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Other than in the State of New York, we make available to customers the ability to transfer crypto assets to external wallets. Because we have structured our platforms to be client-configurable in several aspects, each client has the discretion to enable this transfer feature for its customers. Crypto assets made available to customers residing in the State of New York will not be transferable to external wallets until that capability is approved by NYDFS, which we plan to seek in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Institutional Client Business – Crypto Custody Services</w:t>
      </w:r>
    </w:p>
    <w:p>
      <w:pPr>
        <w:spacing w:after="0" w:line="121" w:lineRule="exact"/>
        <w:rPr>
          <w:sz w:val="20"/>
          <w:szCs w:val="20"/>
          <w:color w:val="auto"/>
        </w:rPr>
      </w:pPr>
    </w:p>
    <w:p>
      <w:pPr>
        <w:jc w:val="both"/>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Bakkt Trust currently provides custody services to customers of Bakkt Marketplace and to its own institutional customers with respect to all of the crypto assets which we support for trading. For a list of these crypto assets, see the table for Bakkt Trust under “</w:t>
      </w:r>
      <w:r>
        <w:rPr>
          <w:rFonts w:ascii="Times New Roman" w:cs="Times New Roman" w:eastAsia="Times New Roman" w:hAnsi="Times New Roman"/>
          <w:sz w:val="18"/>
          <w:szCs w:val="18"/>
          <w:i w:val="1"/>
          <w:iCs w:val="1"/>
          <w:color w:val="auto"/>
        </w:rPr>
        <w:t>—Crypto Assets and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Offered by Bakkt</w:t>
      </w:r>
      <w:r>
        <w:rPr>
          <w:rFonts w:ascii="Times New Roman" w:cs="Times New Roman" w:eastAsia="Times New Roman" w:hAnsi="Times New Roman"/>
          <w:sz w:val="18"/>
          <w:szCs w:val="18"/>
          <w:color w:val="auto"/>
        </w:rPr>
        <w:t>”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Bakkt Rewards</w:t>
      </w:r>
    </w:p>
    <w:p>
      <w:pPr>
        <w:spacing w:after="0" w:line="121"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We are in the process of enabling clients to offer their customers the ability to convert loyalty points earned through participation in the client’s loyalty program into bitcoin (and, in the future, to other crypto assets depending on demand). We initially expect to offer this service in the first quarter of 2024.</w:t>
      </w:r>
    </w:p>
    <w:p>
      <w:pPr>
        <w:spacing w:after="0" w:line="176" w:lineRule="exact"/>
        <w:rPr>
          <w:sz w:val="20"/>
          <w:szCs w:val="20"/>
          <w:color w:val="auto"/>
        </w:rPr>
      </w:pPr>
    </w:p>
    <w:p>
      <w:pPr>
        <w:ind w:left="120" w:right="80" w:firstLine="991"/>
        <w:spacing w:after="0" w:line="255" w:lineRule="auto"/>
        <w:rPr>
          <w:sz w:val="20"/>
          <w:szCs w:val="20"/>
          <w:color w:val="auto"/>
        </w:rPr>
      </w:pPr>
      <w:r>
        <w:rPr>
          <w:rFonts w:ascii="Times New Roman" w:cs="Times New Roman" w:eastAsia="Times New Roman" w:hAnsi="Times New Roman"/>
          <w:sz w:val="18"/>
          <w:szCs w:val="18"/>
          <w:color w:val="auto"/>
        </w:rPr>
        <w:t>Customers that elect this service will opt into the program through the client’s loyalty program user interface and then be referred to a Bakkt-managed front end to authorize account creation and conversion of certain client loyalty points into bitcoin. The exchange rate governing the conversion will be determined by (i) the redemption rate of client loyalty points to USD (which is set by the client), and (ii) the prevailing market price for bitcoin, which includes a markup agreed upon between the client and Bakkt. The bitcoin will then be accessible to the customer via a Bakkt-managed interface, which will allow customers to sell bitcoin for USD, link their account at the client with their bank account, deposit or withdraw fiat currency, and buy, sell and hold other approved crypto assets. The Bakkt-managed interface will not allow customers to open an account directly unless they are referred via a supported client.</w:t>
      </w:r>
    </w:p>
    <w:p>
      <w:pPr>
        <w:spacing w:after="0" w:line="189"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Bakkt Rewards will initially be supported by the Bakkt Marketplace platform and, once it combines with Bakkt Crypto, by the platform of the combined entity.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Services</w:t>
      </w:r>
    </w:p>
    <w:p>
      <w:pPr>
        <w:spacing w:after="0" w:line="121" w:lineRule="exact"/>
        <w:rPr>
          <w:sz w:val="20"/>
          <w:szCs w:val="20"/>
          <w:color w:val="auto"/>
        </w:rPr>
      </w:pPr>
    </w:p>
    <w:p>
      <w:pPr>
        <w:ind w:left="120" w:right="180" w:firstLine="991"/>
        <w:spacing w:after="0" w:line="254" w:lineRule="auto"/>
        <w:rPr>
          <w:sz w:val="20"/>
          <w:szCs w:val="20"/>
          <w:color w:val="auto"/>
        </w:rPr>
      </w:pPr>
      <w:r>
        <w:rPr>
          <w:rFonts w:ascii="Times New Roman" w:cs="Times New Roman" w:eastAsia="Times New Roman" w:hAnsi="Times New Roman"/>
          <w:sz w:val="18"/>
          <w:szCs w:val="18"/>
          <w:color w:val="auto"/>
        </w:rPr>
        <w:t>As part of our ongoing review of potential services, we continually evaluate how we can most effectively improve our platform and service offerings in a manner that is compliance with applicable governance and regulatory considerations. In such review, we may determine to stop pursuing a potential service offering in light of, among other things, revenue expectations and compliance with applicable laws. For example, we have de-prioritized investment in Bakkt Payouts as a service offering as we work with our clients to understand the desired feature set and their timelines to implementation. As such, we have elected to suspend the development of the Bakkt Payouts product indefinitely. Furthermore, we considered developing the capability for registered customers to transfer crypto assets to and from other registered customers within our platform but have indefinitely postponed further development and rollout of such functionality. In addition, we evaluated opportunities to offer staking, as well as opportunities to offer non-fungible tokens, and have postponed further development and rollout for both such functionalities indefinitely.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and our subsidiaries have a comprehensive set of policies and procedures relating to crypto assets and crypto asset-related services.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Self-dealing and other potential conflicts of interest are addressed by our Insider Trading Policy, Code of Business Conduct and Ethics, Related Person Transactions Policy and Cryptocurrency Listing Policy. Employees are trained in these areas and attest to review these documents and policies upon hire and annually. Operationally, there are segregations of duties and information tied to trading, listing and money movements, including protections for whistleblowers, compliance reviews, and blackout periods. Orders are entered into our systems where transactions are executed at best available prices with market makers and liquidity sources, designed to further insulate customer activities and prevent front-running and other illegal activities.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Custody-Related Policies</w:t>
      </w:r>
    </w:p>
    <w:p>
      <w:pPr>
        <w:spacing w:after="0" w:line="119"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Bakkt Trust stores client and internal assets on an omnibus basis in a combination of warm and cold wallets. Bakkt Trust uses an internal ledger to delineate client and internal assets. Bakkt Trust completes hourly automated reconciliations to confirm balances across the internal ledger, internal node, and external node match. Every deposit into Bakkt Trust is checked using industry-leading “know-your-customer” (“KYC”) providers to check the provenance of the assets deposited before moving the funds out of the deposit wallet. Deposited funds may be moved into a segregated quarantine wallet if they do not pass the KYC screening and require further investigation.</w:t>
      </w:r>
    </w:p>
    <w:p>
      <w:pPr>
        <w:spacing w:after="0" w:line="183"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Bakkt Crypto makes use of third-party providers of custodial services, including Coinbase Custody Trust Company, LLC and BitGo Trust Company, to hold customer crypto assets as custodian in cold storage as well as in hot or warm wallets as necessary. Bakkt Crypto also self-custodies customer crypto assets using the Fireblocks Vault service. All wallets hosted by Bakkt Crypto are omnibus wallets, which may contain both crypto assets held for the benefit of customers and the limited quantity of crypto assets held by Bakkt Crypto in its own account as inventory. Bakkt Crypto does not, and historically did not, operate a proprietary trading business.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Listing-Related Policies</w:t>
      </w:r>
    </w:p>
    <w:p>
      <w:pPr>
        <w:spacing w:after="0" w:line="119"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We maintain crypto asset listing policies for each of Bakkt Marketplace (which policy also covers Bakkt Crypto, as its wholly owned subsidiary) and Bakkt Trust (the “Listing Policies”), the purpose of which is to provide a framework for the review and approval of new crypto assets for customer transactions and custody services, respectively. The Listing Policies are based on guidance from NYDFS and were approved by the NYDFS. Material revisions to the Listing Policies require prior written approval from the NYDFS.</w:t>
      </w:r>
    </w:p>
    <w:p>
      <w:pPr>
        <w:spacing w:after="0" w:line="180"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The Listing Policies require the covered entity to undertake and document a risk assessment for each new crypto asset, which considers a number of risks, including legal and regulatory risk, and entails a review of the regulatory status of the crypto asset. Other risks covered by the risk assessment include integrity and legitimacy risk (i.e., risks associated with the creation, governance, issuance, and design of the crypto asset); reputational risk; liquidity, pricing, and manipulation risk; operational risk; and cyber security risk. The Listing Policies also provide for an evaluation of actual or potential conflicts of interest with respect to the potential listing of a crypto asset, and updates to policies and procedures to ensure that monitoring and control measures are in place to manage money laundering and financial crime risk associated with the crypto asset.</w:t>
      </w:r>
    </w:p>
    <w:p>
      <w:pPr>
        <w:spacing w:after="0" w:line="187"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Under the Listing Policies, we utilize the risk assessment to consider various factors when making a decision to approve a new crypto asset for listing, including, among others, the appropriateness of the crypto asset to our business model and client base and whether the crypto asset is supported by other reputable markets or trading venues. In order to assess the regulatory status of a crypto asset, we consider the applicable laws, rules and case law, and other factors relevant to the determination of the security status of a crypto asset, and the positions of the SEC as expressed in various crypto-related enforcement actions and lawsuits. We may also solicit the opinion of outside counsel.</w:t>
      </w:r>
    </w:p>
    <w:p>
      <w:pPr>
        <w:spacing w:after="0" w:line="183" w:lineRule="exact"/>
        <w:rPr>
          <w:sz w:val="20"/>
          <w:szCs w:val="20"/>
          <w:color w:val="auto"/>
        </w:rPr>
      </w:pPr>
    </w:p>
    <w:p>
      <w:pPr>
        <w:ind w:left="120" w:right="480" w:firstLine="991"/>
        <w:spacing w:after="0" w:line="282" w:lineRule="auto"/>
        <w:rPr>
          <w:sz w:val="20"/>
          <w:szCs w:val="20"/>
          <w:color w:val="auto"/>
        </w:rPr>
      </w:pPr>
      <w:r>
        <w:rPr>
          <w:rFonts w:ascii="Times New Roman" w:cs="Times New Roman" w:eastAsia="Times New Roman" w:hAnsi="Times New Roman"/>
          <w:sz w:val="18"/>
          <w:szCs w:val="18"/>
          <w:color w:val="auto"/>
        </w:rPr>
        <w:t>The Listing Policies do not ascribe specific weighting to particular factors or inputs to be considered in connection with the potential listing or delisting of crypto assets.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We market our platform to our clients. We do not engage in any direct-to-consumer marketing for the acquisition or engagement of end consumers, or customers. As part of client engagement, we may assist them in developing their crypto assets marketing strategy but any such strategy is ultimately executed by clients at their discretion. We also have a sponsorship agreement with Caesars Entertainment pursuant to which the theater at Planet Hollywood Resort &amp; Casino in Las Vegas is branded as the “Bakkt Theater.” However, potential customers are not able to sign up directly with us and need to access our platform through a client environment.</w:t>
      </w:r>
    </w:p>
    <w:p>
      <w:pPr>
        <w:spacing w:after="0" w:line="183"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Clients may choose to market our crypto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w:t>
      </w:r>
    </w:p>
    <w:p>
      <w:pPr>
        <w:spacing w:after="0" w:line="176"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We market our products and services to potential clients using multiple business-to-business channels, such as (i) Company-owned domains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w:t>
      </w:r>
    </w:p>
    <w:p>
      <w:pPr>
        <w:spacing w:after="0" w:line="180"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Customer Identification Program and KYC verification) and to service customers.</w:t>
      </w:r>
    </w:p>
    <w:p>
      <w:pPr>
        <w:spacing w:after="0" w:line="176"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We have built an extensive vendor network across various industries including financial services, travel and entertainment, retail and platform companies. While we have made significant headway building partnerships in these industries, there remain significant untapped growth opportunities in each area. For example, traditional financial institutions are facing increased competition from a broader group of fintech entrants. We expect that the pressure on them to provide innovative products and increased competition will continue to grow. Our ability to stand up capabilities within client ecosystems makes our platform an attractive solution for such financial institutions seeking an intuitive, tightly integrated, low risk solution to offer crypto and loyalty services.</w:t>
      </w:r>
    </w:p>
    <w:p>
      <w:pPr>
        <w:spacing w:after="0" w:line="187"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We believe our growing network of clients provides potential for increased scale and substantiates the viability of our business plan. As our partnerships go live, we will deploy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clients, vendors, customers and crypto to our platform.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Insurance Matters</w:t>
      </w:r>
    </w:p>
    <w:p>
      <w:pPr>
        <w:spacing w:after="0" w:line="121"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directors’, employee and fiduciary liability and officers’ liability.</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may also be covered for certain liabilities by insurance policies issued to third parties, including, but not limited to, our dealers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vendors.</w:t>
      </w:r>
    </w:p>
    <w:p>
      <w:pPr>
        <w:spacing w:after="0" w:line="207"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We maintain $230 million of insurance coverage, which includes $200 million of cold storage coverage and $30 million of hot storage coverage. The $30 million of hot storage coverage is in excess of a $10 million loss retention. There is no retention applicable to the $200 million of cold storage coverage. All supporting insurers maintain a minimum A.M. Best rating of “A”. The $30 million of hot storage coverage has a three-year term, expiring October 2024. The $200 million of cold storage coverage has a one-year term, expiring November 2024.</w:t>
      </w:r>
    </w:p>
    <w:p>
      <w:pPr>
        <w:spacing w:after="0" w:line="180" w:lineRule="exact"/>
        <w:rPr>
          <w:sz w:val="20"/>
          <w:szCs w:val="20"/>
          <w:color w:val="auto"/>
        </w:rPr>
      </w:pPr>
    </w:p>
    <w:p>
      <w:pPr>
        <w:ind w:left="120" w:right="100" w:firstLine="991"/>
        <w:spacing w:after="0" w:line="255" w:lineRule="auto"/>
        <w:rPr>
          <w:sz w:val="20"/>
          <w:szCs w:val="20"/>
          <w:color w:val="auto"/>
        </w:rPr>
      </w:pPr>
      <w:r>
        <w:rPr>
          <w:rFonts w:ascii="Times New Roman" w:cs="Times New Roman" w:eastAsia="Times New Roman" w:hAnsi="Times New Roman"/>
          <w:sz w:val="18"/>
          <w:szCs w:val="18"/>
          <w:color w:val="auto"/>
        </w:rPr>
        <w:t>The AXA XL-led $30 million of hot storage coverage policy is non-cancellable, other than due to non-payment of premium. The Lloyds-led $200 million of cold storage coverage policy may only be cancelled upon: 1) the Company’s election to cancel, 2) the insurer’s election to cancel, on 90 days’ notice to the Company, 3) the Company’s change in ownership or control or seizure by a receiver, trustee, or government entity, 4) voluntary liquidation of the Company, 5) exhaustion of the coverage limit, or 6) non-payment of premium. The AXA XL-led $30 million of hot storage coverage policy has no automatic or guaranteed renewal provisions, although we expect to renew such coverage prior to its expiration. The Lloyds-led $200 million of cold storage policy has a one-year guaranteed renewal provision. There are no carrier inspection rights, but an affirmative proof of loss statement would need to be completed in the event of a loss.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like money laundering, are expressly excluded.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04"/>
        </w:trPr>
        <w:tc>
          <w:tcPr>
            <w:tcW w:w="96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23"/>
                <w:szCs w:val="23"/>
                <w:color w:val="auto"/>
              </w:rPr>
            </w:pPr>
          </w:p>
        </w:tc>
        <w:tc>
          <w:tcPr>
            <w:tcW w:w="6360" w:type="dxa"/>
            <w:vAlign w:val="bottom"/>
            <w:tcBorders>
              <w:top w:val="single" w:sz="8" w:color="auto"/>
              <w:bottom w:val="single" w:sz="8" w:color="0000EE"/>
            </w:tcBorders>
            <w:gridSpan w:val="6"/>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Amendment No. 1 To Membership Interest Purchase Agreement, dated as of March 30,</w:t>
              </w:r>
            </w:hyperlink>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23"/>
                <w:szCs w:val="2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001-39544</w:t>
            </w:r>
          </w:p>
        </w:tc>
        <w:tc>
          <w:tcPr>
            <w:tcW w:w="160" w:type="dxa"/>
            <w:vAlign w:val="bottom"/>
          </w:tcPr>
          <w:p>
            <w:pPr>
              <w:spacing w:after="0"/>
              <w:rPr>
                <w:sz w:val="23"/>
                <w:szCs w:val="2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3"/>
                <w:szCs w:val="23"/>
                <w:color w:val="auto"/>
              </w:rPr>
            </w:pPr>
          </w:p>
        </w:tc>
        <w:tc>
          <w:tcPr>
            <w:tcW w:w="1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April 3, 2023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3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2023, by and among the Company, Bakkt Marketplace, Apex Fintech Solutions Inc. and</w:t>
              </w:r>
            </w:hyperlink>
          </w:p>
        </w:tc>
        <w:tc>
          <w:tcPr>
            <w:tcW w:w="1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Apex Crypto, LLC.</w:t>
              </w:r>
            </w:hyperlink>
          </w:p>
        </w:tc>
        <w:tc>
          <w:tcPr>
            <w:tcW w:w="506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24"/>
                <w:szCs w:val="24"/>
                <w:color w:val="auto"/>
              </w:rPr>
            </w:pPr>
          </w:p>
        </w:tc>
        <w:tc>
          <w:tcPr>
            <w:tcW w:w="6480" w:type="dxa"/>
            <w:vAlign w:val="bottom"/>
            <w:gridSpan w:val="8"/>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Incorporation of the Company, as currently in effect</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001-39544</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October 21, 2021</w:t>
            </w:r>
          </w:p>
        </w:tc>
        <w:tc>
          <w:tcPr>
            <w:tcW w:w="0" w:type="dxa"/>
            <w:vAlign w:val="bottom"/>
          </w:tcPr>
          <w:p>
            <w:pPr>
              <w:spacing w:after="0"/>
              <w:rPr>
                <w:sz w:val="1"/>
                <w:szCs w:val="1"/>
                <w:color w:val="auto"/>
              </w:rPr>
            </w:pPr>
          </w:p>
        </w:tc>
      </w:tr>
      <w:tr>
        <w:trPr>
          <w:trHeight w:val="304"/>
        </w:trPr>
        <w:tc>
          <w:tcPr>
            <w:tcW w:w="5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Pr>
          <w:p>
            <w:pPr>
              <w:spacing w:after="0"/>
              <w:rPr>
                <w:sz w:val="24"/>
                <w:szCs w:val="24"/>
                <w:color w:val="auto"/>
              </w:rPr>
            </w:pPr>
          </w:p>
        </w:tc>
        <w:tc>
          <w:tcPr>
            <w:tcW w:w="33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By-laws of the Company, as currently in effect</w:t>
              </w:r>
            </w:hyperlink>
          </w:p>
        </w:tc>
        <w:tc>
          <w:tcPr>
            <w:tcW w:w="1360" w:type="dxa"/>
            <w:vAlign w:val="bottom"/>
            <w:tcBorders>
              <w:top w:val="single" w:sz="8" w:color="0000EE"/>
            </w:tcBorders>
          </w:tcPr>
          <w:p>
            <w:pPr>
              <w:spacing w:after="0"/>
              <w:rPr>
                <w:sz w:val="24"/>
                <w:szCs w:val="24"/>
                <w:color w:val="auto"/>
              </w:rPr>
            </w:pPr>
          </w:p>
        </w:tc>
        <w:tc>
          <w:tcPr>
            <w:tcW w:w="1740" w:type="dxa"/>
            <w:vAlign w:val="bottom"/>
            <w:gridSpan w:val="4"/>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001-39544</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October 21, 2021</w:t>
            </w:r>
          </w:p>
        </w:tc>
        <w:tc>
          <w:tcPr>
            <w:tcW w:w="0" w:type="dxa"/>
            <w:vAlign w:val="bottom"/>
          </w:tcPr>
          <w:p>
            <w:pPr>
              <w:spacing w:after="0"/>
              <w:rPr>
                <w:sz w:val="1"/>
                <w:szCs w:val="1"/>
                <w:color w:val="auto"/>
              </w:rPr>
            </w:pPr>
          </w:p>
        </w:tc>
      </w:tr>
      <w:tr>
        <w:trPr>
          <w:trHeight w:val="304"/>
        </w:trPr>
        <w:tc>
          <w:tcPr>
            <w:tcW w:w="5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24"/>
                <w:szCs w:val="24"/>
                <w:color w:val="auto"/>
              </w:rPr>
            </w:pPr>
          </w:p>
        </w:tc>
        <w:tc>
          <w:tcPr>
            <w:tcW w:w="6480" w:type="dxa"/>
            <w:vAlign w:val="bottom"/>
            <w:gridSpan w:val="8"/>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Amendment Agreement by and between Bakkt Holdings, Inc., Apex Fintech Solutions</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10-Q</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001-39544</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10, 2023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Inc. and PEAK6 Investments LLC</w:t>
              </w:r>
            </w:hyperlink>
          </w:p>
        </w:tc>
        <w:tc>
          <w:tcPr>
            <w:tcW w:w="3740" w:type="dxa"/>
            <w:vAlign w:val="bottom"/>
            <w:tcBorders>
              <w:top w:val="single" w:sz="8" w:color="0000EE"/>
            </w:tcBorders>
            <w:gridSpan w:val="3"/>
          </w:tcPr>
          <w:p>
            <w:pPr>
              <w:spacing w:after="0"/>
              <w:rPr>
                <w:sz w:val="17"/>
                <w:szCs w:val="17"/>
                <w:color w:val="auto"/>
              </w:rPr>
            </w:pPr>
          </w:p>
        </w:tc>
        <w:tc>
          <w:tcPr>
            <w:tcW w:w="24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5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31.1*</w:t>
            </w:r>
          </w:p>
        </w:tc>
        <w:tc>
          <w:tcPr>
            <w:tcW w:w="460" w:type="dxa"/>
            <w:vAlign w:val="bottom"/>
          </w:tcPr>
          <w:p>
            <w:pPr>
              <w:spacing w:after="0"/>
              <w:rPr>
                <w:sz w:val="24"/>
                <w:szCs w:val="24"/>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under the Securities Exchange Act of 1934, as Adopted Pursuant to Section 302 of the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31.2*</w:t>
            </w:r>
          </w:p>
        </w:tc>
        <w:tc>
          <w:tcPr>
            <w:tcW w:w="460" w:type="dxa"/>
            <w:vAlign w:val="bottom"/>
          </w:tcPr>
          <w:p>
            <w:pPr>
              <w:spacing w:after="0"/>
              <w:rPr>
                <w:sz w:val="24"/>
                <w:szCs w:val="24"/>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under the Securities Exchange Act of 1934, as Adopted Pursuant to Section 302 of the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32.1†</w:t>
            </w: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32.2†</w:t>
            </w: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line="253"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furnished with this Quarterly Report on Form 10-Q/A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5" w:lineRule="exact"/>
        <w:rPr>
          <w:sz w:val="20"/>
          <w:szCs w:val="20"/>
          <w:color w:val="auto"/>
        </w:rPr>
      </w:pPr>
    </w:p>
    <w:p>
      <w:pPr>
        <w:ind w:left="12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Gavin Michael</w:t>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left="12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Karen Alexander</w:t>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ind w:left="12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Chip Goodroe</w:t>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380"/>
          </w:cols>
          <w:pgMar w:left="320" w:top="455" w:right="11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21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i w:val="1"/>
          <w:iCs w:val="1"/>
          <w:color w:val="auto"/>
        </w:rPr>
        <w:t>(See Attached)</w:t>
      </w:r>
    </w:p>
    <w:p>
      <w:pPr>
        <w:sectPr>
          <w:pgSz w:w="11900" w:h="16838" w:orient="portrait"/>
          <w:cols w:equalWidth="0" w:num="1">
            <w:col w:w="10139"/>
          </w:cols>
          <w:pgMar w:left="320" w:top="45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8225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998970" cy="8225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7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spacing w:after="0" w:line="1" w:lineRule="exact"/>
        <w:rPr>
          <w:sz w:val="20"/>
          <w:szCs w:val="20"/>
          <w:color w:val="auto"/>
        </w:rPr>
      </w:pPr>
    </w:p>
    <w:p>
      <w:pPr>
        <w:ind w:left="300" w:right="140"/>
        <w:spacing w:after="0" w:line="253" w:lineRule="auto"/>
        <w:rPr>
          <w:sz w:val="20"/>
          <w:szCs w:val="20"/>
          <w:color w:val="auto"/>
        </w:rPr>
      </w:pPr>
      <w:r>
        <w:rPr>
          <w:rFonts w:ascii="Times New Roman" w:cs="Times New Roman" w:eastAsia="Times New Roman" w:hAnsi="Times New Roman"/>
          <w:sz w:val="18"/>
          <w:szCs w:val="18"/>
          <w:i w:val="1"/>
          <w:iCs w:val="1"/>
          <w:color w:val="auto"/>
        </w:rPr>
        <w:t>10-K and our Quarterly Reports on Form 10-Q filed subsequently to such Form 10-K. Unless the context indicates otherwise, references in this prospectus to “Bakkt Holdings, Inc.,” “Bakkt,” the “Company,” “we,” “our” and “us” refer (i) prior to the closing of our business combination with VPC Impact Acquisition Holdings (“VIH”) (the “Closing”), to Bakkt Opco Holdings, LLC (f/k/a Bakkt Holdings LLC, “Opco”) and its subsidiaries and (ii) after the Closing, to Bakkt Holdings, Inc. and its subsidiaries, including Opco.</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3" w:lineRule="exact"/>
        <w:rPr>
          <w:sz w:val="20"/>
          <w:szCs w:val="20"/>
          <w:color w:val="auto"/>
        </w:rPr>
      </w:pPr>
    </w:p>
    <w:p>
      <w:pPr>
        <w:ind w:left="1240" w:right="240" w:hanging="415"/>
        <w:spacing w:after="0" w:line="284" w:lineRule="auto"/>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w:t>
      </w:r>
      <w:r>
        <w:rPr>
          <w:rFonts w:ascii="Times New Roman" w:cs="Times New Roman" w:eastAsia="Times New Roman" w:hAnsi="Times New Roman"/>
          <w:sz w:val="18"/>
          <w:szCs w:val="18"/>
          <w:color w:val="auto"/>
        </w:rPr>
        <w:t>. Our institutional-grade qualified custody solution caters to more experienced market participants, offering a highly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compliance-focused infrastructure. It also supports our consumer crypto infrastructure,</w:t>
      </w:r>
    </w:p>
    <w:p>
      <w:pPr>
        <w:spacing w:after="0" w:line="63" w:lineRule="exact"/>
        <w:rPr>
          <w:rFonts w:ascii="Times New Roman" w:cs="Times New Roman" w:eastAsia="Times New Roman" w:hAnsi="Times New Roman"/>
          <w:sz w:val="18"/>
          <w:szCs w:val="18"/>
          <w:color w:val="auto"/>
        </w:rPr>
      </w:pPr>
    </w:p>
    <w:p>
      <w:pPr>
        <w:ind w:left="1240" w:right="20" w:hanging="415"/>
        <w:spacing w:after="0" w:line="284" w:lineRule="auto"/>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Trading</w:t>
      </w:r>
      <w:r>
        <w:rPr>
          <w:rFonts w:ascii="Times New Roman" w:cs="Times New Roman" w:eastAsia="Times New Roman" w:hAnsi="Times New Roman"/>
          <w:sz w:val="18"/>
          <w:szCs w:val="18"/>
          <w:color w:val="auto"/>
        </w:rPr>
        <w:t>. Our platform provides consumers, businesses and institutions with the ability to buy, sell and store crypto in a simple,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intuitive digital experience accessed via APIs or embedded web experience.</w:t>
      </w:r>
    </w:p>
    <w:p>
      <w:pPr>
        <w:spacing w:after="0" w:line="63" w:lineRule="exact"/>
        <w:rPr>
          <w:rFonts w:ascii="Times New Roman" w:cs="Times New Roman" w:eastAsia="Times New Roman" w:hAnsi="Times New Roman"/>
          <w:sz w:val="18"/>
          <w:szCs w:val="18"/>
          <w:color w:val="auto"/>
        </w:rPr>
      </w:pPr>
    </w:p>
    <w:p>
      <w:pPr>
        <w:ind w:left="1240" w:right="300" w:hanging="415"/>
        <w:spacing w:after="0" w:line="284" w:lineRule="auto"/>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Rewards</w:t>
      </w:r>
      <w:r>
        <w:rPr>
          <w:rFonts w:ascii="Times New Roman" w:cs="Times New Roman" w:eastAsia="Times New Roman" w:hAnsi="Times New Roman"/>
          <w:sz w:val="18"/>
          <w:szCs w:val="18"/>
          <w:color w:val="auto"/>
        </w:rPr>
        <w:t>. We are in the process of enabling clients of all sizes to offer loyalty and rewards to their customers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crypto – either by earning crypto rewards, or by redeeming existing reward currencies, such as points or miles, into crypto.</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60" w:hanging="415"/>
        <w:spacing w:after="0" w:line="266"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Bakkt Crypto</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 together with Apex Crypto, the “Seller Parties”), pursuant to the terms of a Membership Interest Purchase Agreement (as amended, the “Purchase Agreement”), dated as of November 2, 2022, by and among the Bakkt Parties and the Seller Parties. Additionally, effective as of April 1, 2023, the Company and the Seller entered into 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w:t>
      </w:r>
    </w:p>
    <w:p>
      <w:pPr>
        <w:spacing w:after="0" w:line="188"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ectPr>
          <w:pgSz w:w="11900" w:h="16838" w:orient="portrait"/>
          <w:cols w:equalWidth="0" w:num="1">
            <w:col w:w="10920"/>
          </w:cols>
          <w:pgMar w:left="320" w:top="455" w:right="659" w:bottom="1440" w:gutter="0" w:footer="0" w:header="0"/>
        </w:sectPr>
      </w:pP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20"/>
          </w:cols>
          <w:pgMar w:left="320" w:top="455" w:right="6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118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998970" cy="7118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please see our Amended Form 10-Q, filed on [_________], 2024, that amends and restates the disclosure in Part</w:t>
      </w:r>
    </w:p>
    <w:p>
      <w:pPr>
        <w:spacing w:after="0" w:line="27" w:lineRule="exact"/>
        <w:rPr>
          <w:sz w:val="20"/>
          <w:szCs w:val="20"/>
          <w:color w:val="auto"/>
        </w:rPr>
      </w:pPr>
    </w:p>
    <w:p>
      <w:pPr>
        <w:ind w:left="300" w:right="240"/>
        <w:spacing w:after="0" w:line="260" w:lineRule="auto"/>
        <w:rPr>
          <w:sz w:val="20"/>
          <w:szCs w:val="20"/>
          <w:color w:val="auto"/>
        </w:rPr>
      </w:pPr>
      <w:r>
        <w:rPr>
          <w:rFonts w:ascii="Times New Roman" w:cs="Times New Roman" w:eastAsia="Times New Roman" w:hAnsi="Times New Roman"/>
          <w:sz w:val="18"/>
          <w:szCs w:val="18"/>
          <w:color w:val="auto"/>
        </w:rPr>
        <w:t>II, Item 1A “Risk Factors” to add a description of certain risks resulting from changes to the Company’s business following the Acquisition, and (ii) amends and restates Part II, Item 5 to describe certain updates to the Company’s business activities following the Acquisition.</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still in the early stages of its release and is largely untested.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additional functionalities and crypto assets to our platform may adversely affect future growth.</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and third-party custodians, our business, financial condition, results of operations and future prospects would be materially and adversely affected.</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redemptions or withdrawals, or a suspension of redemptions or withdrawals, of crypto assets could adversely impact our business.</w:t>
      </w:r>
    </w:p>
    <w:p>
      <w:pPr>
        <w:spacing w:after="0" w:line="67" w:lineRule="exact"/>
        <w:rPr>
          <w:rFonts w:ascii="Times New Roman" w:cs="Times New Roman" w:eastAsia="Times New Roman" w:hAnsi="Times New Roman"/>
          <w:sz w:val="18"/>
          <w:szCs w:val="18"/>
          <w:color w:val="auto"/>
        </w:rPr>
      </w:pPr>
    </w:p>
    <w:p>
      <w:pPr>
        <w:jc w:val="both"/>
        <w:ind w:left="1240" w:right="260" w:hanging="415"/>
        <w:spacing w:after="0" w:line="266"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240" w:right="240" w:hanging="415"/>
        <w:spacing w:after="0" w:line="261"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5" w:lineRule="exact"/>
        <w:rPr>
          <w:rFonts w:ascii="Times New Roman" w:cs="Times New Roman" w:eastAsia="Times New Roman" w:hAnsi="Times New Roman"/>
          <w:sz w:val="18"/>
          <w:szCs w:val="18"/>
          <w:color w:val="auto"/>
        </w:rPr>
      </w:pPr>
    </w:p>
    <w:p>
      <w:pPr>
        <w:ind w:left="1240" w:right="620" w:hanging="415"/>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acquisitions—including our acquisition of Bakkt Crypto—and integration of these acquisitions may disrupt our business and management.</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Crypto</w:t>
      </w:r>
    </w:p>
    <w:p>
      <w:pPr>
        <w:spacing w:after="0" w:line="133" w:lineRule="exact"/>
        <w:rPr>
          <w:sz w:val="20"/>
          <w:szCs w:val="20"/>
          <w:color w:val="auto"/>
        </w:rPr>
      </w:pPr>
    </w:p>
    <w:p>
      <w:pPr>
        <w:ind w:left="1240" w:hanging="415"/>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general perception among regulators and others that crypto is used to facilitate illegal activity such as fraud, money laundering, tax evasion and ransomware scams.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8002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998970" cy="8002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415"/>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crypto custodial solutions and related technology, which may experience theft, employee or vendor sabotage, security and cybersecurity risks, system failures and other operational issues which could damage our reputation and brand.</w:t>
      </w:r>
    </w:p>
    <w:p>
      <w:pPr>
        <w:spacing w:after="0" w:line="67"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240" w:right="400" w:hanging="415"/>
        <w:spacing w:after="0" w:line="282"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240" w:right="540" w:hanging="415"/>
        <w:spacing w:after="0" w:line="312"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45" w:lineRule="exact"/>
        <w:rPr>
          <w:rFonts w:ascii="Times New Roman" w:cs="Times New Roman" w:eastAsia="Times New Roman" w:hAnsi="Times New Roman"/>
          <w:sz w:val="17"/>
          <w:szCs w:val="17"/>
          <w:color w:val="auto"/>
        </w:rPr>
      </w:pPr>
    </w:p>
    <w:p>
      <w:pPr>
        <w:ind w:left="1240" w:right="100" w:hanging="415"/>
        <w:spacing w:after="0" w:line="266"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81"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240" w:right="120" w:hanging="415"/>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240" w:right="400" w:hanging="415"/>
        <w:spacing w:after="0" w:line="282" w:lineRule="auto"/>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right="220" w:hanging="415"/>
        <w:spacing w:after="0" w:line="266"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80" w:hanging="2"/>
        <w:spacing w:after="0" w:line="260" w:lineRule="auto"/>
        <w:tabs>
          <w:tab w:leader="none" w:pos="7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Class A common stock, preferred stock, debt securities, warrants and units in one or more offerings and in any combination. The aggregate offering price of the securities we sell pursuant to this prospectus will not exceed $115,000,000.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ectPr>
          <w:pgSz w:w="11900" w:h="16838" w:orient="portrait"/>
          <w:cols w:equalWidth="0" w:num="1">
            <w:col w:w="10940"/>
          </w:cols>
          <w:pgMar w:left="320" w:top="455" w:right="639" w:bottom="1440" w:gutter="0" w:footer="0" w:header="0"/>
        </w:sectPr>
      </w:pP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40"/>
          </w:cols>
          <w:pgMar w:left="320" w:top="455" w:right="6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229" w:lineRule="exact"/>
        <w:rPr>
          <w:sz w:val="20"/>
          <w:szCs w:val="20"/>
          <w:color w:val="auto"/>
        </w:rPr>
      </w:pPr>
    </w:p>
    <w:p>
      <w:pPr>
        <w:ind w:left="300" w:right="200" w:firstLine="426"/>
        <w:spacing w:after="0" w:line="277" w:lineRule="auto"/>
        <w:rPr>
          <w:sz w:val="20"/>
          <w:szCs w:val="20"/>
          <w:color w:val="auto"/>
        </w:rPr>
      </w:pPr>
      <w:r>
        <w:rPr>
          <w:rFonts w:ascii="Times New Roman" w:cs="Times New Roman" w:eastAsia="Times New Roman" w:hAnsi="Times New Roman"/>
          <w:sz w:val="17"/>
          <w:szCs w:val="17"/>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w:t>
      </w:r>
    </w:p>
    <w:p>
      <w:pPr>
        <w:spacing w:after="0" w:line="168"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Class A common stock, preferred stock or debt securities.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22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20"/>
      </w:cols>
      <w:pgMar w:left="320" w:top="45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2"/>
    </w:lvl>
  </w:abstractNum>
  <w:abstractNum w:abstractNumId="3">
    <w:nsid w:val="2901D82"/>
    <w:multiLevelType w:val="hybridMultilevel"/>
    <w:lvl w:ilvl="0">
      <w:lvlJc w:val="left"/>
      <w:lvlText w:val="%1."/>
      <w:numFmt w:val="decimal"/>
      <w:start w:val="3"/>
    </w:lvl>
  </w:abstractNum>
  <w:abstractNum w:abstractNumId="4">
    <w:nsid w:val="3A95F874"/>
    <w:multiLevelType w:val="hybridMultilevel"/>
    <w:lvl w:ilvl="0">
      <w:lvlJc w:val="left"/>
      <w:lvlText w:val="%1."/>
      <w:numFmt w:val="decimal"/>
      <w:start w:val="4"/>
    </w:lvl>
  </w:abstractNum>
  <w:abstractNum w:abstractNumId="5">
    <w:nsid w:val="8138641"/>
    <w:multiLevelType w:val="hybridMultilevel"/>
    <w:lvl w:ilvl="0">
      <w:lvlJc w:val="left"/>
      <w:lvlText w:val="(%1)"/>
      <w:numFmt w:val="lowerRoman"/>
      <w:start w:val="1"/>
    </w:lvl>
  </w:abstractNum>
  <w:abstractNum w:abstractNumId="6">
    <w:nsid w:val="1E7FF521"/>
    <w:multiLevelType w:val="hybridMultilevel"/>
    <w:lvl w:ilvl="0">
      <w:lvlJc w:val="left"/>
      <w:lvlText w:val="1"/>
      <w:numFmt w:val="bullet"/>
      <w:start w:val="1"/>
    </w:lvl>
  </w:abstractNum>
  <w:abstractNum w:abstractNumId="7">
    <w:nsid w:val="7C3DBD3D"/>
    <w:multiLevelType w:val="hybridMultilevel"/>
    <w:lvl w:ilvl="0">
      <w:lvlJc w:val="left"/>
      <w:lvlText w:val="2"/>
      <w:numFmt w:val="bullet"/>
      <w:start w:val="1"/>
    </w:lvl>
  </w:abstractNum>
  <w:abstractNum w:abstractNumId="8">
    <w:nsid w:val="737B8DDC"/>
    <w:multiLevelType w:val="hybridMultilevel"/>
    <w:lvl w:ilvl="0">
      <w:lvlJc w:val="left"/>
      <w:lvlText w:val="3"/>
      <w:numFmt w:val="bullet"/>
      <w:start w:val="1"/>
    </w:lvl>
  </w:abstractNum>
  <w:abstractNum w:abstractNumId="9">
    <w:nsid w:val="6CEAF087"/>
    <w:multiLevelType w:val="hybridMultilevel"/>
    <w:lvl w:ilvl="0">
      <w:lvlJc w:val="left"/>
      <w:lvlText w:val="4"/>
      <w:numFmt w:val="bullet"/>
      <w:start w:val="1"/>
    </w:lvl>
  </w:abstractNum>
  <w:abstractNum w:abstractNumId="10">
    <w:nsid w:val="22221A70"/>
    <w:multiLevelType w:val="hybridMultilevel"/>
    <w:lvl w:ilvl="0">
      <w:lvlJc w:val="left"/>
      <w:lvlText w:val="5"/>
      <w:numFmt w:val="bullet"/>
      <w:start w:val="1"/>
    </w:lvl>
  </w:abstractNum>
  <w:abstractNum w:abstractNumId="11">
    <w:nsid w:val="4516DDE9"/>
    <w:multiLevelType w:val="hybridMultilevel"/>
    <w:lvl w:ilvl="0">
      <w:lvlJc w:val="left"/>
      <w:lvlText w:val="6"/>
      <w:numFmt w:val="bullet"/>
      <w:start w:val="1"/>
    </w:lvl>
  </w:abstractNum>
  <w:abstractNum w:abstractNumId="12">
    <w:nsid w:val="3006C83E"/>
    <w:multiLevelType w:val="hybridMultilevel"/>
    <w:lvl w:ilvl="0">
      <w:lvlJc w:val="left"/>
      <w:lvlText w:val="7"/>
      <w:numFmt w:val="bullet"/>
      <w:start w:val="1"/>
    </w:lvl>
  </w:abstractNum>
  <w:abstractNum w:abstractNumId="13">
    <w:nsid w:val="614FD4A1"/>
    <w:multiLevelType w:val="hybridMultilevel"/>
    <w:lvl w:ilvl="0">
      <w:lvlJc w:val="left"/>
      <w:lvlText w:val="8"/>
      <w:numFmt w:val="bullet"/>
      <w:start w:val="1"/>
    </w:lvl>
  </w:abstractNum>
  <w:abstractNum w:abstractNumId="14">
    <w:nsid w:val="419AC241"/>
    <w:multiLevelType w:val="hybridMultilevel"/>
    <w:lvl w:ilvl="0">
      <w:lvlJc w:val="left"/>
      <w:lvlText w:val="9"/>
      <w:numFmt w:val="bullet"/>
      <w:start w:val="1"/>
    </w:lvl>
  </w:abstractNum>
  <w:abstractNum w:abstractNumId="15">
    <w:nsid w:val="5577F8E1"/>
    <w:multiLevelType w:val="hybridMultilevel"/>
    <w:lvl w:ilvl="0">
      <w:lvlJc w:val="left"/>
      <w:lvlText w:val="%1."/>
      <w:numFmt w:val="decimal"/>
      <w:start w:val="5"/>
    </w:lvl>
  </w:abstractNum>
  <w:abstractNum w:abstractNumId="16">
    <w:nsid w:val="440BADFC"/>
    <w:multiLevelType w:val="hybridMultilevel"/>
    <w:lvl w:ilvl="0">
      <w:lvlJc w:val="left"/>
      <w:lvlText w:val="%1."/>
      <w:numFmt w:val="decimal"/>
      <w:start w:val="6"/>
    </w:lvl>
  </w:abstractNum>
  <w:abstractNum w:abstractNumId="17">
    <w:nsid w:val="5072367"/>
    <w:multiLevelType w:val="hybridMultilevel"/>
    <w:lvl w:ilvl="0">
      <w:lvlJc w:val="left"/>
      <w:lvlText w:val="%1."/>
      <w:numFmt w:val="decimal"/>
      <w:start w:val="7"/>
    </w:lvl>
  </w:abstractNum>
  <w:abstractNum w:abstractNumId="18">
    <w:nsid w:val="3804823E"/>
    <w:multiLevelType w:val="hybridMultilevel"/>
    <w:lvl w:ilvl="0">
      <w:lvlJc w:val="left"/>
      <w:lvlText w:val="%1."/>
      <w:numFmt w:val="decimal"/>
      <w:start w:val="8"/>
    </w:lvl>
    <w:lvl w:ilvl="1">
      <w:lvlJc w:val="left"/>
      <w:lvlText w:val="•"/>
      <w:numFmt w:val="bullet"/>
      <w:start w:val="1"/>
    </w:lvl>
  </w:abstractNum>
  <w:abstractNum w:abstractNumId="19">
    <w:nsid w:val="77465F01"/>
    <w:multiLevelType w:val="hybridMultilevel"/>
    <w:lvl w:ilvl="0">
      <w:lvlJc w:val="left"/>
      <w:lvlText w:val="%1."/>
      <w:numFmt w:val="decimal"/>
      <w:start w:val="9"/>
    </w:lvl>
  </w:abstractNum>
  <w:abstractNum w:abstractNumId="20">
    <w:nsid w:val="7724C67E"/>
    <w:multiLevelType w:val="hybridMultilevel"/>
    <w:lvl w:ilvl="0">
      <w:lvlJc w:val="left"/>
      <w:lvlText w:val="%1."/>
      <w:numFmt w:val="decimal"/>
      <w:start w:val="10"/>
    </w:lvl>
  </w:abstractNum>
  <w:abstractNum w:abstractNumId="21">
    <w:nsid w:val="5C482A97"/>
    <w:multiLevelType w:val="hybridMultilevel"/>
    <w:lvl w:ilvl="0">
      <w:lvlJc w:val="left"/>
      <w:lvlText w:val="%1."/>
      <w:numFmt w:val="decimal"/>
      <w:start w:val="11"/>
    </w:lvl>
  </w:abstractNum>
  <w:abstractNum w:abstractNumId="22">
    <w:nsid w:val="2463B9EA"/>
    <w:multiLevelType w:val="hybridMultilevel"/>
    <w:lvl w:ilvl="0">
      <w:lvlJc w:val="left"/>
      <w:lvlText w:val="%1."/>
      <w:numFmt w:val="decimal"/>
      <w:start w:val="12"/>
    </w:lvl>
  </w:abstractNum>
  <w:abstractNum w:abstractNumId="23">
    <w:nsid w:val="5E884ADC"/>
    <w:multiLevelType w:val="hybridMultilevel"/>
    <w:lvl w:ilvl="0">
      <w:lvlJc w:val="left"/>
      <w:lvlText w:val="%1."/>
      <w:numFmt w:val="decimal"/>
      <w:start w:val="13"/>
    </w:lvl>
  </w:abstractNum>
  <w:abstractNum w:abstractNumId="24">
    <w:nsid w:val="51EAD36B"/>
    <w:multiLevelType w:val="hybridMultilevel"/>
    <w:lvl w:ilvl="0">
      <w:lvlJc w:val="left"/>
      <w:lvlText w:val="%1"/>
      <w:numFmt w:val="decimal"/>
      <w:start w:val="11"/>
    </w:lvl>
  </w:abstractNum>
  <w:abstractNum w:abstractNumId="25">
    <w:nsid w:val="2D517796"/>
    <w:multiLevelType w:val="hybridMultilevel"/>
    <w:lvl w:ilvl="0">
      <w:lvlJc w:val="left"/>
      <w:lvlText w:val="%1:"/>
      <w:numFmt w:val="lowerLetter"/>
      <w:start w:val="29"/>
    </w:lvl>
  </w:abstractNum>
  <w:abstractNum w:abstractNumId="26">
    <w:nsid w:val="580BD78F"/>
    <w:multiLevelType w:val="hybridMultilevel"/>
    <w:lvl w:ilvl="0">
      <w:lvlJc w:val="left"/>
      <w:lvlText w:val="%1"/>
      <w:numFmt w:val="decimal"/>
      <w:start w:val="14"/>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decimal"/>
      <w:start w:val="67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76" Type="http://schemas.openxmlformats.org/officeDocument/2006/relationships/hyperlink" Target="http://www.sec.gov/Archives/edgar/data/1820302/000119312523089016/d482123dex22.htm" TargetMode="External"/><Relationship Id="rId77" Type="http://schemas.openxmlformats.org/officeDocument/2006/relationships/hyperlink" Target="http://www.sec.gov/Archives/edgar/data/0001820302/000119312521303985/d219325dex31.htm" TargetMode="External"/><Relationship Id="rId78" Type="http://schemas.openxmlformats.org/officeDocument/2006/relationships/hyperlink" Target="http://www.sec.gov/Archives/edgar/data/0001820302/000119312521303985/d219325dex32.htm" TargetMode="External"/><Relationship Id="rId79" Type="http://schemas.openxmlformats.org/officeDocument/2006/relationships/hyperlink" Target="http://www.sec.gov/Archives/edgar/data/1820302/000182030223000080/exhibit42amendmen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2024-03-14T23:12:15Z</dcterms:created>
  <dcterms:modified xsi:type="dcterms:W3CDTF">2024-03-14T23:12:15Z</dcterms:modified>
</cp:coreProperties>
</file>