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1163955</wp:posOffset>
            </wp:positionH>
            <wp:positionV relativeFrom="page">
              <wp:posOffset>843280</wp:posOffset>
            </wp:positionV>
            <wp:extent cx="522160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21605" cy="6985"/>
                    </a:xfrm>
                    <a:prstGeom prst="rect">
                      <a:avLst/>
                    </a:prstGeom>
                    <a:noFill/>
                  </pic:spPr>
                </pic:pic>
              </a:graphicData>
            </a:graphic>
          </wp:anchor>
        </w:drawing>
        <w:drawing>
          <wp:anchor simplePos="0" relativeHeight="251657728" behindDoc="1" locked="0" layoutInCell="0" allowOverlap="1">
            <wp:simplePos x="0" y="0"/>
            <wp:positionH relativeFrom="page">
              <wp:posOffset>1163955</wp:posOffset>
            </wp:positionH>
            <wp:positionV relativeFrom="page">
              <wp:posOffset>863600</wp:posOffset>
            </wp:positionV>
            <wp:extent cx="522160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21605" cy="6985"/>
                    </a:xfrm>
                    <a:prstGeom prst="rect">
                      <a:avLst/>
                    </a:prstGeom>
                    <a:noFill/>
                  </pic:spPr>
                </pic:pic>
              </a:graphicData>
            </a:graphic>
          </wp:anchor>
        </w:drawing>
        <w:t>UNITED STATES</w:t>
      </w:r>
    </w:p>
    <w:p>
      <w:pPr>
        <w:jc w:val="center"/>
        <w:spacing w:after="0" w:line="214" w:lineRule="auto"/>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2320925</wp:posOffset>
            </wp:positionH>
            <wp:positionV relativeFrom="paragraph">
              <wp:posOffset>52705</wp:posOffset>
            </wp:positionV>
            <wp:extent cx="251968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19680" cy="6985"/>
                    </a:xfrm>
                    <a:prstGeom prst="rect">
                      <a:avLst/>
                    </a:prstGeom>
                    <a:noFill/>
                  </pic:spPr>
                </pic:pic>
              </a:graphicData>
            </a:graphic>
          </wp:anchor>
        </w:drawing>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2320925</wp:posOffset>
            </wp:positionH>
            <wp:positionV relativeFrom="paragraph">
              <wp:posOffset>70485</wp:posOffset>
            </wp:positionV>
            <wp:extent cx="251968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19680" cy="6985"/>
                    </a:xfrm>
                    <a:prstGeom prst="rect">
                      <a:avLst/>
                    </a:prstGeom>
                    <a:noFill/>
                  </pic:spPr>
                </pic:pic>
              </a:graphicData>
            </a:graphic>
          </wp:anchor>
        </w:drawing>
      </w:r>
    </w:p>
    <w:p>
      <w:pPr>
        <w:sectPr>
          <w:pgSz w:w="11900" w:h="16838" w:orient="portrait"/>
          <w:cols w:equalWidth="0" w:num="1">
            <w:col w:w="11280"/>
          </w:cols>
          <w:pgMar w:left="300" w:top="1396" w:right="3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7"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1"/>
          <w:szCs w:val="11"/>
          <w:b w:val="1"/>
          <w:bCs w:val="1"/>
          <w:color w:val="auto"/>
        </w:rPr>
        <w:t>(State or other jurisdiction</w:t>
      </w:r>
    </w:p>
    <w:p>
      <w:pPr>
        <w:spacing w:after="0" w:line="4"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1"/>
          <w:szCs w:val="11"/>
          <w:b w:val="1"/>
          <w:bCs w:val="1"/>
          <w:color w:val="auto"/>
        </w:rPr>
        <w:t>of incorporation)</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jc w:val="center"/>
        <w:ind w:right="3920"/>
        <w:spacing w:after="0"/>
        <w:rPr>
          <w:sz w:val="20"/>
          <w:szCs w:val="20"/>
          <w:color w:val="auto"/>
        </w:rPr>
      </w:pPr>
      <w:r>
        <w:rPr>
          <w:rFonts w:ascii="Times New Roman" w:cs="Times New Roman" w:eastAsia="Times New Roman" w:hAnsi="Times New Roman"/>
          <w:sz w:val="17"/>
          <w:szCs w:val="17"/>
          <w:b w:val="1"/>
          <w:bCs w:val="1"/>
          <w:color w:val="auto"/>
        </w:rPr>
        <w:t>CURRENT REPORT</w:t>
      </w:r>
    </w:p>
    <w:p>
      <w:pPr>
        <w:jc w:val="center"/>
        <w:ind w:right="3920"/>
        <w:spacing w:after="0" w:line="208" w:lineRule="auto"/>
        <w:rPr>
          <w:sz w:val="20"/>
          <w:szCs w:val="20"/>
          <w:color w:val="auto"/>
        </w:rPr>
      </w:pPr>
      <w:r>
        <w:rPr>
          <w:rFonts w:ascii="Times New Roman" w:cs="Times New Roman" w:eastAsia="Times New Roman" w:hAnsi="Times New Roman"/>
          <w:sz w:val="17"/>
          <w:szCs w:val="17"/>
          <w:b w:val="1"/>
          <w:bCs w:val="1"/>
          <w:color w:val="auto"/>
        </w:rPr>
        <w:t>Pursuant to Section 13 OR 15(d)</w:t>
      </w:r>
    </w:p>
    <w:p>
      <w:pPr>
        <w:jc w:val="center"/>
        <w:ind w:right="3920"/>
        <w:spacing w:after="0"/>
        <w:rPr>
          <w:sz w:val="20"/>
          <w:szCs w:val="20"/>
          <w:color w:val="auto"/>
        </w:rPr>
      </w:pPr>
      <w:r>
        <w:rPr>
          <w:rFonts w:ascii="Times New Roman" w:cs="Times New Roman" w:eastAsia="Times New Roman" w:hAnsi="Times New Roman"/>
          <w:sz w:val="17"/>
          <w:szCs w:val="17"/>
          <w:b w:val="1"/>
          <w:bCs w:val="1"/>
          <w:color w:val="auto"/>
        </w:rPr>
        <w:t>of The Securities Exchange Act of 1934</w:t>
      </w:r>
    </w:p>
    <w:p>
      <w:pPr>
        <w:spacing w:after="0" w:line="143" w:lineRule="exact"/>
        <w:rPr>
          <w:sz w:val="24"/>
          <w:szCs w:val="24"/>
          <w:color w:val="auto"/>
        </w:rPr>
      </w:pPr>
    </w:p>
    <w:p>
      <w:pPr>
        <w:jc w:val="center"/>
        <w:ind w:right="3920"/>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w:t>
      </w:r>
    </w:p>
    <w:p>
      <w:pPr>
        <w:spacing w:after="0" w:line="8" w:lineRule="exact"/>
        <w:rPr>
          <w:sz w:val="24"/>
          <w:szCs w:val="24"/>
          <w:color w:val="auto"/>
        </w:rPr>
      </w:pPr>
    </w:p>
    <w:p>
      <w:pPr>
        <w:jc w:val="center"/>
        <w:ind w:right="3920"/>
        <w:spacing w:after="0"/>
        <w:rPr>
          <w:sz w:val="20"/>
          <w:szCs w:val="20"/>
          <w:color w:val="auto"/>
        </w:rPr>
      </w:pPr>
      <w:r>
        <w:rPr>
          <w:rFonts w:ascii="Times New Roman" w:cs="Times New Roman" w:eastAsia="Times New Roman" w:hAnsi="Times New Roman"/>
          <w:sz w:val="17"/>
          <w:szCs w:val="17"/>
          <w:b w:val="1"/>
          <w:bCs w:val="1"/>
          <w:color w:val="auto"/>
        </w:rPr>
        <w:t>March 19,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-180340</wp:posOffset>
            </wp:positionH>
            <wp:positionV relativeFrom="paragraph">
              <wp:posOffset>52705</wp:posOffset>
            </wp:positionV>
            <wp:extent cx="251968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19680" cy="6985"/>
                    </a:xfrm>
                    <a:prstGeom prst="rect">
                      <a:avLst/>
                    </a:prstGeom>
                    <a:noFill/>
                  </pic:spPr>
                </pic:pic>
              </a:graphicData>
            </a:graphic>
          </wp:anchor>
        </w:drawing>
      </w:r>
    </w:p>
    <w:p>
      <w:pPr>
        <w:spacing w:after="0" w:line="176" w:lineRule="exact"/>
        <w:rPr>
          <w:sz w:val="24"/>
          <w:szCs w:val="24"/>
          <w:color w:val="auto"/>
        </w:rPr>
      </w:pPr>
    </w:p>
    <w:p>
      <w:pPr>
        <w:jc w:val="center"/>
        <w:ind w:right="3920"/>
        <w:spacing w:after="0"/>
        <w:rPr>
          <w:sz w:val="20"/>
          <w:szCs w:val="20"/>
          <w:color w:val="auto"/>
        </w:rPr>
      </w:pPr>
      <w:r>
        <w:rPr>
          <w:rFonts w:ascii="Times New Roman" w:cs="Times New Roman" w:eastAsia="Times New Roman" w:hAnsi="Times New Roman"/>
          <w:sz w:val="28"/>
          <w:szCs w:val="28"/>
          <w:b w:val="1"/>
          <w:bCs w:val="1"/>
          <w:color w:val="auto"/>
        </w:rPr>
        <w:t>Bakkt Holdings, Inc.</w:t>
      </w:r>
    </w:p>
    <w:p>
      <w:pPr>
        <w:spacing w:after="0" w:line="1"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-180340</wp:posOffset>
            </wp:positionH>
            <wp:positionV relativeFrom="paragraph">
              <wp:posOffset>58420</wp:posOffset>
            </wp:positionV>
            <wp:extent cx="251968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19680" cy="6985"/>
                    </a:xfrm>
                    <a:prstGeom prst="rect">
                      <a:avLst/>
                    </a:prstGeom>
                    <a:noFill/>
                  </pic:spPr>
                </pic:pic>
              </a:graphicData>
            </a:graphic>
          </wp:anchor>
        </w:drawing>
      </w:r>
    </w:p>
    <w:p>
      <w:pPr>
        <w:spacing w:after="0" w:line="172" w:lineRule="exact"/>
        <w:rPr>
          <w:sz w:val="24"/>
          <w:szCs w:val="24"/>
          <w:color w:val="auto"/>
        </w:rPr>
      </w:pPr>
    </w:p>
    <w:tbl>
      <w:tblPr>
        <w:tblLayout w:type="fixed"/>
        <w:tblInd w:w="1380" w:type="dxa"/>
        <w:tblCellMar>
          <w:top w:w="0" w:type="dxa"/>
          <w:left w:w="0" w:type="dxa"/>
          <w:bottom w:w="0" w:type="dxa"/>
          <w:right w:w="0" w:type="dxa"/>
        </w:tblCellMar>
      </w:tblPr>
      <w:tr>
        <w:trPr>
          <w:trHeight w:val="186"/>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001-39544</w:t>
            </w:r>
          </w:p>
        </w:tc>
        <w:tc>
          <w:tcPr>
            <w:tcW w:w="2420" w:type="dxa"/>
            <w:vAlign w:val="bottom"/>
          </w:tcPr>
          <w:p>
            <w:pPr>
              <w:jc w:val="center"/>
              <w:ind w:left="1479"/>
              <w:spacing w:after="0"/>
              <w:rPr>
                <w:sz w:val="20"/>
                <w:szCs w:val="20"/>
                <w:color w:val="auto"/>
              </w:rPr>
            </w:pPr>
            <w:r>
              <w:rPr>
                <w:rFonts w:ascii="Times New Roman" w:cs="Times New Roman" w:eastAsia="Times New Roman" w:hAnsi="Times New Roman"/>
                <w:sz w:val="14"/>
                <w:szCs w:val="14"/>
                <w:b w:val="1"/>
                <w:bCs w:val="1"/>
                <w:color w:val="auto"/>
              </w:rPr>
              <w:t>98-1550750</w:t>
            </w:r>
          </w:p>
        </w:tc>
      </w:tr>
      <w:tr>
        <w:trPr>
          <w:trHeight w:val="140"/>
        </w:trPr>
        <w:tc>
          <w:tcPr>
            <w:tcW w:w="21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(Commission</w:t>
            </w:r>
          </w:p>
        </w:tc>
        <w:tc>
          <w:tcPr>
            <w:tcW w:w="2420" w:type="dxa"/>
            <w:vAlign w:val="bottom"/>
          </w:tcPr>
          <w:p>
            <w:pPr>
              <w:jc w:val="center"/>
              <w:ind w:left="1479"/>
              <w:spacing w:after="0"/>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9"/>
        </w:trPr>
        <w:tc>
          <w:tcPr>
            <w:tcW w:w="21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File Number)</w:t>
            </w:r>
          </w:p>
        </w:tc>
        <w:tc>
          <w:tcPr>
            <w:tcW w:w="2420" w:type="dxa"/>
            <w:vAlign w:val="bottom"/>
          </w:tcPr>
          <w:p>
            <w:pPr>
              <w:jc w:val="center"/>
              <w:ind w:left="1479"/>
              <w:spacing w:after="0"/>
              <w:rPr>
                <w:sz w:val="20"/>
                <w:szCs w:val="20"/>
                <w:color w:val="auto"/>
              </w:rPr>
            </w:pPr>
            <w:r>
              <w:rPr>
                <w:rFonts w:ascii="Times New Roman" w:cs="Times New Roman" w:eastAsia="Times New Roman" w:hAnsi="Times New Roman"/>
                <w:sz w:val="11"/>
                <w:szCs w:val="11"/>
                <w:b w:val="1"/>
                <w:bCs w:val="1"/>
                <w:color w:val="auto"/>
              </w:rPr>
              <w:t>Identification No.)</w:t>
            </w:r>
          </w:p>
        </w:tc>
      </w:tr>
    </w:tbl>
    <w:p>
      <w:pPr>
        <w:spacing w:after="0" w:line="117" w:lineRule="exact"/>
        <w:rPr>
          <w:sz w:val="24"/>
          <w:szCs w:val="24"/>
          <w:color w:val="auto"/>
        </w:rPr>
      </w:pPr>
    </w:p>
    <w:p>
      <w:pPr>
        <w:sectPr>
          <w:pgSz w:w="11900" w:h="16838" w:orient="portrait"/>
          <w:cols w:equalWidth="0" w:num="2">
            <w:col w:w="3220" w:space="720"/>
            <w:col w:w="7340"/>
          </w:cols>
          <w:pgMar w:left="300" w:top="1396" w:right="319" w:bottom="1440" w:gutter="0" w:footer="0" w:header="0"/>
          <w:type w:val="continuous"/>
        </w:sectPr>
      </w:pPr>
    </w:p>
    <w:tbl>
      <w:tblPr>
        <w:tblLayout w:type="fixed"/>
        <w:tblInd w:w="1660" w:type="dxa"/>
        <w:tblCellMar>
          <w:top w:w="0" w:type="dxa"/>
          <w:left w:w="0" w:type="dxa"/>
          <w:bottom w:w="0" w:type="dxa"/>
          <w:right w:w="0" w:type="dxa"/>
        </w:tblCellMar>
      </w:tblPr>
      <w:tr>
        <w:trPr>
          <w:trHeight w:val="161"/>
        </w:trPr>
        <w:tc>
          <w:tcPr>
            <w:tcW w:w="6300" w:type="dxa"/>
            <w:vAlign w:val="bottom"/>
          </w:tcPr>
          <w:p>
            <w:pPr>
              <w:jc w:val="center"/>
              <w:ind w:right="4033"/>
              <w:spacing w:after="0"/>
              <w:rPr>
                <w:sz w:val="20"/>
                <w:szCs w:val="20"/>
                <w:color w:val="auto"/>
              </w:rPr>
            </w:pPr>
            <w:r>
              <w:rPr>
                <w:rFonts w:ascii="Times New Roman" w:cs="Times New Roman" w:eastAsia="Times New Roman" w:hAnsi="Times New Roman"/>
                <w:sz w:val="14"/>
                <w:szCs w:val="14"/>
                <w:b w:val="1"/>
                <w:bCs w:val="1"/>
                <w:color w:val="auto"/>
              </w:rPr>
              <w:t>10000 Avalon Boulevard, Suite 1000,</w:t>
            </w:r>
          </w:p>
        </w:tc>
        <w:tc>
          <w:tcPr>
            <w:tcW w:w="82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30009</w:t>
            </w:r>
          </w:p>
        </w:tc>
        <w:tc>
          <w:tcPr>
            <w:tcW w:w="0" w:type="dxa"/>
            <w:vAlign w:val="bottom"/>
          </w:tcPr>
          <w:p>
            <w:pPr>
              <w:spacing w:after="0"/>
              <w:rPr>
                <w:sz w:val="1"/>
                <w:szCs w:val="1"/>
                <w:color w:val="auto"/>
              </w:rPr>
            </w:pPr>
          </w:p>
        </w:tc>
      </w:tr>
      <w:tr>
        <w:trPr>
          <w:trHeight w:val="112"/>
        </w:trPr>
        <w:tc>
          <w:tcPr>
            <w:tcW w:w="6300" w:type="dxa"/>
            <w:vAlign w:val="bottom"/>
            <w:vMerge w:val="restart"/>
          </w:tcPr>
          <w:p>
            <w:pPr>
              <w:jc w:val="center"/>
              <w:ind w:right="4013"/>
              <w:spacing w:after="0"/>
              <w:rPr>
                <w:sz w:val="20"/>
                <w:szCs w:val="20"/>
                <w:color w:val="auto"/>
              </w:rPr>
            </w:pPr>
            <w:r>
              <w:rPr>
                <w:rFonts w:ascii="Times New Roman" w:cs="Times New Roman" w:eastAsia="Times New Roman" w:hAnsi="Times New Roman"/>
                <w:sz w:val="14"/>
                <w:szCs w:val="14"/>
                <w:b w:val="1"/>
                <w:bCs w:val="1"/>
                <w:color w:val="auto"/>
              </w:rPr>
              <w:t>Alpharetta, Georgia</w:t>
            </w: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630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6300" w:type="dxa"/>
            <w:vAlign w:val="bottom"/>
          </w:tcPr>
          <w:p>
            <w:pPr>
              <w:jc w:val="center"/>
              <w:ind w:right="4033"/>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820" w:type="dxa"/>
            <w:vAlign w:val="bottom"/>
          </w:tcPr>
          <w:p>
            <w:pPr>
              <w:jc w:val="center"/>
              <w:ind w:left="236"/>
              <w:spacing w:after="0"/>
              <w:rPr>
                <w:sz w:val="20"/>
                <w:szCs w:val="20"/>
                <w:color w:val="auto"/>
              </w:rPr>
            </w:pPr>
            <w:r>
              <w:rPr>
                <w:rFonts w:ascii="Times New Roman" w:cs="Times New Roman" w:eastAsia="Times New Roman" w:hAnsi="Times New Roman"/>
                <w:sz w:val="11"/>
                <w:szCs w:val="11"/>
                <w:b w:val="1"/>
                <w:bCs w:val="1"/>
                <w:color w:val="auto"/>
              </w:rPr>
              <w:t>(Zip Code)</w:t>
            </w:r>
          </w:p>
        </w:tc>
        <w:tc>
          <w:tcPr>
            <w:tcW w:w="0" w:type="dxa"/>
            <w:vAlign w:val="bottom"/>
          </w:tcPr>
          <w:p>
            <w:pPr>
              <w:spacing w:after="0"/>
              <w:rPr>
                <w:sz w:val="1"/>
                <w:szCs w:val="1"/>
                <w:color w:val="auto"/>
              </w:rPr>
            </w:pPr>
          </w:p>
        </w:tc>
      </w:tr>
      <w:tr>
        <w:trPr>
          <w:trHeight w:val="252"/>
        </w:trPr>
        <w:tc>
          <w:tcPr>
            <w:tcW w:w="6300" w:type="dxa"/>
            <w:vAlign w:val="bottom"/>
          </w:tcPr>
          <w:p>
            <w:pPr>
              <w:ind w:left="19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(678) 534-5849</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2320925</wp:posOffset>
            </wp:positionH>
            <wp:positionV relativeFrom="paragraph">
              <wp:posOffset>135255</wp:posOffset>
            </wp:positionV>
            <wp:extent cx="251968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19680" cy="6985"/>
                    </a:xfrm>
                    <a:prstGeom prst="rect">
                      <a:avLst/>
                    </a:prstGeom>
                    <a:noFill/>
                  </pic:spPr>
                </pic:pic>
              </a:graphicData>
            </a:graphic>
          </wp:anchor>
        </w:drawing>
      </w:r>
    </w:p>
    <w:p>
      <w:pPr>
        <w:spacing w:after="0" w:line="39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 (see General Instruction A.2.</w:t>
      </w:r>
    </w:p>
    <w:p>
      <w:pPr>
        <w:ind w:left="20"/>
        <w:spacing w:after="0"/>
        <w:rPr>
          <w:sz w:val="20"/>
          <w:szCs w:val="20"/>
          <w:color w:val="auto"/>
        </w:rPr>
      </w:pPr>
      <w:r>
        <w:rPr>
          <w:rFonts w:ascii="Times New Roman" w:cs="Times New Roman" w:eastAsia="Times New Roman" w:hAnsi="Times New Roman"/>
          <w:sz w:val="14"/>
          <w:szCs w:val="14"/>
          <w:color w:val="auto"/>
        </w:rPr>
        <w:t>below):</w:t>
      </w:r>
    </w:p>
    <w:p>
      <w:pPr>
        <w:spacing w:after="0" w:line="56" w:lineRule="exact"/>
        <w:rPr>
          <w:sz w:val="24"/>
          <w:szCs w:val="24"/>
          <w:color w:val="auto"/>
        </w:rPr>
      </w:pPr>
    </w:p>
    <w:p>
      <w:pPr>
        <w:ind w:left="320" w:hanging="230"/>
        <w:spacing w:after="0"/>
        <w:tabs>
          <w:tab w:leader="none" w:pos="3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 pursuant to Rule 425 under the Securities Act (17 CFR 230.425)</w:t>
      </w:r>
    </w:p>
    <w:p>
      <w:pPr>
        <w:spacing w:after="0" w:line="61" w:lineRule="exact"/>
        <w:rPr>
          <w:rFonts w:ascii="MS PGothic" w:cs="MS PGothic" w:eastAsia="MS PGothic" w:hAnsi="MS PGothic"/>
          <w:sz w:val="14"/>
          <w:szCs w:val="14"/>
          <w:color w:val="auto"/>
        </w:rPr>
      </w:pPr>
    </w:p>
    <w:p>
      <w:pPr>
        <w:ind w:left="320" w:hanging="230"/>
        <w:spacing w:after="0"/>
        <w:tabs>
          <w:tab w:leader="none" w:pos="3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61" w:lineRule="exact"/>
        <w:rPr>
          <w:rFonts w:ascii="MS PGothic" w:cs="MS PGothic" w:eastAsia="MS PGothic" w:hAnsi="MS PGothic"/>
          <w:sz w:val="14"/>
          <w:szCs w:val="14"/>
          <w:color w:val="auto"/>
        </w:rPr>
      </w:pPr>
    </w:p>
    <w:p>
      <w:pPr>
        <w:ind w:left="320" w:hanging="230"/>
        <w:spacing w:after="0"/>
        <w:tabs>
          <w:tab w:leader="none" w:pos="3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61" w:lineRule="exact"/>
        <w:rPr>
          <w:rFonts w:ascii="MS PGothic" w:cs="MS PGothic" w:eastAsia="MS PGothic" w:hAnsi="MS PGothic"/>
          <w:sz w:val="14"/>
          <w:szCs w:val="14"/>
          <w:color w:val="auto"/>
        </w:rPr>
      </w:pPr>
    </w:p>
    <w:p>
      <w:pPr>
        <w:ind w:left="320" w:hanging="230"/>
        <w:spacing w:after="0"/>
        <w:tabs>
          <w:tab w:leader="none" w:pos="3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5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136"/>
        </w:trPr>
        <w:tc>
          <w:tcPr>
            <w:tcW w:w="5380" w:type="dxa"/>
            <w:vAlign w:val="bottom"/>
            <w:vMerge w:val="restart"/>
          </w:tcPr>
          <w:p>
            <w:pPr>
              <w:ind w:left="194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2480" w:type="dxa"/>
            <w:vAlign w:val="bottom"/>
          </w:tcPr>
          <w:p>
            <w:pPr>
              <w:jc w:val="center"/>
              <w:ind w:left="154"/>
              <w:spacing w:after="0"/>
              <w:rPr>
                <w:sz w:val="20"/>
                <w:szCs w:val="20"/>
                <w:color w:val="auto"/>
              </w:rPr>
            </w:pPr>
            <w:r>
              <w:rPr>
                <w:rFonts w:ascii="Times New Roman" w:cs="Times New Roman" w:eastAsia="Times New Roman" w:hAnsi="Times New Roman"/>
                <w:sz w:val="11"/>
                <w:szCs w:val="11"/>
                <w:b w:val="1"/>
                <w:bCs w:val="1"/>
                <w:color w:val="auto"/>
              </w:rPr>
              <w:t>Trading Symbol(s)</w:t>
            </w:r>
          </w:p>
        </w:tc>
        <w:tc>
          <w:tcPr>
            <w:tcW w:w="3420" w:type="dxa"/>
            <w:vAlign w:val="bottom"/>
          </w:tcPr>
          <w:p>
            <w:pPr>
              <w:jc w:val="center"/>
              <w:ind w:right="136"/>
              <w:spacing w:after="0"/>
              <w:rPr>
                <w:sz w:val="20"/>
                <w:szCs w:val="20"/>
                <w:color w:val="auto"/>
              </w:rPr>
            </w:pPr>
            <w:r>
              <w:rPr>
                <w:rFonts w:ascii="Times New Roman" w:cs="Times New Roman" w:eastAsia="Times New Roman" w:hAnsi="Times New Roman"/>
                <w:sz w:val="11"/>
                <w:szCs w:val="11"/>
                <w:b w:val="1"/>
                <w:bCs w:val="1"/>
                <w:color w:val="auto"/>
              </w:rPr>
              <w:t>Name of each exchange</w:t>
            </w:r>
          </w:p>
        </w:tc>
        <w:tc>
          <w:tcPr>
            <w:tcW w:w="0" w:type="dxa"/>
            <w:vAlign w:val="bottom"/>
          </w:tcPr>
          <w:p>
            <w:pPr>
              <w:spacing w:after="0"/>
              <w:rPr>
                <w:sz w:val="1"/>
                <w:szCs w:val="1"/>
                <w:color w:val="auto"/>
              </w:rPr>
            </w:pPr>
          </w:p>
        </w:tc>
      </w:tr>
      <w:tr>
        <w:trPr>
          <w:trHeight w:val="138"/>
        </w:trPr>
        <w:tc>
          <w:tcPr>
            <w:tcW w:w="5380" w:type="dxa"/>
            <w:vAlign w:val="bottom"/>
            <w:tcBorders>
              <w:bottom w:val="single" w:sz="8" w:color="auto"/>
            </w:tcBorders>
            <w:vMerge w:val="continue"/>
          </w:tcPr>
          <w:p>
            <w:pPr>
              <w:spacing w:after="0"/>
              <w:rPr>
                <w:sz w:val="11"/>
                <w:szCs w:val="11"/>
                <w:color w:val="auto"/>
              </w:rPr>
            </w:pPr>
          </w:p>
        </w:tc>
        <w:tc>
          <w:tcPr>
            <w:tcW w:w="2480" w:type="dxa"/>
            <w:vAlign w:val="bottom"/>
            <w:tcBorders>
              <w:bottom w:val="single" w:sz="8" w:color="auto"/>
            </w:tcBorders>
          </w:tcPr>
          <w:p>
            <w:pPr>
              <w:spacing w:after="0"/>
              <w:rPr>
                <w:sz w:val="11"/>
                <w:szCs w:val="11"/>
                <w:color w:val="auto"/>
              </w:rPr>
            </w:pPr>
          </w:p>
        </w:tc>
        <w:tc>
          <w:tcPr>
            <w:tcW w:w="342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1"/>
                <w:szCs w:val="11"/>
                <w:b w:val="1"/>
                <w:bCs w:val="1"/>
                <w:color w:val="auto"/>
              </w:rPr>
              <w:t>on which registered</w:t>
            </w:r>
          </w:p>
        </w:tc>
        <w:tc>
          <w:tcPr>
            <w:tcW w:w="0" w:type="dxa"/>
            <w:vAlign w:val="bottom"/>
          </w:tcPr>
          <w:p>
            <w:pPr>
              <w:spacing w:after="0"/>
              <w:rPr>
                <w:sz w:val="1"/>
                <w:szCs w:val="1"/>
                <w:color w:val="auto"/>
              </w:rPr>
            </w:pPr>
          </w:p>
        </w:tc>
      </w:tr>
      <w:tr>
        <w:trPr>
          <w:trHeight w:val="165"/>
        </w:trPr>
        <w:tc>
          <w:tcPr>
            <w:tcW w:w="5380" w:type="dxa"/>
            <w:vAlign w:val="bottom"/>
          </w:tcPr>
          <w:p>
            <w:pPr>
              <w:jc w:val="center"/>
              <w:ind w:left="354"/>
              <w:spacing w:after="0"/>
              <w:rPr>
                <w:sz w:val="20"/>
                <w:szCs w:val="20"/>
                <w:color w:val="auto"/>
              </w:rPr>
            </w:pPr>
            <w:r>
              <w:rPr>
                <w:rFonts w:ascii="Times New Roman" w:cs="Times New Roman" w:eastAsia="Times New Roman" w:hAnsi="Times New Roman"/>
                <w:sz w:val="14"/>
                <w:szCs w:val="14"/>
                <w:b w:val="1"/>
                <w:bCs w:val="1"/>
                <w:color w:val="auto"/>
              </w:rPr>
              <w:t>Class A Common Stock, par value $0.0001 per share</w:t>
            </w:r>
          </w:p>
        </w:tc>
        <w:tc>
          <w:tcPr>
            <w:tcW w:w="2480" w:type="dxa"/>
            <w:vAlign w:val="bottom"/>
          </w:tcPr>
          <w:p>
            <w:pPr>
              <w:jc w:val="center"/>
              <w:ind w:left="154"/>
              <w:spacing w:after="0"/>
              <w:rPr>
                <w:sz w:val="20"/>
                <w:szCs w:val="20"/>
                <w:color w:val="auto"/>
              </w:rPr>
            </w:pPr>
            <w:r>
              <w:rPr>
                <w:rFonts w:ascii="Times New Roman" w:cs="Times New Roman" w:eastAsia="Times New Roman" w:hAnsi="Times New Roman"/>
                <w:sz w:val="14"/>
                <w:szCs w:val="14"/>
                <w:b w:val="1"/>
                <w:bCs w:val="1"/>
                <w:color w:val="auto"/>
              </w:rPr>
              <w:t>BKKT</w:t>
            </w:r>
          </w:p>
        </w:tc>
        <w:tc>
          <w:tcPr>
            <w:tcW w:w="342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The New York Stock Exchange</w:t>
            </w:r>
          </w:p>
        </w:tc>
        <w:tc>
          <w:tcPr>
            <w:tcW w:w="0" w:type="dxa"/>
            <w:vAlign w:val="bottom"/>
          </w:tcPr>
          <w:p>
            <w:pPr>
              <w:spacing w:after="0"/>
              <w:rPr>
                <w:sz w:val="1"/>
                <w:szCs w:val="1"/>
                <w:color w:val="auto"/>
              </w:rPr>
            </w:pPr>
          </w:p>
        </w:tc>
      </w:tr>
      <w:tr>
        <w:trPr>
          <w:trHeight w:val="186"/>
        </w:trPr>
        <w:tc>
          <w:tcPr>
            <w:tcW w:w="5380" w:type="dxa"/>
            <w:vAlign w:val="bottom"/>
          </w:tcPr>
          <w:p>
            <w:pPr>
              <w:jc w:val="center"/>
              <w:ind w:left="374"/>
              <w:spacing w:after="0"/>
              <w:rPr>
                <w:sz w:val="20"/>
                <w:szCs w:val="20"/>
                <w:color w:val="auto"/>
              </w:rPr>
            </w:pPr>
            <w:r>
              <w:rPr>
                <w:rFonts w:ascii="Times New Roman" w:cs="Times New Roman" w:eastAsia="Times New Roman" w:hAnsi="Times New Roman"/>
                <w:sz w:val="14"/>
                <w:szCs w:val="14"/>
                <w:b w:val="1"/>
                <w:bCs w:val="1"/>
                <w:color w:val="auto"/>
              </w:rPr>
              <w:t>Warrants to purchase Class A Common Stock</w:t>
            </w:r>
          </w:p>
        </w:tc>
        <w:tc>
          <w:tcPr>
            <w:tcW w:w="2480" w:type="dxa"/>
            <w:vAlign w:val="bottom"/>
          </w:tcPr>
          <w:p>
            <w:pPr>
              <w:jc w:val="center"/>
              <w:ind w:left="154"/>
              <w:spacing w:after="0"/>
              <w:rPr>
                <w:sz w:val="20"/>
                <w:szCs w:val="20"/>
                <w:color w:val="auto"/>
              </w:rPr>
            </w:pPr>
            <w:r>
              <w:rPr>
                <w:rFonts w:ascii="Times New Roman" w:cs="Times New Roman" w:eastAsia="Times New Roman" w:hAnsi="Times New Roman"/>
                <w:sz w:val="14"/>
                <w:szCs w:val="14"/>
                <w:b w:val="1"/>
                <w:bCs w:val="1"/>
                <w:color w:val="auto"/>
              </w:rPr>
              <w:t>BKKT WS</w:t>
            </w:r>
          </w:p>
        </w:tc>
        <w:tc>
          <w:tcPr>
            <w:tcW w:w="342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The New York Stock Exchange</w:t>
            </w:r>
          </w:p>
        </w:tc>
        <w:tc>
          <w:tcPr>
            <w:tcW w:w="0" w:type="dxa"/>
            <w:vAlign w:val="bottom"/>
          </w:tcPr>
          <w:p>
            <w:pPr>
              <w:spacing w:after="0"/>
              <w:rPr>
                <w:sz w:val="1"/>
                <w:szCs w:val="1"/>
                <w:color w:val="auto"/>
              </w:rPr>
            </w:pPr>
          </w:p>
        </w:tc>
      </w:tr>
    </w:tbl>
    <w:p>
      <w:pPr>
        <w:spacing w:after="0" w:line="134" w:lineRule="exact"/>
        <w:rPr>
          <w:sz w:val="24"/>
          <w:szCs w:val="24"/>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99" w:lineRule="exact"/>
        <w:rPr>
          <w:sz w:val="24"/>
          <w:szCs w:val="24"/>
          <w:color w:val="auto"/>
        </w:rPr>
      </w:pPr>
    </w:p>
    <w:p>
      <w:pPr>
        <w:ind w:right="220"/>
        <w:spacing w:after="0" w:line="18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973455</wp:posOffset>
            </wp:positionH>
            <wp:positionV relativeFrom="paragraph">
              <wp:posOffset>40640</wp:posOffset>
            </wp:positionV>
            <wp:extent cx="522160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21605" cy="698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60325</wp:posOffset>
            </wp:positionV>
            <wp:extent cx="522160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21605" cy="6985"/>
                    </a:xfrm>
                    <a:prstGeom prst="rect">
                      <a:avLst/>
                    </a:prstGeom>
                    <a:noFill/>
                  </pic:spPr>
                </pic:pic>
              </a:graphicData>
            </a:graphic>
          </wp:anchor>
        </w:drawing>
      </w:r>
    </w:p>
    <w:p>
      <w:pPr>
        <w:sectPr>
          <w:pgSz w:w="11900" w:h="16838" w:orient="portrait"/>
          <w:cols w:equalWidth="0" w:num="1">
            <w:col w:w="11280"/>
          </w:cols>
          <w:pgMar w:left="300" w:top="1396" w:right="319" w:bottom="1440" w:gutter="0" w:footer="0" w:header="0"/>
          <w:type w:val="continuous"/>
        </w:sectPr>
      </w:pPr>
    </w:p>
    <w:bookmarkStart w:id="1" w:name="page2"/>
    <w:bookmarkEnd w:id="1"/>
    <w:p>
      <w:pPr>
        <w:ind w:left="80"/>
        <w:spacing w:after="0"/>
        <w:rPr>
          <w:sz w:val="20"/>
          <w:szCs w:val="20"/>
          <w:color w:val="auto"/>
        </w:rPr>
      </w:pPr>
      <w:r>
        <w:rPr>
          <w:rFonts w:ascii="Times New Roman" w:cs="Times New Roman" w:eastAsia="Times New Roman" w:hAnsi="Times New Roman"/>
          <w:sz w:val="16"/>
          <w:szCs w:val="16"/>
          <w:b w:val="1"/>
          <w:bCs w:val="1"/>
          <w:color w:val="auto"/>
        </w:rPr>
        <w:t>Explanatory Note</w:t>
      </w:r>
    </w:p>
    <w:p>
      <w:pPr>
        <w:spacing w:after="0" w:line="295" w:lineRule="exact"/>
        <w:rPr>
          <w:sz w:val="20"/>
          <w:szCs w:val="20"/>
          <w:color w:val="auto"/>
        </w:rPr>
      </w:pPr>
    </w:p>
    <w:p>
      <w:pPr>
        <w:jc w:val="both"/>
        <w:ind w:left="80"/>
        <w:spacing w:after="0" w:line="254" w:lineRule="auto"/>
        <w:rPr>
          <w:sz w:val="20"/>
          <w:szCs w:val="20"/>
          <w:color w:val="auto"/>
        </w:rPr>
      </w:pPr>
      <w:r>
        <w:rPr>
          <w:rFonts w:ascii="Times New Roman" w:cs="Times New Roman" w:eastAsia="Times New Roman" w:hAnsi="Times New Roman"/>
          <w:sz w:val="16"/>
          <w:szCs w:val="16"/>
          <w:color w:val="auto"/>
        </w:rPr>
        <w:t>This Amendment No. 1 on Form 8-K/A (this “Amendment No. 1”) amends the Current Report on Form 8-K filed by Bakkt Holdings, Inc. (the “Company”) with the Securities and Exchange Commission on March 19, 2025 (the “Original Report”) solely to include portions of the Original Report that were inadvertently excluded from the Original Report due to a technical submission error.</w:t>
      </w:r>
    </w:p>
    <w:p>
      <w:pPr>
        <w:spacing w:after="0" w:line="252" w:lineRule="exact"/>
        <w:rPr>
          <w:sz w:val="20"/>
          <w:szCs w:val="20"/>
          <w:color w:val="auto"/>
        </w:rPr>
      </w:pPr>
    </w:p>
    <w:p>
      <w:pPr>
        <w:ind w:left="80"/>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Item 2.02</w:t>
      </w:r>
      <w:r>
        <w:rPr>
          <w:sz w:val="20"/>
          <w:szCs w:val="20"/>
          <w:color w:val="auto"/>
        </w:rPr>
        <w:tab/>
      </w:r>
      <w:r>
        <w:rPr>
          <w:rFonts w:ascii="Times New Roman" w:cs="Times New Roman" w:eastAsia="Times New Roman" w:hAnsi="Times New Roman"/>
          <w:sz w:val="14"/>
          <w:szCs w:val="14"/>
          <w:b w:val="1"/>
          <w:bCs w:val="1"/>
          <w:color w:val="auto"/>
        </w:rPr>
        <w:t>Entry into a Material Definitive Agreement.</w:t>
      </w:r>
    </w:p>
    <w:p>
      <w:pPr>
        <w:spacing w:after="0" w:line="24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On March 19, 2025, the Company issued a press release regarding the Company’s results for the year and quarter ended December 31, 2024. A copy of the press release was furnished as Exhibit 99.1 to the Original Report, which is attached hereto as Exhibit 99.1.</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information in this Item 2.02 is being furnished and shall not be deemed “filed” for purposes of Section 18 of the Securities Exchange Act of 1934, as amended (the “Exchange Act”), or otherwise subject to the liabilities of such section, nor shall it be deemed incorporated by reference in any filing under the Exchange Act or the Securities Act of 1933, as amended, except as shall be expressly set forth by specific reference in such filing.</w:t>
      </w:r>
    </w:p>
    <w:p>
      <w:pPr>
        <w:spacing w:after="0" w:line="210" w:lineRule="exact"/>
        <w:rPr>
          <w:sz w:val="20"/>
          <w:szCs w:val="20"/>
          <w:color w:val="auto"/>
        </w:rPr>
      </w:pPr>
    </w:p>
    <w:p>
      <w:pPr>
        <w:ind w:left="80"/>
        <w:spacing w:after="0"/>
        <w:tabs>
          <w:tab w:leader="none" w:pos="840" w:val="left"/>
        </w:tabs>
        <w:rPr>
          <w:sz w:val="20"/>
          <w:szCs w:val="20"/>
          <w:color w:val="auto"/>
        </w:rPr>
      </w:pPr>
      <w:r>
        <w:rPr>
          <w:rFonts w:ascii="Times New Roman" w:cs="Times New Roman" w:eastAsia="Times New Roman" w:hAnsi="Times New Roman"/>
          <w:sz w:val="16"/>
          <w:szCs w:val="16"/>
          <w:b w:val="1"/>
          <w:bCs w:val="1"/>
          <w:color w:val="auto"/>
        </w:rPr>
        <w:t>Item 9.01</w:t>
      </w:r>
      <w:r>
        <w:rPr>
          <w:sz w:val="20"/>
          <w:szCs w:val="20"/>
          <w:color w:val="auto"/>
        </w:rPr>
        <w:tab/>
      </w:r>
      <w:r>
        <w:rPr>
          <w:rFonts w:ascii="Times New Roman" w:cs="Times New Roman" w:eastAsia="Times New Roman" w:hAnsi="Times New Roman"/>
          <w:sz w:val="14"/>
          <w:szCs w:val="14"/>
          <w:b w:val="1"/>
          <w:bCs w:val="1"/>
          <w:color w:val="auto"/>
        </w:rPr>
        <w:t>Financial Statements and Exhibits.</w:t>
      </w:r>
    </w:p>
    <w:p>
      <w:pPr>
        <w:spacing w:after="0" w:line="19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i w:val="1"/>
          <w:iCs w:val="1"/>
          <w:color w:val="auto"/>
        </w:rPr>
        <w:t>(d) Exhibits</w:t>
      </w:r>
    </w:p>
    <w:p>
      <w:pPr>
        <w:spacing w:after="0" w:line="200" w:lineRule="exact"/>
        <w:rPr>
          <w:sz w:val="20"/>
          <w:szCs w:val="20"/>
          <w:color w:val="auto"/>
        </w:rPr>
      </w:pPr>
    </w:p>
    <w:p>
      <w:pPr>
        <w:spacing w:after="0" w:line="214" w:lineRule="exact"/>
        <w:rPr>
          <w:sz w:val="20"/>
          <w:szCs w:val="20"/>
          <w:color w:val="auto"/>
        </w:rPr>
      </w:pPr>
    </w:p>
    <w:p>
      <w:pPr>
        <w:ind w:left="680"/>
        <w:spacing w:after="0"/>
        <w:tabs>
          <w:tab w:leader="none" w:pos="618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00659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06590" cy="6985"/>
                    </a:xfrm>
                    <a:prstGeom prst="rect">
                      <a:avLst/>
                    </a:prstGeom>
                    <a:noFill/>
                  </pic:spPr>
                </pic:pic>
              </a:graphicData>
            </a:graphic>
          </wp:anchor>
        </w:drawing>
      </w:r>
    </w:p>
    <w:p>
      <w:pPr>
        <w:spacing w:after="0" w:line="34" w:lineRule="exact"/>
        <w:rPr>
          <w:sz w:val="20"/>
          <w:szCs w:val="20"/>
          <w:color w:val="auto"/>
        </w:rPr>
      </w:pPr>
    </w:p>
    <w:tbl>
      <w:tblPr>
        <w:tblLayout w:type="fixed"/>
        <w:tblInd w:w="900" w:type="dxa"/>
        <w:tblCellMar>
          <w:top w:w="0" w:type="dxa"/>
          <w:left w:w="0" w:type="dxa"/>
          <w:bottom w:w="0" w:type="dxa"/>
          <w:right w:w="0" w:type="dxa"/>
        </w:tblCellMar>
      </w:tblPr>
      <w:tr>
        <w:trPr>
          <w:trHeight w:val="184"/>
        </w:trPr>
        <w:tc>
          <w:tcPr>
            <w:tcW w:w="1160" w:type="dxa"/>
            <w:vAlign w:val="bottom"/>
          </w:tcPr>
          <w:p>
            <w:pPr>
              <w:jc w:val="right"/>
              <w:ind w:right="849"/>
              <w:spacing w:after="0"/>
              <w:rPr>
                <w:sz w:val="20"/>
                <w:szCs w:val="20"/>
                <w:color w:val="auto"/>
              </w:rPr>
            </w:pPr>
            <w:r>
              <w:rPr>
                <w:rFonts w:ascii="Times New Roman" w:cs="Times New Roman" w:eastAsia="Times New Roman" w:hAnsi="Times New Roman"/>
                <w:sz w:val="14"/>
                <w:szCs w:val="14"/>
                <w:color w:val="auto"/>
                <w:w w:val="89"/>
              </w:rPr>
              <w:t>99.1</w:t>
            </w:r>
          </w:p>
        </w:tc>
        <w:tc>
          <w:tcPr>
            <w:tcW w:w="45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Press Release, dated March 19, 2025</w:t>
            </w:r>
          </w:p>
        </w:tc>
      </w:tr>
      <w:tr>
        <w:trPr>
          <w:trHeight w:val="20"/>
        </w:trPr>
        <w:tc>
          <w:tcPr>
            <w:tcW w:w="1160" w:type="dxa"/>
            <w:vAlign w:val="bottom"/>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24"/>
        </w:trPr>
        <w:tc>
          <w:tcPr>
            <w:tcW w:w="1160" w:type="dxa"/>
            <w:vAlign w:val="bottom"/>
          </w:tcPr>
          <w:p>
            <w:pPr>
              <w:jc w:val="right"/>
              <w:ind w:right="869"/>
              <w:spacing w:after="0"/>
              <w:rPr>
                <w:sz w:val="20"/>
                <w:szCs w:val="20"/>
                <w:color w:val="auto"/>
              </w:rPr>
            </w:pPr>
            <w:r>
              <w:rPr>
                <w:rFonts w:ascii="Times New Roman" w:cs="Times New Roman" w:eastAsia="Times New Roman" w:hAnsi="Times New Roman"/>
                <w:sz w:val="14"/>
                <w:szCs w:val="14"/>
                <w:color w:val="auto"/>
                <w:w w:val="95"/>
              </w:rPr>
              <w:t>104</w:t>
            </w:r>
          </w:p>
        </w:tc>
        <w:tc>
          <w:tcPr>
            <w:tcW w:w="4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r>
    </w:tbl>
    <w:p>
      <w:pPr>
        <w:sectPr>
          <w:pgSz w:w="11900" w:h="16838" w:orient="portrait"/>
          <w:cols w:equalWidth="0" w:num="1">
            <w:col w:w="11280"/>
          </w:cols>
          <w:pgMar w:left="300" w:top="1106" w:right="31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189" w:lineRule="exact"/>
        <w:rPr>
          <w:sz w:val="20"/>
          <w:szCs w:val="20"/>
          <w:color w:val="auto"/>
        </w:rPr>
      </w:pPr>
    </w:p>
    <w:p>
      <w:pPr>
        <w:ind w:left="80" w:firstLine="509"/>
        <w:spacing w:after="0" w:line="235"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March 20, 2025</w:t>
      </w:r>
    </w:p>
    <w:p>
      <w:pPr>
        <w:spacing w:after="0" w:line="232"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4"/>
          <w:szCs w:val="14"/>
          <w:b w:val="1"/>
          <w:bCs w:val="1"/>
          <w:color w:val="auto"/>
        </w:rPr>
        <w:t>BAKKT HOLDINGS, INC.</w:t>
      </w:r>
    </w:p>
    <w:p>
      <w:pPr>
        <w:spacing w:after="0" w:line="202" w:lineRule="exact"/>
        <w:rPr>
          <w:sz w:val="20"/>
          <w:szCs w:val="20"/>
          <w:color w:val="auto"/>
        </w:rPr>
      </w:pPr>
    </w:p>
    <w:p>
      <w:pPr>
        <w:ind w:left="5700"/>
        <w:spacing w:after="0"/>
        <w:tabs>
          <w:tab w:leader="none" w:pos="61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Marc D'Annunzio</w:t>
      </w:r>
    </w:p>
    <w:p>
      <w:pPr>
        <w:spacing w:after="0" w:line="23" w:lineRule="exact"/>
        <w:rPr>
          <w:sz w:val="20"/>
          <w:szCs w:val="20"/>
          <w:color w:val="auto"/>
        </w:rPr>
      </w:pPr>
    </w:p>
    <w:tbl>
      <w:tblPr>
        <w:tblLayout w:type="fixed"/>
        <w:tblInd w:w="5700" w:type="dxa"/>
        <w:tblCellMar>
          <w:top w:w="0" w:type="dxa"/>
          <w:left w:w="0" w:type="dxa"/>
          <w:bottom w:w="0" w:type="dxa"/>
          <w:right w:w="0" w:type="dxa"/>
        </w:tblCellMar>
      </w:tblPr>
      <w:tr>
        <w:trPr>
          <w:trHeight w:val="167"/>
        </w:trPr>
        <w:tc>
          <w:tcPr>
            <w:tcW w:w="100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Name:</w:t>
            </w:r>
          </w:p>
        </w:tc>
        <w:tc>
          <w:tcPr>
            <w:tcW w:w="416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Marc D’Annunzio</w:t>
            </w:r>
          </w:p>
        </w:tc>
      </w:tr>
      <w:tr>
        <w:trPr>
          <w:trHeight w:val="184"/>
        </w:trPr>
        <w:tc>
          <w:tcPr>
            <w:tcW w:w="10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Title:</w:t>
            </w:r>
          </w:p>
        </w:tc>
        <w:tc>
          <w:tcPr>
            <w:tcW w:w="41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General Counsel and Secretary</w:t>
            </w:r>
          </w:p>
        </w:tc>
      </w:tr>
    </w:tbl>
    <w:p>
      <w:pPr>
        <w:sectPr>
          <w:pgSz w:w="11900" w:h="16838" w:orient="portrait"/>
          <w:cols w:equalWidth="0" w:num="1">
            <w:col w:w="11200"/>
          </w:cols>
          <w:pgMar w:left="300" w:top="1106" w:right="39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2025-03-20T06:44:20Z</dcterms:created>
  <dcterms:modified xsi:type="dcterms:W3CDTF">2025-03-20T06:44:20Z</dcterms:modified>
</cp:coreProperties>
</file>