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Zemlin Sheela</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01/21/2022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85"/>
        <w:spacing w:after="0"/>
        <w:rPr>
          <w:sz w:val="20"/>
          <w:szCs w:val="20"/>
          <w:color w:val="auto"/>
        </w:rPr>
      </w:pPr>
      <w:r>
        <w:rPr>
          <w:rFonts w:ascii="Arial" w:cs="Arial" w:eastAsia="Arial" w:hAnsi="Arial"/>
          <w:sz w:val="17"/>
          <w:szCs w:val="17"/>
          <w:color w:val="0000FF"/>
        </w:rPr>
        <w:t>EVP, Chief Revenue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200,000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266,667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266,667 shares of Class A Common Stock subject to RSU awards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Sheela</w:t>
      </w:r>
      <w:r>
        <w:rPr>
          <w:sz w:val="20"/>
          <w:szCs w:val="20"/>
          <w:color w:val="auto"/>
        </w:rPr>
        <w:tab/>
      </w:r>
      <w:r>
        <w:rPr>
          <w:rFonts w:ascii="Arial" w:cs="Arial" w:eastAsia="Arial" w:hAnsi="Arial"/>
          <w:sz w:val="15"/>
          <w:szCs w:val="15"/>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Zemlin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28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2022-01-25T16:24:54Z</dcterms:created>
  <dcterms:modified xsi:type="dcterms:W3CDTF">2022-01-25T16:24:54Z</dcterms:modified>
</cp:coreProperties>
</file>