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LaBenne Andrew</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Bakkt Holdings,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BKKT</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40" w:type="dxa"/>
            <w:vAlign w:val="bottom"/>
            <w:tcBorders>
              <w:top w:val="single" w:sz="8" w:color="0000EE"/>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Arial" w:cs="Arial" w:eastAsia="Arial" w:hAnsi="Arial"/>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Arial" w:cs="Arial" w:eastAsia="Arial" w:hAnsi="Arial"/>
                <w:sz w:val="17"/>
                <w:szCs w:val="17"/>
                <w:color w:val="0000FF"/>
              </w:rPr>
              <w:t>02/15/2022</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30009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02/15/2022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87,491</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354,158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("RSUs"). Each RSU represents a contingent right to receive one share of the Issuer's Class A Common Stock. Subject to the Reporting Person's continuing employment with the Issuer, the RSU will vest in three equal annual installments on the first three anniversaries of February 1, 2022, provided that the Reporting Person continues to be employed by the Issuer as of each vest date.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354,158 shares of Class A Common Stock subject to RSUs that remain subject to vesting.</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Andrew</w:t>
      </w:r>
      <w:r>
        <w:rPr>
          <w:sz w:val="20"/>
          <w:szCs w:val="20"/>
          <w:color w:val="auto"/>
        </w:rPr>
        <w:tab/>
      </w:r>
      <w:r>
        <w:rPr>
          <w:rFonts w:ascii="Arial" w:cs="Arial" w:eastAsia="Arial" w:hAnsi="Arial"/>
          <w:sz w:val="15"/>
          <w:szCs w:val="15"/>
          <w:color w:val="0000FF"/>
        </w:rPr>
        <w:t>02/17/2022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LaBenne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6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87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47231"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2022-02-17T18:12:55Z</dcterms:created>
  <dcterms:modified xsi:type="dcterms:W3CDTF">2022-02-17T18:12:55Z</dcterms:modified>
</cp:coreProperties>
</file>