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s3098627_sc13da.htm"/>
      <w:bookmarkStart w:id="1" w:name="ksss3098627_sc13da"/>
      <w:bookmarkEnd w:id="0"/>
      <w:bookmarkEnd w:id="1"/>
      <w:r>
        <w:rPr>
          <w:bdr w:val="single" w:sz="16" w:space="1" w:color="000000"/>
        </w:rPr>
        <w:t> </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br/>
        <w:t>SECURITIES AND EXCHANGE COMMISSION</w:t>
        <w:br/>
        <w:t>Washington, D.C. 20549</w:t>
      </w:r>
    </w:p>
    <w:p>
      <w:pPr>
        <w:pStyle w:val="TextBody"/>
        <w:bidi w:val="0"/>
        <w:spacing w:before="0" w:after="24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13D</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Under the Securities Exchange Act of 1934</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(Amendment No. 3)</w:t>
      </w:r>
    </w:p>
    <w:p>
      <w:pPr>
        <w:pStyle w:val="TextBody"/>
        <w:pBdr>
          <w:bottom w:val="single" w:sz="4" w:space="1" w:color="000000"/>
        </w:pBdr>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BAKKT HOLDINGS, INC.</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(Name of Issuer)</w:t>
      </w:r>
    </w:p>
    <w:p>
      <w:pPr>
        <w:pStyle w:val="TextBody"/>
        <w:pBdr>
          <w:bottom w:val="single" w:sz="4" w:space="1" w:color="000000"/>
        </w:pBdr>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Class A Common Stock</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(Title of Class of Securities)</w:t>
      </w:r>
    </w:p>
    <w:p>
      <w:pPr>
        <w:pStyle w:val="TextBody"/>
        <w:pBdr>
          <w:bottom w:val="single" w:sz="4" w:space="1" w:color="000000"/>
        </w:pBdr>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05759B107</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(CUSIP Number)</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Andrew J. Surdykowski</w:t>
        <w:br/>
        <w:t>Intercontinental Exchange, Inc.</w:t>
        <w:br/>
        <w:t>5660 New Northside Drive</w:t>
        <w:br/>
        <w:t>Atlanta, GA 30328</w:t>
        <w:br/>
        <w:t>770-857-4700</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With a Copy to:</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Rory B. O’Halloran</w:t>
        <w:br/>
        <w:t>Cody Wright</w:t>
        <w:br/>
        <w:t>Shearman &amp; Sterling LLP</w:t>
        <w:br/>
        <w:t>599 Lexington Avenue</w:t>
        <w:br/>
        <w:t>New York, NY 10022-6069</w:t>
        <w:br/>
        <w:t>212-848-4000</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(Name, Address and Telephone Number of Person Authorized</w:t>
        <w:br/>
        <w:t>to Receive Notices and Communications)</w:t>
      </w:r>
    </w:p>
    <w:p>
      <w:pPr>
        <w:pStyle w:val="TextBody"/>
        <w:pBdr>
          <w:bottom w:val="single" w:sz="4" w:space="1" w:color="000000"/>
        </w:pBdr>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February 29, 2024</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(Date of Event Which Requires Filing of this Statement)</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Note</w:t>
      </w:r>
      <w:r>
        <w:rPr>
          <w:rFonts w:ascii="Times New Roman;Times;Serif" w:hAnsi="Times New Roman;Times;Serif"/>
          <w:b w:val="false"/>
          <w:i w:val="false"/>
          <w:caps w:val="false"/>
          <w:smallCaps w:val="false"/>
          <w:sz w:val="24"/>
        </w:rPr>
        <w:t>: Schedules filed in paper format shall include a signed original and five copies of the schedule, including all exhibits. See Rule 13d-7 for other parties to whom copies are to be sent.</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information required on the remainder of this cover page shall not be deemed to be “filed” for the purpose of Section 18 of the Securities Exchange Act of 1934 (“</w:t>
      </w:r>
      <w:r>
        <w:rPr>
          <w:rFonts w:ascii="Times New Roman;Times;Serif" w:hAnsi="Times New Roman;Times;Serif"/>
          <w:b w:val="false"/>
          <w:i w:val="false"/>
          <w:caps w:val="false"/>
          <w:smallCaps w:val="false"/>
          <w:sz w:val="24"/>
          <w:u w:val="single"/>
        </w:rPr>
        <w:t>Act</w:t>
      </w:r>
      <w:r>
        <w:rPr>
          <w:rFonts w:ascii="Times New Roman;Times;Serif" w:hAnsi="Times New Roman;Times;Serif"/>
          <w:b w:val="false"/>
          <w:i w:val="false"/>
          <w:caps w:val="false"/>
          <w:smallCaps w:val="false"/>
          <w:sz w:val="24"/>
        </w:rPr>
        <w:t>”) or otherwise subject to the liabilities of that section of the Act but shall be subject to all other provisions of the Act (however, see the Notes).</w:t>
      </w:r>
    </w:p>
    <w:p>
      <w:pPr>
        <w:pStyle w:val="TextBody"/>
        <w:bidi w:val="0"/>
        <w:spacing w:before="60" w:after="24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SCHEDULE 13D</w:t>
      </w:r>
      <w:r>
        <w:rPr>
          <w:rFonts w:ascii="Times New Roman;Times;Serif" w:hAnsi="Times New Roman;Times;Serif"/>
          <w:b w:val="false"/>
          <w:i w:val="false"/>
          <w:caps w:val="false"/>
          <w:smallCaps w:val="false"/>
          <w:sz w:val="24"/>
        </w:rPr>
        <w:t> </w:t>
      </w:r>
      <w:r>
        <w:rPr>
          <w:rFonts w:ascii="Times New Roman;Times;Serif" w:hAnsi="Times New Roman;Times;Serif"/>
          <w:b w:val="false"/>
          <w:i w:val="false"/>
          <w:caps w:val="false"/>
          <w:smallCaps w:val="false"/>
          <w:position w:val="8"/>
          <w:sz w:val="19"/>
          <w:sz w:val="24"/>
          <w:shd w:fill="FFFFFF" w:val="clear"/>
        </w:rPr>
        <w:t> </w:t>
      </w:r>
    </w:p>
    <w:tbl>
      <w:tblPr>
        <w:tblW w:w="2390" w:type="dxa"/>
        <w:jc w:val="left"/>
        <w:tblInd w:w="-10" w:type="dxa"/>
        <w:tblLayout w:type="fixed"/>
        <w:tblCellMar>
          <w:top w:w="28" w:type="dxa"/>
          <w:left w:w="108" w:type="dxa"/>
          <w:bottom w:w="28" w:type="dxa"/>
          <w:right w:w="108" w:type="dxa"/>
        </w:tblCellMar>
      </w:tblPr>
      <w:tblGrid>
        <w:gridCol w:w="2390"/>
      </w:tblGrid>
      <w:tr>
        <w:trPr/>
        <w:tc>
          <w:tcPr>
            <w:tcW w:w="23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CUSIP No. 05759B107</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40" w:type="dxa"/>
          <w:right w:w="108" w:type="dxa"/>
        </w:tblCellMar>
      </w:tblPr>
      <w:tblGrid>
        <w:gridCol w:w="828"/>
        <w:gridCol w:w="3418"/>
        <w:gridCol w:w="3596"/>
        <w:gridCol w:w="1224"/>
        <w:gridCol w:w="1139"/>
      </w:tblGrid>
      <w:tr>
        <w:trPr/>
        <w:tc>
          <w:tcPr>
            <w:tcW w:w="82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w:t>
            </w:r>
          </w:p>
        </w:tc>
        <w:tc>
          <w:tcPr>
            <w:tcW w:w="9377" w:type="dxa"/>
            <w:gridSpan w:val="4"/>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0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NAME OF REPORTING PERSONS</w:t>
            </w:r>
          </w:p>
          <w:p>
            <w:pPr>
              <w:pStyle w:val="TableContents"/>
              <w:bidi w:val="0"/>
              <w:spacing w:before="0" w:after="20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Intercontinental Exchange, Inc.</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2</w:t>
            </w:r>
          </w:p>
        </w:tc>
        <w:tc>
          <w:tcPr>
            <w:tcW w:w="9377" w:type="dxa"/>
            <w:gridSpan w:val="4"/>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0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CHECK THE APPROPRIATE BOX IF A MEMBER OF A GROUP</w:t>
              <w:br/>
            </w:r>
            <w:r>
              <w:rPr>
                <w:rFonts w:ascii="Times New Roman;Times;Serif" w:hAnsi="Times New Roman;Times;Serif"/>
                <w:b/>
                <w:i w:val="false"/>
                <w:caps w:val="false"/>
                <w:smallCaps w:val="false"/>
                <w:sz w:val="20"/>
              </w:rPr>
              <w:t>(See Instructions)</w:t>
            </w:r>
          </w:p>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w:t>
            </w:r>
          </w:p>
          <w:p>
            <w:pPr>
              <w:pStyle w:val="TableContents"/>
              <w:bidi w:val="0"/>
              <w:spacing w:before="0" w:after="20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 ☒</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3</w:t>
            </w:r>
          </w:p>
        </w:tc>
        <w:tc>
          <w:tcPr>
            <w:tcW w:w="937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 USE ONLY</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4</w:t>
            </w:r>
          </w:p>
        </w:tc>
        <w:tc>
          <w:tcPr>
            <w:tcW w:w="9377" w:type="dxa"/>
            <w:gridSpan w:val="4"/>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0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SOURCE OF FUNDS </w:t>
            </w:r>
            <w:r>
              <w:rPr>
                <w:rFonts w:ascii="Times New Roman;Times;Serif" w:hAnsi="Times New Roman;Times;Serif"/>
                <w:b/>
                <w:i w:val="false"/>
                <w:caps w:val="false"/>
                <w:smallCaps w:val="false"/>
                <w:sz w:val="20"/>
              </w:rPr>
              <w:t>(See Instructions)</w:t>
            </w:r>
          </w:p>
          <w:p>
            <w:pPr>
              <w:pStyle w:val="TableContents"/>
              <w:bidi w:val="0"/>
              <w:spacing w:before="0" w:after="20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WC; OO</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5</w:t>
            </w:r>
          </w:p>
        </w:tc>
        <w:tc>
          <w:tcPr>
            <w:tcW w:w="8238" w:type="dxa"/>
            <w:gridSpan w:val="3"/>
            <w:tcBorders>
              <w:bottom w:val="single" w:sz="8" w:space="0" w:color="000000"/>
            </w:tcBorders>
            <w:tcMar>
              <w:top w:w="0" w:type="dxa"/>
              <w:left w:w="0" w:type="dxa"/>
              <w:bottom w:w="12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CHECK BOX IF DISCLOSURE OF LEGAL PROCEEDINGS IS REQUIRED PURSUANT TO ITEMS 2(d) or 2(e)</w:t>
            </w:r>
          </w:p>
        </w:tc>
        <w:tc>
          <w:tcPr>
            <w:tcW w:w="113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caps w:val="false"/>
                <w:smallCaps w:val="false"/>
              </w:rPr>
            </w:pPr>
            <w:r>
              <w:rPr>
                <w:caps w:val="false"/>
                <w:smallCaps w:val="false"/>
              </w:rPr>
              <w:t>☐</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6</w:t>
            </w:r>
          </w:p>
        </w:tc>
        <w:tc>
          <w:tcPr>
            <w:tcW w:w="9377" w:type="dxa"/>
            <w:gridSpan w:val="4"/>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CITIZENSHIP OR PLACE OF ORGANIZATION</w:t>
            </w:r>
          </w:p>
          <w:p>
            <w:pPr>
              <w:pStyle w:val="TableContents"/>
              <w:bidi w:val="0"/>
              <w:spacing w:before="0" w:after="20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Delaware</w:t>
            </w:r>
          </w:p>
        </w:tc>
      </w:tr>
      <w:tr>
        <w:trPr/>
        <w:tc>
          <w:tcPr>
            <w:tcW w:w="4246"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NUMBER OF SHARES BENEFICIALLY OWNED BY EACH REPORTING PERSON WITH</w:t>
            </w:r>
          </w:p>
        </w:tc>
        <w:tc>
          <w:tcPr>
            <w:tcW w:w="35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7</w:t>
            </w:r>
          </w:p>
        </w:tc>
        <w:tc>
          <w:tcPr>
            <w:tcW w:w="2363" w:type="dxa"/>
            <w:gridSpan w:val="2"/>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SOLE VOTING POWER</w:t>
            </w:r>
          </w:p>
          <w:p>
            <w:pPr>
              <w:pStyle w:val="TableContents"/>
              <w:bidi w:val="0"/>
              <w:spacing w:before="0" w:after="20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0</w:t>
            </w:r>
          </w:p>
        </w:tc>
      </w:tr>
      <w:tr>
        <w:trPr/>
        <w:tc>
          <w:tcPr>
            <w:tcW w:w="4246"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5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8</w:t>
            </w:r>
          </w:p>
        </w:tc>
        <w:tc>
          <w:tcPr>
            <w:tcW w:w="2363" w:type="dxa"/>
            <w:gridSpan w:val="2"/>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SHARED VOTING POWER</w:t>
            </w:r>
          </w:p>
          <w:p>
            <w:pPr>
              <w:pStyle w:val="TableContents"/>
              <w:bidi w:val="0"/>
              <w:spacing w:before="0" w:after="20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177,555,807 </w:t>
            </w:r>
            <w:r>
              <w:rPr>
                <w:rFonts w:ascii="Times New Roman;Times;Serif" w:hAnsi="Times New Roman;Times;Serif"/>
                <w:b w:val="false"/>
                <w:i w:val="false"/>
                <w:caps w:val="false"/>
                <w:smallCaps w:val="false"/>
                <w:position w:val="8"/>
                <w:sz w:val="19"/>
                <w:sz w:val="24"/>
              </w:rPr>
              <w:t>(1)</w:t>
            </w:r>
          </w:p>
        </w:tc>
      </w:tr>
      <w:tr>
        <w:trPr/>
        <w:tc>
          <w:tcPr>
            <w:tcW w:w="4246"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5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9</w:t>
            </w:r>
          </w:p>
        </w:tc>
        <w:tc>
          <w:tcPr>
            <w:tcW w:w="2363" w:type="dxa"/>
            <w:gridSpan w:val="2"/>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SOLE DISPOSITIVE POWER</w:t>
            </w:r>
          </w:p>
          <w:p>
            <w:pPr>
              <w:pStyle w:val="TableContents"/>
              <w:bidi w:val="0"/>
              <w:spacing w:before="0" w:after="20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0</w:t>
            </w:r>
          </w:p>
        </w:tc>
      </w:tr>
      <w:tr>
        <w:trPr/>
        <w:tc>
          <w:tcPr>
            <w:tcW w:w="4246"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5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10</w:t>
            </w:r>
          </w:p>
        </w:tc>
        <w:tc>
          <w:tcPr>
            <w:tcW w:w="2363" w:type="dxa"/>
            <w:gridSpan w:val="2"/>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SHARED DISPOSITIVE POWER</w:t>
            </w:r>
          </w:p>
          <w:p>
            <w:pPr>
              <w:pStyle w:val="TableContents"/>
              <w:bidi w:val="0"/>
              <w:spacing w:before="0" w:after="20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177,555,807 </w:t>
            </w:r>
            <w:r>
              <w:rPr>
                <w:rFonts w:ascii="Times New Roman;Times;Serif" w:hAnsi="Times New Roman;Times;Serif"/>
                <w:b w:val="false"/>
                <w:i w:val="false"/>
                <w:caps w:val="false"/>
                <w:smallCaps w:val="false"/>
                <w:position w:val="8"/>
                <w:sz w:val="19"/>
                <w:sz w:val="24"/>
              </w:rPr>
              <w:t>(2)</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11</w:t>
            </w:r>
          </w:p>
        </w:tc>
        <w:tc>
          <w:tcPr>
            <w:tcW w:w="9377" w:type="dxa"/>
            <w:gridSpan w:val="4"/>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AGGREGATE AMOUNT BENEFICIALLY OWNED BY EACH REPORTING PERSON</w:t>
            </w:r>
          </w:p>
          <w:p>
            <w:pPr>
              <w:pStyle w:val="TableContents"/>
              <w:bidi w:val="0"/>
              <w:spacing w:before="0" w:after="20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177,555,807</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12</w:t>
            </w:r>
          </w:p>
        </w:tc>
        <w:tc>
          <w:tcPr>
            <w:tcW w:w="823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CHECK BOX IF THE AGGREGATE AMOUNT IN ROW (11) EXCLUDES CERTAIN SHARES </w:t>
            </w:r>
            <w:r>
              <w:rPr>
                <w:rFonts w:ascii="Times New Roman;Times;Serif" w:hAnsi="Times New Roman;Times;Serif"/>
                <w:b/>
                <w:i w:val="false"/>
                <w:caps w:val="false"/>
                <w:smallCaps w:val="false"/>
                <w:sz w:val="20"/>
              </w:rPr>
              <w:t>(See Instructions)</w:t>
            </w:r>
          </w:p>
        </w:tc>
        <w:tc>
          <w:tcPr>
            <w:tcW w:w="113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caps w:val="false"/>
                <w:smallCaps w:val="false"/>
              </w:rPr>
            </w:pPr>
            <w:r>
              <w:rPr>
                <w:caps w:val="false"/>
                <w:smallCaps w:val="false"/>
              </w:rPr>
              <w:t>☒</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13</w:t>
            </w:r>
          </w:p>
        </w:tc>
        <w:tc>
          <w:tcPr>
            <w:tcW w:w="9377" w:type="dxa"/>
            <w:gridSpan w:val="4"/>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PERCENT OF CLASS REPRESENTED BY AMOUNT IN ROW (11)</w:t>
            </w:r>
          </w:p>
          <w:p>
            <w:pPr>
              <w:pStyle w:val="TableContents"/>
              <w:bidi w:val="0"/>
              <w:spacing w:before="0" w:after="20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56.6% </w:t>
            </w:r>
            <w:r>
              <w:rPr>
                <w:rFonts w:ascii="Times New Roman;Times;Serif" w:hAnsi="Times New Roman;Times;Serif"/>
                <w:b w:val="false"/>
                <w:i w:val="false"/>
                <w:caps w:val="false"/>
                <w:smallCaps w:val="false"/>
                <w:position w:val="8"/>
                <w:sz w:val="19"/>
                <w:sz w:val="24"/>
              </w:rPr>
              <w:t>(3)</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14</w:t>
            </w:r>
          </w:p>
        </w:tc>
        <w:tc>
          <w:tcPr>
            <w:tcW w:w="9377" w:type="dxa"/>
            <w:gridSpan w:val="4"/>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TYPE OF REPORTING PERSON </w:t>
            </w:r>
            <w:r>
              <w:rPr>
                <w:rFonts w:ascii="Times New Roman;Times;Serif" w:hAnsi="Times New Roman;Times;Serif"/>
                <w:b/>
                <w:i w:val="false"/>
                <w:caps w:val="false"/>
                <w:smallCaps w:val="false"/>
                <w:sz w:val="20"/>
              </w:rPr>
              <w:t>(See Instructions)</w:t>
            </w:r>
          </w:p>
          <w:p>
            <w:pPr>
              <w:pStyle w:val="TableContents"/>
              <w:bidi w:val="0"/>
              <w:spacing w:before="0" w:after="20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w:t>
            </w:r>
          </w:p>
        </w:tc>
      </w:tr>
      <w:tr>
        <w:trPr/>
        <w:tc>
          <w:tcPr>
            <w:tcW w:w="828"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3418"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359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1139"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position w:val="8"/>
          <w:sz w:val="19"/>
          <w:shd w:fill="FFFFFF" w:val="clear"/>
        </w:rPr>
      </w:pPr>
      <w:r>
        <w:rPr>
          <w:caps w:val="false"/>
          <w:smallCaps w:val="false"/>
          <w:position w:val="8"/>
          <w:sz w:val="19"/>
          <w:shd w:fill="FFFFFF" w:val="clear"/>
        </w:rPr>
        <w:t> </w:t>
      </w:r>
    </w:p>
    <w:p>
      <w:pPr>
        <w:pStyle w:val="HorizontalLine"/>
        <w:pBdr>
          <w:bottom w:val="double" w:sz="2" w:space="0" w:color="808080"/>
        </w:pBdr>
        <w:bidi w:val="0"/>
        <w:jc w:val="left"/>
        <w:rPr/>
      </w:pPr>
      <w:r>
        <w:rPr/>
      </w:r>
    </w:p>
    <w:p>
      <w:pPr>
        <w:pStyle w:val="TextBody"/>
        <w:bidi w:val="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position w:val="7"/>
          <w:sz w:val="16"/>
          <w:sz w:val="20"/>
          <w:shd w:fill="FFFFFF" w:val="clear"/>
        </w:rPr>
        <w:t xml:space="preserve">(1) </w:t>
      </w:r>
      <w:r>
        <w:rPr>
          <w:rFonts w:ascii="Times New Roman;Times;Serif" w:hAnsi="Times New Roman;Times;Serif"/>
          <w:b w:val="false"/>
          <w:i w:val="false"/>
          <w:caps w:val="false"/>
          <w:smallCaps w:val="false"/>
          <w:sz w:val="20"/>
          <w:shd w:fill="FFFFFF" w:val="clear"/>
        </w:rPr>
        <w:t>Based on (i) 7,476,345 shares of Class A common stock, par value $0.0001 per share (“</w:t>
      </w:r>
      <w:r>
        <w:rPr>
          <w:rFonts w:ascii="Times New Roman;Times;Serif" w:hAnsi="Times New Roman;Times;Serif"/>
          <w:b w:val="false"/>
          <w:i w:val="false"/>
          <w:caps w:val="false"/>
          <w:smallCaps w:val="false"/>
          <w:sz w:val="20"/>
          <w:u w:val="single"/>
          <w:shd w:fill="FFFFFF" w:val="clear"/>
        </w:rPr>
        <w:t>Class A Common Stock</w:t>
      </w:r>
      <w:r>
        <w:rPr>
          <w:rFonts w:ascii="Times New Roman;Times;Serif" w:hAnsi="Times New Roman;Times;Serif"/>
          <w:b w:val="false"/>
          <w:i w:val="false"/>
          <w:caps w:val="false"/>
          <w:smallCaps w:val="false"/>
          <w:sz w:val="20"/>
          <w:shd w:fill="FFFFFF" w:val="clear"/>
        </w:rPr>
        <w:t>”), of Bakkt Holdings, Inc. (the “</w:t>
      </w:r>
      <w:r>
        <w:rPr>
          <w:rFonts w:ascii="Times New Roman;Times;Serif" w:hAnsi="Times New Roman;Times;Serif"/>
          <w:b w:val="false"/>
          <w:i w:val="false"/>
          <w:caps w:val="false"/>
          <w:smallCaps w:val="false"/>
          <w:sz w:val="20"/>
          <w:u w:val="single"/>
          <w:shd w:fill="FFFFFF" w:val="clear"/>
        </w:rPr>
        <w:t>Issuer</w:t>
      </w:r>
      <w:r>
        <w:rPr>
          <w:rFonts w:ascii="Times New Roman;Times;Serif" w:hAnsi="Times New Roman;Times;Serif"/>
          <w:b w:val="false"/>
          <w:i w:val="false"/>
          <w:caps w:val="false"/>
          <w:smallCaps w:val="false"/>
          <w:sz w:val="20"/>
          <w:shd w:fill="FFFFFF" w:val="clear"/>
        </w:rPr>
        <w:t>”) and (ii) 170,079,462 shares of Class V common stock, par value $0.0001 per share (“</w:t>
      </w:r>
      <w:r>
        <w:rPr>
          <w:rFonts w:ascii="Times New Roman;Times;Serif" w:hAnsi="Times New Roman;Times;Serif"/>
          <w:b w:val="false"/>
          <w:i w:val="false"/>
          <w:caps w:val="false"/>
          <w:smallCaps w:val="false"/>
          <w:sz w:val="20"/>
          <w:u w:val="single"/>
          <w:shd w:fill="FFFFFF" w:val="clear"/>
        </w:rPr>
        <w:t>Class V Common Stock</w:t>
      </w:r>
      <w:r>
        <w:rPr>
          <w:rFonts w:ascii="Times New Roman;Times;Serif" w:hAnsi="Times New Roman;Times;Serif"/>
          <w:b w:val="false"/>
          <w:i w:val="false"/>
          <w:caps w:val="false"/>
          <w:smallCaps w:val="false"/>
          <w:sz w:val="20"/>
          <w:shd w:fill="FFFFFF" w:val="clear"/>
        </w:rPr>
        <w:t>”, and together with the Class A Common Stock, the “</w:t>
      </w:r>
      <w:r>
        <w:rPr>
          <w:rFonts w:ascii="Times New Roman;Times;Serif" w:hAnsi="Times New Roman;Times;Serif"/>
          <w:b w:val="false"/>
          <w:i w:val="false"/>
          <w:caps w:val="false"/>
          <w:smallCaps w:val="false"/>
          <w:sz w:val="20"/>
          <w:u w:val="single"/>
          <w:shd w:fill="FFFFFF" w:val="clear"/>
        </w:rPr>
        <w:t>Common Stock</w:t>
      </w:r>
      <w:r>
        <w:rPr>
          <w:rFonts w:ascii="Times New Roman;Times;Serif" w:hAnsi="Times New Roman;Times;Serif"/>
          <w:b w:val="false"/>
          <w:i w:val="false"/>
          <w:caps w:val="false"/>
          <w:smallCaps w:val="false"/>
          <w:sz w:val="20"/>
          <w:shd w:fill="FFFFFF" w:val="clear"/>
        </w:rPr>
        <w:t>”), of the Issuer beneficially owned by the Reporting Person as of the date hereof. This amount excludes 2,762,008 shares of Class A Common Stock underlying the Initial Closing Warrants (as defined in Item 6 of this Amendment) that are not exercisable until September 4, 2024, as described further in Item 6 of this Amendment. As reported herein, the Reporting Persons beneficially own 56.6% of the Common Stock; however, the voting power of the Reporting Persons in respect of the Common Stock is reduced to 30% pursuant to the Voting Agreement between Intercontinental Exchange Holdings, Inc. (“</w:t>
      </w:r>
      <w:r>
        <w:rPr>
          <w:rFonts w:ascii="Times New Roman;Times;Serif" w:hAnsi="Times New Roman;Times;Serif"/>
          <w:b w:val="false"/>
          <w:i w:val="false"/>
          <w:caps w:val="false"/>
          <w:smallCaps w:val="false"/>
          <w:sz w:val="20"/>
          <w:u w:val="single"/>
          <w:shd w:fill="FFFFFF" w:val="clear"/>
        </w:rPr>
        <w:t>ICEH</w:t>
      </w:r>
      <w:r>
        <w:rPr>
          <w:rFonts w:ascii="Times New Roman;Times;Serif" w:hAnsi="Times New Roman;Times;Serif"/>
          <w:b w:val="false"/>
          <w:i w:val="false"/>
          <w:caps w:val="false"/>
          <w:smallCaps w:val="false"/>
          <w:sz w:val="20"/>
          <w:shd w:fill="FFFFFF" w:val="clear"/>
        </w:rPr>
        <w:t>”), a wholly owned subsidiary of Intercontinental Exchange, Inc. (“</w:t>
      </w:r>
      <w:r>
        <w:rPr>
          <w:rFonts w:ascii="Times New Roman;Times;Serif" w:hAnsi="Times New Roman;Times;Serif"/>
          <w:b w:val="false"/>
          <w:i w:val="false"/>
          <w:caps w:val="false"/>
          <w:smallCaps w:val="false"/>
          <w:sz w:val="20"/>
          <w:u w:val="single"/>
          <w:shd w:fill="FFFFFF" w:val="clear"/>
        </w:rPr>
        <w:t>ICE</w:t>
      </w:r>
      <w:r>
        <w:rPr>
          <w:rFonts w:ascii="Times New Roman;Times;Serif" w:hAnsi="Times New Roman;Times;Serif"/>
          <w:b w:val="false"/>
          <w:i w:val="false"/>
          <w:caps w:val="false"/>
          <w:smallCaps w:val="false"/>
          <w:sz w:val="20"/>
          <w:shd w:fill="FFFFFF" w:val="clear"/>
        </w:rPr>
        <w:t>”), and the Issuer, so long as ICEH and its affiliates own 50% or more of the total voting power of the Issuer, as described further in Item 6 of the Initial Schedule 13D.</w:t>
      </w:r>
    </w:p>
    <w:p>
      <w:pPr>
        <w:pStyle w:val="TextBody"/>
        <w:bidi w:val="0"/>
        <w:jc w:val="left"/>
        <w:rPr>
          <w:caps w:val="false"/>
          <w:smallCaps w:val="false"/>
          <w:shd w:fill="FFFFFF" w:val="clear"/>
        </w:rPr>
      </w:pPr>
      <w:r>
        <w:rPr>
          <w:caps w:val="false"/>
          <w:smallCaps w:val="false"/>
          <w:shd w:fill="FFFFFF" w:val="clear"/>
        </w:rPr>
        <w:t> </w:t>
      </w:r>
    </w:p>
    <w:p>
      <w:pPr>
        <w:pStyle w:val="TextBody"/>
        <w:bidi w:val="0"/>
        <w:spacing w:before="0" w:after="20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position w:val="7"/>
          <w:sz w:val="16"/>
          <w:sz w:val="20"/>
          <w:shd w:fill="FFFFFF" w:val="clear"/>
        </w:rPr>
        <w:t>(2)</w:t>
      </w:r>
      <w:r>
        <w:rPr>
          <w:rFonts w:ascii="Times New Roman;Times;Serif" w:hAnsi="Times New Roman;Times;Serif"/>
          <w:b w:val="false"/>
          <w:i w:val="false"/>
          <w:caps w:val="false"/>
          <w:smallCaps w:val="false"/>
          <w:sz w:val="20"/>
          <w:shd w:fill="FFFFFF" w:val="clear"/>
        </w:rPr>
        <w:t xml:space="preserve"> Based on (i) 7,476,345 shares of Class A Common Stock and (ii) 170,079,462 shares of Class V Common Stock beneficially owned by the Reporting Person as of the date hereof. As described in note 1 above, this amount excludes 2,762,008 shares of Class A Common Stock underlying the Initial Closing Warrants that are not exercisable until September 4, 2024, as described further in Item 6 of this Amendment.</w:t>
      </w:r>
    </w:p>
    <w:p>
      <w:pPr>
        <w:pStyle w:val="TextBody"/>
        <w:bidi w:val="0"/>
        <w:spacing w:before="0" w:after="20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position w:val="7"/>
          <w:sz w:val="16"/>
          <w:sz w:val="20"/>
          <w:shd w:fill="FFFFFF" w:val="clear"/>
        </w:rPr>
        <w:t xml:space="preserve">(3) </w:t>
      </w:r>
      <w:r>
        <w:rPr>
          <w:rFonts w:ascii="Times New Roman;Times;Serif" w:hAnsi="Times New Roman;Times;Serif"/>
          <w:b w:val="false"/>
          <w:i w:val="false"/>
          <w:caps w:val="false"/>
          <w:smallCaps w:val="false"/>
          <w:sz w:val="20"/>
          <w:shd w:fill="FFFFFF" w:val="clear"/>
        </w:rPr>
        <w:t>Based on a total of 313,880,510 shares of Common Stock, consisting of 96,317,490 shares of Class A Common Stock and 179,883,479 shares of Class V Common Stock, outstanding as of February 28, 2024, as reported in the Issuer’s prospectus supplements filed with the Securities and Exchange Commission (“</w:t>
      </w:r>
      <w:r>
        <w:rPr>
          <w:rFonts w:ascii="Times New Roman;Times;Serif" w:hAnsi="Times New Roman;Times;Serif"/>
          <w:b w:val="false"/>
          <w:i w:val="false"/>
          <w:caps w:val="false"/>
          <w:smallCaps w:val="false"/>
          <w:sz w:val="20"/>
          <w:u w:val="single"/>
          <w:shd w:fill="FFFFFF" w:val="clear"/>
        </w:rPr>
        <w:t>SEC</w:t>
      </w:r>
      <w:r>
        <w:rPr>
          <w:rFonts w:ascii="Times New Roman;Times;Serif" w:hAnsi="Times New Roman;Times;Serif"/>
          <w:b w:val="false"/>
          <w:i w:val="false"/>
          <w:caps w:val="false"/>
          <w:smallCaps w:val="false"/>
          <w:sz w:val="20"/>
          <w:shd w:fill="FFFFFF" w:val="clear"/>
        </w:rPr>
        <w:t>”) on March 1, 2024 pursuant to Rule 424(b)(5), and 37,679,541 shares of Class A Common Stock issued on March 4, 2024 (which excludes 11,218,570 shares of Class A Common Stock underlying the Pre-Funded Warrants (as defined in Item 6 of this Amendment)), in the Concurrent Offerings (as defined in Item 6 of this Amendment), based on information contained in the Issuer’s Current Report on Form 8-K filed with the SEC on March 4, 2024. As described in note 1 above, the Reporting Persons beneficially own 56.6% of the Common Stock; however, the Reporting Persons’ voting power in respect of the Common Stock is reduced to 30% pursuant to the Voting Agreement between ICEH, a wholly owned subsidiary of ICE, and the Issuer, so long as ICEH and its affiliates own 50% or more of the total voting power of the Issuer, as described further in Item 6 of the Amended Schedule 13D. As of the date hereof, the Reporting Person beneficially owns 5.6% of the outstanding shares of Class A Common Stock (excluding any shares of Class V Common Stock).</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2 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SCHEDULE 13D</w:t>
      </w:r>
    </w:p>
    <w:p>
      <w:pPr>
        <w:pStyle w:val="TextBody"/>
        <w:bidi w:val="0"/>
        <w:jc w:val="left"/>
        <w:rPr>
          <w:caps w:val="false"/>
          <w:smallCaps w:val="false"/>
        </w:rPr>
      </w:pPr>
      <w:r>
        <w:rPr>
          <w:caps w:val="false"/>
          <w:smallCaps w:val="false"/>
        </w:rPr>
        <w:t> </w:t>
      </w:r>
    </w:p>
    <w:tbl>
      <w:tblPr>
        <w:tblW w:w="2390" w:type="dxa"/>
        <w:jc w:val="left"/>
        <w:tblInd w:w="-10" w:type="dxa"/>
        <w:tblLayout w:type="fixed"/>
        <w:tblCellMar>
          <w:top w:w="28" w:type="dxa"/>
          <w:left w:w="108" w:type="dxa"/>
          <w:bottom w:w="28" w:type="dxa"/>
          <w:right w:w="108" w:type="dxa"/>
        </w:tblCellMar>
      </w:tblPr>
      <w:tblGrid>
        <w:gridCol w:w="2390"/>
      </w:tblGrid>
      <w:tr>
        <w:trPr/>
        <w:tc>
          <w:tcPr>
            <w:tcW w:w="23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CUSIP No. 05759B107</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40" w:type="dxa"/>
          <w:right w:w="108" w:type="dxa"/>
        </w:tblCellMar>
      </w:tblPr>
      <w:tblGrid>
        <w:gridCol w:w="828"/>
        <w:gridCol w:w="3418"/>
        <w:gridCol w:w="3597"/>
        <w:gridCol w:w="1224"/>
        <w:gridCol w:w="1138"/>
      </w:tblGrid>
      <w:tr>
        <w:trPr/>
        <w:tc>
          <w:tcPr>
            <w:tcW w:w="82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w:t>
            </w:r>
          </w:p>
        </w:tc>
        <w:tc>
          <w:tcPr>
            <w:tcW w:w="9377" w:type="dxa"/>
            <w:gridSpan w:val="4"/>
            <w:tcBorders>
              <w:top w:val="single" w:sz="8" w:space="0" w:color="000000"/>
              <w:bottom w:val="single" w:sz="8" w:space="0" w:color="000000"/>
              <w:right w:val="single" w:sz="8" w:space="0" w:color="000000"/>
            </w:tcBorders>
            <w:tcMar>
              <w:left w:w="0" w:type="dxa"/>
              <w:bottom w:w="28" w:type="dxa"/>
            </w:tcMar>
            <w:vAlign w:val="center"/>
          </w:tcPr>
          <w:p>
            <w:pPr>
              <w:pStyle w:val="TableContents"/>
              <w:bidi w:val="0"/>
              <w:spacing w:before="0" w:after="24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NAME OF REPORTING PERSONS</w:t>
            </w:r>
          </w:p>
          <w:p>
            <w:pPr>
              <w:pStyle w:val="TableContents"/>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Intercontinental Exchange Holdings, Inc.</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2</w:t>
            </w:r>
          </w:p>
        </w:tc>
        <w:tc>
          <w:tcPr>
            <w:tcW w:w="9377" w:type="dxa"/>
            <w:gridSpan w:val="4"/>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4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CHECK THE APPROPRIATE BOX IF A MEMBER OF A GROUP</w:t>
              <w:br/>
            </w:r>
            <w:r>
              <w:rPr>
                <w:rFonts w:ascii="Times New Roman;Times;Serif" w:hAnsi="Times New Roman;Times;Serif"/>
                <w:b/>
                <w:i w:val="false"/>
                <w:caps w:val="false"/>
                <w:smallCaps w:val="false"/>
                <w:sz w:val="20"/>
              </w:rPr>
              <w:t>(See Instructions)</w:t>
            </w:r>
          </w:p>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w:t>
            </w:r>
          </w:p>
          <w:p>
            <w:pPr>
              <w:pStyle w:val="TableContents"/>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 ☒</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3</w:t>
            </w:r>
          </w:p>
        </w:tc>
        <w:tc>
          <w:tcPr>
            <w:tcW w:w="9377"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 USE ONLY</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4</w:t>
            </w:r>
          </w:p>
        </w:tc>
        <w:tc>
          <w:tcPr>
            <w:tcW w:w="9377" w:type="dxa"/>
            <w:gridSpan w:val="4"/>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4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SOURCE OF FUNDS </w:t>
            </w:r>
            <w:r>
              <w:rPr>
                <w:rFonts w:ascii="Times New Roman;Times;Serif" w:hAnsi="Times New Roman;Times;Serif"/>
                <w:b/>
                <w:i w:val="false"/>
                <w:caps w:val="false"/>
                <w:smallCaps w:val="false"/>
                <w:sz w:val="20"/>
              </w:rPr>
              <w:t>(See Instructions)</w:t>
            </w:r>
          </w:p>
          <w:p>
            <w:pPr>
              <w:pStyle w:val="TableContents"/>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WC; OO</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5</w:t>
            </w:r>
          </w:p>
        </w:tc>
        <w:tc>
          <w:tcPr>
            <w:tcW w:w="8239" w:type="dxa"/>
            <w:gridSpan w:val="3"/>
            <w:tcBorders>
              <w:bottom w:val="single" w:sz="8" w:space="0" w:color="000000"/>
            </w:tcBorders>
            <w:tcMar>
              <w:top w:w="0" w:type="dxa"/>
              <w:left w:w="0" w:type="dxa"/>
              <w:bottom w:w="12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CHECK BOX IF DISCLOSURE OF LEGAL PROCEEDINGS IS REQUIRED PURSUANT TO ITEMS 2(d) or 2(e)</w:t>
            </w:r>
          </w:p>
        </w:tc>
        <w:tc>
          <w:tcPr>
            <w:tcW w:w="113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caps w:val="false"/>
                <w:smallCaps w:val="false"/>
              </w:rPr>
            </w:pPr>
            <w:r>
              <w:rPr>
                <w:caps w:val="false"/>
                <w:smallCaps w:val="false"/>
              </w:rPr>
              <w:t>☐</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6</w:t>
            </w:r>
          </w:p>
        </w:tc>
        <w:tc>
          <w:tcPr>
            <w:tcW w:w="9377" w:type="dxa"/>
            <w:gridSpan w:val="4"/>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CITIZENSHIP OR PLACE OF ORGANIZATION</w:t>
            </w:r>
          </w:p>
          <w:p>
            <w:pPr>
              <w:pStyle w:val="TableContents"/>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Delaware</w:t>
            </w:r>
          </w:p>
        </w:tc>
      </w:tr>
      <w:tr>
        <w:trPr/>
        <w:tc>
          <w:tcPr>
            <w:tcW w:w="4246" w:type="dxa"/>
            <w:gridSpan w:val="2"/>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NUMBER OF SHARES BENEFICIALLY OWNED BY EACH REPORTING PERSON WITH</w:t>
            </w:r>
          </w:p>
        </w:tc>
        <w:tc>
          <w:tcPr>
            <w:tcW w:w="35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7</w:t>
            </w:r>
          </w:p>
        </w:tc>
        <w:tc>
          <w:tcPr>
            <w:tcW w:w="2362" w:type="dxa"/>
            <w:gridSpan w:val="2"/>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SOLE VOTING POWER</w:t>
            </w:r>
          </w:p>
          <w:p>
            <w:pPr>
              <w:pStyle w:val="TableContents"/>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0</w:t>
            </w:r>
          </w:p>
        </w:tc>
      </w:tr>
      <w:tr>
        <w:trPr/>
        <w:tc>
          <w:tcPr>
            <w:tcW w:w="4246"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5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8</w:t>
            </w:r>
          </w:p>
        </w:tc>
        <w:tc>
          <w:tcPr>
            <w:tcW w:w="2362" w:type="dxa"/>
            <w:gridSpan w:val="2"/>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SHARED VOTING POWER</w:t>
            </w:r>
          </w:p>
          <w:p>
            <w:pPr>
              <w:pStyle w:val="TableContents"/>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177,555,807 </w:t>
            </w:r>
            <w:r>
              <w:rPr>
                <w:rFonts w:ascii="Times New Roman;Times;Serif" w:hAnsi="Times New Roman;Times;Serif"/>
                <w:b w:val="false"/>
                <w:i w:val="false"/>
                <w:caps w:val="false"/>
                <w:smallCaps w:val="false"/>
                <w:position w:val="8"/>
                <w:sz w:val="19"/>
                <w:sz w:val="24"/>
              </w:rPr>
              <w:t>(4)</w:t>
            </w:r>
          </w:p>
        </w:tc>
      </w:tr>
      <w:tr>
        <w:trPr/>
        <w:tc>
          <w:tcPr>
            <w:tcW w:w="4246"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5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9</w:t>
            </w:r>
          </w:p>
        </w:tc>
        <w:tc>
          <w:tcPr>
            <w:tcW w:w="2362" w:type="dxa"/>
            <w:gridSpan w:val="2"/>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SOLE DISPOSITIVE POWER</w:t>
            </w:r>
          </w:p>
          <w:p>
            <w:pPr>
              <w:pStyle w:val="TableContents"/>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0</w:t>
            </w:r>
          </w:p>
        </w:tc>
      </w:tr>
      <w:tr>
        <w:trPr/>
        <w:tc>
          <w:tcPr>
            <w:tcW w:w="4246" w:type="dxa"/>
            <w:gridSpan w:val="2"/>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59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10</w:t>
            </w:r>
          </w:p>
        </w:tc>
        <w:tc>
          <w:tcPr>
            <w:tcW w:w="2362" w:type="dxa"/>
            <w:gridSpan w:val="2"/>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SHARED DISPOSITIVE POWER</w:t>
            </w:r>
          </w:p>
          <w:p>
            <w:pPr>
              <w:pStyle w:val="TableContents"/>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177,555,807 </w:t>
            </w:r>
            <w:r>
              <w:rPr>
                <w:rFonts w:ascii="Times New Roman;Times;Serif" w:hAnsi="Times New Roman;Times;Serif"/>
                <w:b w:val="false"/>
                <w:i w:val="false"/>
                <w:caps w:val="false"/>
                <w:smallCaps w:val="false"/>
                <w:position w:val="8"/>
                <w:sz w:val="19"/>
                <w:sz w:val="24"/>
              </w:rPr>
              <w:t>(5)</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11</w:t>
            </w:r>
          </w:p>
        </w:tc>
        <w:tc>
          <w:tcPr>
            <w:tcW w:w="9377" w:type="dxa"/>
            <w:gridSpan w:val="4"/>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AGGREGATE AMOUNT BENEFICIALLY OWNED BY EACH REPORTING PERSON</w:t>
            </w:r>
          </w:p>
          <w:p>
            <w:pPr>
              <w:pStyle w:val="TableContents"/>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177,555,807</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12</w:t>
            </w:r>
          </w:p>
        </w:tc>
        <w:tc>
          <w:tcPr>
            <w:tcW w:w="82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CHECK BOX IF THE AGGREGATE AMOUNT IN ROW (11) EXCLUDES CERTAIN SHARES </w:t>
            </w:r>
            <w:r>
              <w:rPr>
                <w:rFonts w:ascii="Times New Roman;Times;Serif" w:hAnsi="Times New Roman;Times;Serif"/>
                <w:b/>
                <w:i w:val="false"/>
                <w:caps w:val="false"/>
                <w:smallCaps w:val="false"/>
                <w:sz w:val="20"/>
              </w:rPr>
              <w:t>(See Instructions)</w:t>
            </w:r>
          </w:p>
        </w:tc>
        <w:tc>
          <w:tcPr>
            <w:tcW w:w="113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caps w:val="false"/>
                <w:smallCaps w:val="false"/>
              </w:rPr>
            </w:pPr>
            <w:r>
              <w:rPr>
                <w:caps w:val="false"/>
                <w:smallCaps w:val="false"/>
              </w:rPr>
              <w:t>☒</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13</w:t>
            </w:r>
          </w:p>
        </w:tc>
        <w:tc>
          <w:tcPr>
            <w:tcW w:w="9377" w:type="dxa"/>
            <w:gridSpan w:val="4"/>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PERCENT OF CLASS REPRESENTED BY AMOUNT IN ROW (11)</w:t>
            </w:r>
          </w:p>
          <w:p>
            <w:pPr>
              <w:pStyle w:val="TableContents"/>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56.6% </w:t>
            </w:r>
            <w:r>
              <w:rPr>
                <w:rFonts w:ascii="Times New Roman;Times;Serif" w:hAnsi="Times New Roman;Times;Serif"/>
                <w:b w:val="false"/>
                <w:i w:val="false"/>
                <w:caps w:val="false"/>
                <w:smallCaps w:val="false"/>
                <w:position w:val="8"/>
                <w:sz w:val="19"/>
                <w:sz w:val="24"/>
              </w:rPr>
              <w:t>(6)</w:t>
            </w:r>
          </w:p>
        </w:tc>
      </w:tr>
      <w:tr>
        <w:trPr/>
        <w:tc>
          <w:tcPr>
            <w:tcW w:w="82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14</w:t>
            </w:r>
          </w:p>
        </w:tc>
        <w:tc>
          <w:tcPr>
            <w:tcW w:w="9377" w:type="dxa"/>
            <w:gridSpan w:val="4"/>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120"/>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TYPE OF REPORTING PERSON </w:t>
            </w:r>
            <w:r>
              <w:rPr>
                <w:rFonts w:ascii="Times New Roman;Times;Serif" w:hAnsi="Times New Roman;Times;Serif"/>
                <w:b/>
                <w:i w:val="false"/>
                <w:caps w:val="false"/>
                <w:smallCaps w:val="false"/>
                <w:sz w:val="20"/>
              </w:rPr>
              <w:t>(See Instructions)</w:t>
            </w:r>
          </w:p>
          <w:p>
            <w:pPr>
              <w:pStyle w:val="TableContents"/>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w:t>
            </w:r>
          </w:p>
        </w:tc>
      </w:tr>
      <w:tr>
        <w:trPr/>
        <w:tc>
          <w:tcPr>
            <w:tcW w:w="828"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3418"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3597"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position w:val="8"/>
          <w:sz w:val="19"/>
          <w:shd w:fill="FFFFFF" w:val="clear"/>
        </w:rPr>
      </w:pPr>
      <w:r>
        <w:rPr>
          <w:caps w:val="false"/>
          <w:smallCaps w:val="false"/>
          <w:position w:val="8"/>
          <w:sz w:val="19"/>
          <w:shd w:fill="FFFFFF" w:val="clear"/>
        </w:rPr>
        <w:t> </w:t>
      </w:r>
    </w:p>
    <w:p>
      <w:pPr>
        <w:pStyle w:val="HorizontalLine"/>
        <w:pBdr>
          <w:bottom w:val="double" w:sz="2" w:space="0" w:color="808080"/>
        </w:pBdr>
        <w:bidi w:val="0"/>
        <w:jc w:val="left"/>
        <w:rPr/>
      </w:pPr>
      <w:r>
        <w:rPr/>
      </w:r>
    </w:p>
    <w:p>
      <w:pPr>
        <w:pStyle w:val="TextBody"/>
        <w:bidi w:val="0"/>
        <w:spacing w:before="0" w:after="20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position w:val="7"/>
          <w:sz w:val="16"/>
          <w:sz w:val="20"/>
          <w:shd w:fill="FFFFFF" w:val="clear"/>
        </w:rPr>
        <w:t>(4)</w:t>
      </w:r>
      <w:r>
        <w:rPr>
          <w:rFonts w:ascii="Times New Roman;Times;Serif" w:hAnsi="Times New Roman;Times;Serif"/>
          <w:b w:val="false"/>
          <w:i w:val="false"/>
          <w:caps w:val="false"/>
          <w:smallCaps w:val="false"/>
          <w:sz w:val="20"/>
          <w:shd w:fill="FFFFFF" w:val="clear"/>
        </w:rPr>
        <w:t xml:space="preserve"> Based on (i) 7,476,345 shares of Class A Common Stock and (ii) 170,079,462 shares of Class V Common Stock beneficially owned by the Reporting Person as of the date hereof. As described in note 1 above, this amount excludes 2,762,008 shares of Class A Common Stock underlying the Initial Closing Warrants that are not exercisable until September 4, 2024, as described further in Item 6 of this Amendment.</w:t>
      </w:r>
    </w:p>
    <w:p>
      <w:pPr>
        <w:pStyle w:val="TextBody"/>
        <w:bidi w:val="0"/>
        <w:spacing w:before="0" w:after="20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position w:val="7"/>
          <w:sz w:val="16"/>
          <w:sz w:val="20"/>
          <w:shd w:fill="FFFFFF" w:val="clear"/>
        </w:rPr>
        <w:t>(5)</w:t>
      </w:r>
      <w:r>
        <w:rPr>
          <w:rFonts w:ascii="Times New Roman;Times;Serif" w:hAnsi="Times New Roman;Times;Serif"/>
          <w:b w:val="false"/>
          <w:i w:val="false"/>
          <w:caps w:val="false"/>
          <w:smallCaps w:val="false"/>
          <w:sz w:val="20"/>
          <w:shd w:fill="FFFFFF" w:val="clear"/>
        </w:rPr>
        <w:t xml:space="preserve"> Based on (i) 7,476,345 shares of Class A Common Stock and (ii) 170,079,462 shares of Class V Common Stock beneficially owned by the Reporting Person as of the date hereof. As described in note 1 above, this amount excludes 2,762,008 shares of Class A Common Stock underlying the Initial Closing Warrants that are not exercisable until September 4, 2024, as described further in Item 6 of this Amendment.</w:t>
      </w:r>
    </w:p>
    <w:p>
      <w:pPr>
        <w:pStyle w:val="TextBody"/>
        <w:bidi w:val="0"/>
        <w:spacing w:before="0" w:after="20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position w:val="7"/>
          <w:sz w:val="16"/>
          <w:sz w:val="20"/>
          <w:shd w:fill="FFFFFF" w:val="clear"/>
        </w:rPr>
        <w:t xml:space="preserve">(6) </w:t>
      </w:r>
      <w:r>
        <w:rPr>
          <w:rFonts w:ascii="Times New Roman;Times;Serif" w:hAnsi="Times New Roman;Times;Serif"/>
          <w:b w:val="false"/>
          <w:i w:val="false"/>
          <w:caps w:val="false"/>
          <w:smallCaps w:val="false"/>
          <w:sz w:val="20"/>
          <w:shd w:fill="FFFFFF" w:val="clear"/>
        </w:rPr>
        <w:t>Based on a total of 313,880,510 shares of Common Stock, consisting of 96,317,490 shares of Class A Common Stock and 179,883,479 shares of Class V Common Stock, outstanding as of February 28, 2024, as reported in the Issuer’s prospectus supplements filed with the SEC on March 1, 2024 pursuant to Rule 424(b)(5), and 37,679,541 shares of Class A Common Stock issued on March 4, 2024 (which excludes 11,218,570 shares of Class A Common Stock underlying the Pre-Funded Warrants), in the Concurrent Offerings, based on information contained in the Issuer’s Current Report on Form 8-K filed with the SEC on March 4, 2024. As described in note 1 above, the Reporting Persons beneficially own 56.6% of the Common Stock; however, the Reporting Persons’ voting power in respect of the Common Stock is reduced to 30% pursuant to the Voting Agreement between ICEH and the Issuer, so long as ICEH and its affiliates own 50% or more of the total voting power of the Issuer as described further in Item 6 of the Amended Schedule 13D. As of the date hereof, the Reporting Person beneficially owns 5.6% of the outstanding shares of Class A Common Stock (excluding any shares of Class V Common Stock).</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3 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EXPLANATORY NOTE</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Amendment No. 3 (this “</w:t>
      </w:r>
      <w:r>
        <w:rPr>
          <w:rFonts w:ascii="Times New Roman;Times;Serif" w:hAnsi="Times New Roman;Times;Serif"/>
          <w:b w:val="false"/>
          <w:i w:val="false"/>
          <w:caps w:val="false"/>
          <w:smallCaps w:val="false"/>
          <w:sz w:val="24"/>
          <w:u w:val="single"/>
        </w:rPr>
        <w:t>Amendment</w:t>
      </w:r>
      <w:r>
        <w:rPr>
          <w:rFonts w:ascii="Times New Roman;Times;Serif" w:hAnsi="Times New Roman;Times;Serif"/>
          <w:b w:val="false"/>
          <w:i w:val="false"/>
          <w:caps w:val="false"/>
          <w:smallCaps w:val="false"/>
          <w:sz w:val="24"/>
        </w:rPr>
        <w:t>”) is being jointly filed on behalf of: (a) Intercontinental Exchange, Inc., a Delaware corporation (“</w:t>
      </w:r>
      <w:r>
        <w:rPr>
          <w:rFonts w:ascii="Times New Roman;Times;Serif" w:hAnsi="Times New Roman;Times;Serif"/>
          <w:b w:val="false"/>
          <w:i w:val="false"/>
          <w:caps w:val="false"/>
          <w:smallCaps w:val="false"/>
          <w:sz w:val="24"/>
          <w:u w:val="single"/>
        </w:rPr>
        <w:t>ICE</w:t>
      </w:r>
      <w:r>
        <w:rPr>
          <w:rFonts w:ascii="Times New Roman;Times;Serif" w:hAnsi="Times New Roman;Times;Serif"/>
          <w:b w:val="false"/>
          <w:i w:val="false"/>
          <w:caps w:val="false"/>
          <w:smallCaps w:val="false"/>
          <w:sz w:val="24"/>
        </w:rPr>
        <w:t>”), and (b) Intercontinental Exchange Holdings, Inc., a Delaware corporation (“</w:t>
      </w:r>
      <w:r>
        <w:rPr>
          <w:rFonts w:ascii="Times New Roman;Times;Serif" w:hAnsi="Times New Roman;Times;Serif"/>
          <w:b w:val="false"/>
          <w:i w:val="false"/>
          <w:caps w:val="false"/>
          <w:smallCaps w:val="false"/>
          <w:sz w:val="24"/>
          <w:u w:val="single"/>
        </w:rPr>
        <w:t>ICEH</w:t>
      </w:r>
      <w:r>
        <w:rPr>
          <w:rFonts w:ascii="Times New Roman;Times;Serif" w:hAnsi="Times New Roman;Times;Serif"/>
          <w:b w:val="false"/>
          <w:i w:val="false"/>
          <w:caps w:val="false"/>
          <w:smallCaps w:val="false"/>
          <w:sz w:val="24"/>
        </w:rPr>
        <w:t>”, and together with ICE, the “</w:t>
      </w:r>
      <w:r>
        <w:rPr>
          <w:rFonts w:ascii="Times New Roman;Times;Serif" w:hAnsi="Times New Roman;Times;Serif"/>
          <w:b w:val="false"/>
          <w:i w:val="false"/>
          <w:caps w:val="false"/>
          <w:smallCaps w:val="false"/>
          <w:sz w:val="24"/>
          <w:u w:val="single"/>
        </w:rPr>
        <w:t>Reporting Persons</w:t>
      </w:r>
      <w:r>
        <w:rPr>
          <w:rFonts w:ascii="Times New Roman;Times;Serif" w:hAnsi="Times New Roman;Times;Serif"/>
          <w:b w:val="false"/>
          <w:i w:val="false"/>
          <w:caps w:val="false"/>
          <w:smallCaps w:val="false"/>
          <w:sz w:val="24"/>
        </w:rPr>
        <w:t>” and each a “</w:t>
      </w:r>
      <w:r>
        <w:rPr>
          <w:rFonts w:ascii="Times New Roman;Times;Serif" w:hAnsi="Times New Roman;Times;Serif"/>
          <w:b w:val="false"/>
          <w:i w:val="false"/>
          <w:caps w:val="false"/>
          <w:smallCaps w:val="false"/>
          <w:sz w:val="24"/>
          <w:u w:val="single"/>
        </w:rPr>
        <w:t>Reporting Person</w:t>
      </w:r>
      <w:r>
        <w:rPr>
          <w:rFonts w:ascii="Times New Roman;Times;Serif" w:hAnsi="Times New Roman;Times;Serif"/>
          <w:b w:val="false"/>
          <w:i w:val="false"/>
          <w:caps w:val="false"/>
          <w:smallCaps w:val="false"/>
          <w:sz w:val="24"/>
        </w:rPr>
        <w:t>”), and amends the (i) Statement on Schedule 13D filed by the Reporting Persons on October 21, 2021 (the “</w:t>
      </w:r>
      <w:r>
        <w:rPr>
          <w:rFonts w:ascii="Times New Roman;Times;Serif" w:hAnsi="Times New Roman;Times;Serif"/>
          <w:b w:val="false"/>
          <w:i w:val="false"/>
          <w:caps w:val="false"/>
          <w:smallCaps w:val="false"/>
          <w:sz w:val="24"/>
          <w:u w:val="single"/>
        </w:rPr>
        <w:t>Initial Schedule 13D</w:t>
      </w:r>
      <w:r>
        <w:rPr>
          <w:rFonts w:ascii="Times New Roman;Times;Serif" w:hAnsi="Times New Roman;Times;Serif"/>
          <w:b w:val="false"/>
          <w:i w:val="false"/>
          <w:caps w:val="false"/>
          <w:smallCaps w:val="false"/>
          <w:sz w:val="24"/>
        </w:rPr>
        <w:t>”) as previously amended by (ii) Amendment No. 1 to the Initial Schedule 13D filed by the Reporting Persons on May 5, 2022 (“</w:t>
      </w:r>
      <w:r>
        <w:rPr>
          <w:rFonts w:ascii="Times New Roman;Times;Serif" w:hAnsi="Times New Roman;Times;Serif"/>
          <w:b w:val="false"/>
          <w:i w:val="false"/>
          <w:caps w:val="false"/>
          <w:smallCaps w:val="false"/>
          <w:sz w:val="24"/>
          <w:u w:val="single"/>
        </w:rPr>
        <w:t>Amendment No. 1</w:t>
      </w:r>
      <w:r>
        <w:rPr>
          <w:rFonts w:ascii="Times New Roman;Times;Serif" w:hAnsi="Times New Roman;Times;Serif"/>
          <w:b w:val="false"/>
          <w:i w:val="false"/>
          <w:caps w:val="false"/>
          <w:smallCaps w:val="false"/>
          <w:sz w:val="24"/>
        </w:rPr>
        <w:t>”) and (iii) Amendment No. 2 to the Initial Schedule 13D filed by the Reporting Persons on April 28, 2023 (“</w:t>
      </w:r>
      <w:r>
        <w:rPr>
          <w:rFonts w:ascii="Times New Roman;Times;Serif" w:hAnsi="Times New Roman;Times;Serif"/>
          <w:b w:val="false"/>
          <w:i w:val="false"/>
          <w:caps w:val="false"/>
          <w:smallCaps w:val="false"/>
          <w:sz w:val="24"/>
          <w:u w:val="single"/>
        </w:rPr>
        <w:t>Amendment No. 2</w:t>
      </w:r>
      <w:r>
        <w:rPr>
          <w:rFonts w:ascii="Times New Roman;Times;Serif" w:hAnsi="Times New Roman;Times;Serif"/>
          <w:b w:val="false"/>
          <w:i w:val="false"/>
          <w:caps w:val="false"/>
          <w:smallCaps w:val="false"/>
          <w:sz w:val="24"/>
        </w:rPr>
        <w:t>”, and the Initial Schedule 13D as so amended, the “</w:t>
      </w:r>
      <w:r>
        <w:rPr>
          <w:rFonts w:ascii="Times New Roman;Times;Serif" w:hAnsi="Times New Roman;Times;Serif"/>
          <w:b w:val="false"/>
          <w:i w:val="false"/>
          <w:caps w:val="false"/>
          <w:smallCaps w:val="false"/>
          <w:sz w:val="24"/>
          <w:u w:val="single"/>
        </w:rPr>
        <w:t>Amended Schedule 13D</w:t>
      </w:r>
      <w:r>
        <w:rPr>
          <w:rFonts w:ascii="Times New Roman;Times;Serif" w:hAnsi="Times New Roman;Times;Serif"/>
          <w:b w:val="false"/>
          <w:i w:val="false"/>
          <w:caps w:val="false"/>
          <w:smallCaps w:val="false"/>
          <w:sz w:val="24"/>
        </w:rPr>
        <w:t>”), which relates to the shares of Class A common stock, par value $0.0001 per share (“</w:t>
      </w:r>
      <w:r>
        <w:rPr>
          <w:rFonts w:ascii="Times New Roman;Times;Serif" w:hAnsi="Times New Roman;Times;Serif"/>
          <w:b w:val="false"/>
          <w:i w:val="false"/>
          <w:caps w:val="false"/>
          <w:smallCaps w:val="false"/>
          <w:sz w:val="24"/>
          <w:u w:val="single"/>
        </w:rPr>
        <w:t>Class A Common Stock</w:t>
      </w:r>
      <w:r>
        <w:rPr>
          <w:rFonts w:ascii="Times New Roman;Times;Serif" w:hAnsi="Times New Roman;Times;Serif"/>
          <w:b w:val="false"/>
          <w:i w:val="false"/>
          <w:caps w:val="false"/>
          <w:smallCaps w:val="false"/>
          <w:sz w:val="24"/>
        </w:rPr>
        <w:t>”), of Bakkt Holdings, Inc., a Delaware corporation (the “</w:t>
      </w:r>
      <w:r>
        <w:rPr>
          <w:rFonts w:ascii="Times New Roman;Times;Serif" w:hAnsi="Times New Roman;Times;Serif"/>
          <w:b w:val="false"/>
          <w:i w:val="false"/>
          <w:caps w:val="false"/>
          <w:smallCaps w:val="false"/>
          <w:sz w:val="24"/>
          <w:u w:val="single"/>
        </w:rPr>
        <w:t>Issuer</w:t>
      </w:r>
      <w:r>
        <w:rPr>
          <w:rFonts w:ascii="Times New Roman;Times;Serif" w:hAnsi="Times New Roman;Times;Serif"/>
          <w:b w:val="false"/>
          <w:i w:val="false"/>
          <w:caps w:val="false"/>
          <w:smallCaps w:val="false"/>
          <w:sz w:val="24"/>
        </w:rPr>
        <w:t>”). Capitalized terms used and not otherwise defined in this Amendment have the same meanings ascribed to them in the Amended Schedule 13D.</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Unless specifically amended hereby, the disclosure set forth in the Amended Schedule 13D remains unchanged.</w:t>
      </w:r>
    </w:p>
    <w:tbl>
      <w:tblPr>
        <w:tblW w:w="5000" w:type="pct"/>
        <w:jc w:val="left"/>
        <w:tblInd w:w="0" w:type="dxa"/>
        <w:tblLayout w:type="fixed"/>
        <w:tblCellMar>
          <w:top w:w="0" w:type="dxa"/>
          <w:left w:w="0" w:type="dxa"/>
          <w:bottom w:w="0" w:type="dxa"/>
          <w:right w:w="0" w:type="dxa"/>
        </w:tblCellMar>
      </w:tblPr>
      <w:tblGrid>
        <w:gridCol w:w="112"/>
        <w:gridCol w:w="2152"/>
        <w:gridCol w:w="7941"/>
      </w:tblGrid>
      <w:tr>
        <w:trPr/>
        <w:tc>
          <w:tcPr>
            <w:tcW w:w="11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b/>
              </w:rPr>
            </w:pPr>
            <w:r>
              <w:rPr>
                <w:b/>
              </w:rPr>
              <w:t>Item 2.</w:t>
            </w:r>
          </w:p>
        </w:tc>
        <w:tc>
          <w:tcPr>
            <w:tcW w:w="7941" w:type="dxa"/>
            <w:tcBorders/>
            <w:vAlign w:val="center"/>
          </w:tcPr>
          <w:p>
            <w:pPr>
              <w:pStyle w:val="TableContents"/>
              <w:bidi w:val="0"/>
              <w:spacing w:before="0" w:after="283"/>
              <w:jc w:val="left"/>
              <w:rPr>
                <w:b/>
              </w:rPr>
            </w:pPr>
            <w:r>
              <w:rPr>
                <w:b/>
              </w:rPr>
              <w:t>Identity and Background.</w:t>
            </w:r>
          </w:p>
        </w:tc>
      </w:tr>
    </w:tbl>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u w:val="single"/>
        </w:rPr>
        <w:t>Schedules I</w:t>
      </w:r>
      <w:r>
        <w:rPr>
          <w:rFonts w:ascii="Times New Roman;Times;Serif" w:hAnsi="Times New Roman;Times;Serif"/>
          <w:b w:val="false"/>
          <w:i w:val="false"/>
          <w:caps w:val="false"/>
          <w:smallCaps w:val="false"/>
          <w:sz w:val="24"/>
        </w:rPr>
        <w:t xml:space="preserve"> and </w:t>
      </w:r>
      <w:r>
        <w:rPr>
          <w:rFonts w:ascii="Times New Roman;Times;Serif" w:hAnsi="Times New Roman;Times;Serif"/>
          <w:b w:val="false"/>
          <w:i w:val="false"/>
          <w:caps w:val="false"/>
          <w:smallCaps w:val="false"/>
          <w:sz w:val="24"/>
          <w:u w:val="single"/>
        </w:rPr>
        <w:t>II</w:t>
      </w:r>
      <w:r>
        <w:rPr>
          <w:rFonts w:ascii="Times New Roman;Times;Serif" w:hAnsi="Times New Roman;Times;Serif"/>
          <w:b w:val="false"/>
          <w:i w:val="false"/>
          <w:caps w:val="false"/>
          <w:smallCaps w:val="false"/>
          <w:sz w:val="24"/>
        </w:rPr>
        <w:t xml:space="preserve"> to Item 2 of the Amended Schedule 13D are hereby amended and restated in their entirety as set forth in </w:t>
      </w:r>
      <w:r>
        <w:rPr>
          <w:rFonts w:ascii="Times New Roman;Times;Serif" w:hAnsi="Times New Roman;Times;Serif"/>
          <w:b w:val="false"/>
          <w:i w:val="false"/>
          <w:caps w:val="false"/>
          <w:smallCaps w:val="false"/>
          <w:sz w:val="24"/>
          <w:u w:val="single"/>
        </w:rPr>
        <w:t>Schedules I</w:t>
      </w:r>
      <w:r>
        <w:rPr>
          <w:rFonts w:ascii="Times New Roman;Times;Serif" w:hAnsi="Times New Roman;Times;Serif"/>
          <w:b w:val="false"/>
          <w:i w:val="false"/>
          <w:caps w:val="false"/>
          <w:smallCaps w:val="false"/>
          <w:sz w:val="24"/>
        </w:rPr>
        <w:t xml:space="preserve"> and </w:t>
      </w:r>
      <w:r>
        <w:rPr>
          <w:rFonts w:ascii="Times New Roman;Times;Serif" w:hAnsi="Times New Roman;Times;Serif"/>
          <w:b w:val="false"/>
          <w:i w:val="false"/>
          <w:caps w:val="false"/>
          <w:smallCaps w:val="false"/>
          <w:sz w:val="24"/>
          <w:u w:val="single"/>
        </w:rPr>
        <w:t>II</w:t>
      </w:r>
      <w:r>
        <w:rPr>
          <w:rFonts w:ascii="Times New Roman;Times;Serif" w:hAnsi="Times New Roman;Times;Serif"/>
          <w:b w:val="false"/>
          <w:i w:val="false"/>
          <w:caps w:val="false"/>
          <w:smallCaps w:val="false"/>
          <w:sz w:val="24"/>
        </w:rPr>
        <w:t xml:space="preserve"> attached hereto.</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(d) – (e) During the last five years, none of the Reporting Persons, and to the best of each such Reporting Person’s knowledge, none of the directors or executive officers of such Reporting Person listed in </w:t>
      </w:r>
      <w:r>
        <w:rPr>
          <w:rFonts w:ascii="Times New Roman;Times;Serif" w:hAnsi="Times New Roman;Times;Serif"/>
          <w:b w:val="false"/>
          <w:i w:val="false"/>
          <w:caps w:val="false"/>
          <w:smallCaps w:val="false"/>
          <w:sz w:val="24"/>
          <w:u w:val="single"/>
        </w:rPr>
        <w:t>Schedules I</w:t>
      </w:r>
      <w:r>
        <w:rPr>
          <w:rFonts w:ascii="Times New Roman;Times;Serif" w:hAnsi="Times New Roman;Times;Serif"/>
          <w:b w:val="false"/>
          <w:i w:val="false"/>
          <w:caps w:val="false"/>
          <w:smallCaps w:val="false"/>
          <w:sz w:val="24"/>
        </w:rPr>
        <w:t xml:space="preserve"> and </w:t>
      </w:r>
      <w:r>
        <w:rPr>
          <w:rFonts w:ascii="Times New Roman;Times;Serif" w:hAnsi="Times New Roman;Times;Serif"/>
          <w:b w:val="false"/>
          <w:i w:val="false"/>
          <w:caps w:val="false"/>
          <w:smallCaps w:val="false"/>
          <w:sz w:val="24"/>
          <w:u w:val="single"/>
        </w:rPr>
        <w:t>II</w:t>
      </w:r>
      <w:r>
        <w:rPr>
          <w:rFonts w:ascii="Times New Roman;Times;Serif" w:hAnsi="Times New Roman;Times;Serif"/>
          <w:b w:val="false"/>
          <w:i w:val="false"/>
          <w:caps w:val="false"/>
          <w:smallCaps w:val="false"/>
          <w:sz w:val="24"/>
        </w:rPr>
        <w:t xml:space="preserve"> hereto, have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bl>
      <w:tblPr>
        <w:tblW w:w="5000" w:type="pct"/>
        <w:jc w:val="left"/>
        <w:tblInd w:w="0" w:type="dxa"/>
        <w:tblLayout w:type="fixed"/>
        <w:tblCellMar>
          <w:top w:w="0" w:type="dxa"/>
          <w:left w:w="0" w:type="dxa"/>
          <w:bottom w:w="0" w:type="dxa"/>
          <w:right w:w="0" w:type="dxa"/>
        </w:tblCellMar>
      </w:tblPr>
      <w:tblGrid>
        <w:gridCol w:w="61"/>
        <w:gridCol w:w="1171"/>
        <w:gridCol w:w="8973"/>
      </w:tblGrid>
      <w:tr>
        <w:trPr/>
        <w:tc>
          <w:tcPr>
            <w:tcW w:w="6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b/>
              </w:rPr>
            </w:pPr>
            <w:r>
              <w:rPr>
                <w:b/>
              </w:rPr>
              <w:t>Item 3.</w:t>
            </w:r>
          </w:p>
        </w:tc>
        <w:tc>
          <w:tcPr>
            <w:tcW w:w="8973" w:type="dxa"/>
            <w:tcBorders/>
            <w:vAlign w:val="center"/>
          </w:tcPr>
          <w:p>
            <w:pPr>
              <w:pStyle w:val="TableContents"/>
              <w:bidi w:val="0"/>
              <w:spacing w:before="0" w:after="283"/>
              <w:jc w:val="left"/>
              <w:rPr>
                <w:b/>
              </w:rPr>
            </w:pPr>
            <w:r>
              <w:rPr>
                <w:b/>
              </w:rPr>
              <w:t>Source and Amount of Funds or Other Consideration.</w:t>
            </w:r>
          </w:p>
        </w:tc>
      </w:tr>
    </w:tbl>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Item 3 of the Amended Schedule 13D is hereby supplemented and amended to add the following information:</w:t>
      </w:r>
    </w:p>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source of the funds for ICEH’s acquisition of securities of the Issuer at the Initial Closing (as defined in Item 6 of this Amendment) was the working capital of the Reporting Persons.</w:t>
      </w:r>
    </w:p>
    <w:tbl>
      <w:tblPr>
        <w:tblW w:w="5000" w:type="pct"/>
        <w:jc w:val="left"/>
        <w:tblInd w:w="0" w:type="dxa"/>
        <w:tblLayout w:type="fixed"/>
        <w:tblCellMar>
          <w:top w:w="0" w:type="dxa"/>
          <w:left w:w="0" w:type="dxa"/>
          <w:bottom w:w="0" w:type="dxa"/>
          <w:right w:w="0" w:type="dxa"/>
        </w:tblCellMar>
      </w:tblPr>
      <w:tblGrid>
        <w:gridCol w:w="119"/>
        <w:gridCol w:w="2281"/>
        <w:gridCol w:w="7805"/>
      </w:tblGrid>
      <w:tr>
        <w:trPr/>
        <w:tc>
          <w:tcPr>
            <w:tcW w:w="119"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b/>
              </w:rPr>
            </w:pPr>
            <w:r>
              <w:rPr>
                <w:b/>
              </w:rPr>
              <w:t>Item 4.</w:t>
            </w:r>
          </w:p>
        </w:tc>
        <w:tc>
          <w:tcPr>
            <w:tcW w:w="7805" w:type="dxa"/>
            <w:tcBorders/>
            <w:vAlign w:val="center"/>
          </w:tcPr>
          <w:p>
            <w:pPr>
              <w:pStyle w:val="TableContents"/>
              <w:bidi w:val="0"/>
              <w:spacing w:before="0" w:after="283"/>
              <w:jc w:val="left"/>
              <w:rPr>
                <w:b/>
              </w:rPr>
            </w:pPr>
            <w:r>
              <w:rPr>
                <w:b/>
              </w:rPr>
              <w:t>Purpose of Transaction.</w:t>
            </w:r>
          </w:p>
        </w:tc>
      </w:tr>
    </w:tbl>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Item 4 of the Amended Schedule 13D is hereby supplemented and amended to add the information contained in Item 6 of this Amendment, which is incorporated by reference into this Item 4 as if fully set forth herein.</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4 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1748"/>
        <w:gridCol w:w="8366"/>
      </w:tblGrid>
      <w:tr>
        <w:trPr/>
        <w:tc>
          <w:tcPr>
            <w:tcW w:w="9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b/>
              </w:rPr>
            </w:pPr>
            <w:r>
              <w:rPr>
                <w:b/>
              </w:rPr>
              <w:t>Item 5.</w:t>
            </w:r>
          </w:p>
        </w:tc>
        <w:tc>
          <w:tcPr>
            <w:tcW w:w="8366" w:type="dxa"/>
            <w:tcBorders/>
            <w:vAlign w:val="center"/>
          </w:tcPr>
          <w:p>
            <w:pPr>
              <w:pStyle w:val="TableContents"/>
              <w:bidi w:val="0"/>
              <w:spacing w:before="0" w:after="283"/>
              <w:jc w:val="left"/>
              <w:rPr>
                <w:b/>
              </w:rPr>
            </w:pPr>
            <w:r>
              <w:rPr>
                <w:b/>
              </w:rPr>
              <w:t>Interest in Securities of the Issuer.</w:t>
            </w:r>
          </w:p>
        </w:tc>
      </w:tr>
    </w:tbl>
    <w:p>
      <w:pPr>
        <w:pStyle w:val="TextBody"/>
        <w:bidi w:val="0"/>
        <w:spacing w:before="0" w:after="24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u w:val="single"/>
        </w:rPr>
        <w:t>Section (a)</w:t>
      </w:r>
      <w:r>
        <w:rPr>
          <w:rFonts w:ascii="Times New Roman;Times;Serif" w:hAnsi="Times New Roman;Times;Serif"/>
          <w:b w:val="false"/>
          <w:i w:val="false"/>
          <w:caps w:val="false"/>
          <w:smallCaps w:val="false"/>
          <w:sz w:val="24"/>
        </w:rPr>
        <w:t xml:space="preserve"> and </w:t>
      </w:r>
      <w:r>
        <w:rPr>
          <w:rFonts w:ascii="Times New Roman;Times;Serif" w:hAnsi="Times New Roman;Times;Serif"/>
          <w:b w:val="false"/>
          <w:i w:val="false"/>
          <w:caps w:val="false"/>
          <w:smallCaps w:val="false"/>
          <w:sz w:val="24"/>
          <w:u w:val="single"/>
        </w:rPr>
        <w:t>Section (b)</w:t>
      </w:r>
      <w:r>
        <w:rPr>
          <w:rFonts w:ascii="Times New Roman;Times;Serif" w:hAnsi="Times New Roman;Times;Serif"/>
          <w:b w:val="false"/>
          <w:i w:val="false"/>
          <w:caps w:val="false"/>
          <w:smallCaps w:val="false"/>
          <w:sz w:val="24"/>
        </w:rPr>
        <w:t xml:space="preserve"> of Item 5 of the Amended Schedule 13D are hereby amended and restated in their entirety as follows:</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and (b) The percentage of beneficial ownership in this Amendment is based on: (i) with respect to the total amount of securities issued and outstanding, an aggregate of 96,317,490 shares of Class A Common Stock and 179,883,479 shares of Class V Common Stock outstanding as of February 28, 2024, as reported in the Issuer’s prospectus supplements filed with the SEC on March 1, 2024 pursuant to Rule 424(b)(5), and 37,679,541 shares of Class A Common Stock issued on March 4, 2024 (which excludes 11,218,570 shares of Class A Common Stock underlying the Pre-Funded Warrants (as defined in Item 6 of this Amendment)), in connection with the Concurrent Offerings (as defined in Item 6 of this Amendment), based on information contained in the Issuer’s Current Report on Form 8-K filed with the SEC on March 4, 2024, and (ii) with respect to the securities beneficially owned by the Reporting Persons, 7,476,345 shares of Class A Common Stock and 170,079,462 shares of Class A Common Stock underlying the Paired Interests (consisting of 170,079,462 Bakkt Opco Common Units and 170,079,462 shares of Class V Common Stock) beneficially owned by the Reporting Persons immediately following the Initial Closing (as defined in Item 6 of this Amendment).</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aggregate number and percentage of shares of Class A Common Stock and Class V Common Stock beneficially owned by the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and are incorporated herein by reference.</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 of the date hereof, ICEH directly holds 7,476,345 shares of Class A Common Stock, 170,079,462 shares of Class V Common Stock and 170,079,462 Bakkt Opco Common Units. Pursuant to the terms of the A&amp;R Exchange Agreement (as defined in Item 6 of Amendment No. 1), Bakkt Opco Common Units, when coupled with an equivalent number of shares of Class V Common Stock, may be exchanged at the discretion of the holder for shares of Class A Common Stock on a one-for-one basis (subject to adjustment as set forth in the A&amp;R Exchange Agreement), or, at the option of the Issuer, cash, subject to the following exceptions: (i) no holder of Bakkt Opco Common Units may exchange less than 25,000 Bakkt Opco Common Units in any single exchange unless exchanging all of their Bakkt Opco Common Units; and (ii) such exchange can only occur (a) upon a Permitted Exchange Event (as defined in the A&amp;R Exchange Agreement) or (b) on (1) the last trading day of the second week of the first month of each quarter, (2) the last trading day of the first month of each quarter, (3) the third full trading day occurring after the Issuer publicly announces its results for a quarter and (4) the last trading day of the second month of each quarter.</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5 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Pursuant to the Voting Agreement (as described in Item 6 of the Initial Schedule 13D), as long as ICEH and its affiliates hold 50% or more of the issued and outstanding shares of Common Stock, a proxy designated by the Board will vote the Excess Shares (defined in Item 6 of the Initial Schedule 13D) beneficially owned by the Reporting Persons on any Stockholder Matter (as defined in Item 6 of the Initial Schedule 13D) in the same percentages for and against such Stockholder Matter as votes were cast for and against such Stockholder Matter by all stockholders of the Issuer other than ICEH and its affiliates. The Voting Agreement does not apply to the voting of shares of Common Stock beneficially owned by ICEH and its affiliates that are not Excess Shares. The Voting Agreement also does not apply to the giving or withholding of consent or approval in respect of any matter requiring the approval of the Required Interest (as defined in Item 6 of the Initial Schedule 13D) of Bakkt Opco equity holders under the Surviving Company LLC Agreement. The Voting Agreement will terminate if the voting power represented by the shares of Common Stock beneficially owned by ICEH and its affiliates falls below 50% of the total voting power of the shares of Common Stock issued and outstanding and entitled to vote at any time.</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To the best knowledge of the Reporting Persons, the following persons beneficially own or may be deemed to beneficially own the shares of Class A Common Stock, Class V Common Stock and Bakkt Opco Common Units set forth below: </w:t>
      </w:r>
      <w:r>
        <w:rPr>
          <w:rFonts w:ascii="Times New Roman;Times;Serif" w:hAnsi="Times New Roman;Times;Serif"/>
          <w:b w:val="false"/>
          <w:i w:val="false"/>
          <w:caps w:val="false"/>
          <w:smallCaps w:val="false"/>
          <w:position w:val="8"/>
          <w:sz w:val="19"/>
          <w:sz w:val="24"/>
        </w:rPr>
        <w:t>(7)</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Hon. Sharon Y. Bowen, Director, ICE, beneficially owns 242,544 shares of Class A Common Stock,</w:t>
            </w:r>
            <w:r>
              <w:rPr>
                <w:position w:val="8"/>
                <w:sz w:val="19"/>
              </w:rPr>
              <w:t>(</w:t>
            </w:r>
            <w:r>
              <w:rPr>
                <w:rFonts w:ascii="Times New Roman;Times;Serif" w:hAnsi="Times New Roman;Times;Serif"/>
                <w:position w:val="8"/>
                <w:sz w:val="19"/>
                <w:sz w:val="24"/>
              </w:rPr>
              <w:t>8</w:t>
            </w:r>
            <w:r>
              <w:rPr>
                <w:position w:val="8"/>
                <w:sz w:val="19"/>
              </w:rPr>
              <w:t>)</w:t>
            </w:r>
            <w:r>
              <w:rPr/>
              <w:t xml:space="preserve"> 23,154 shares of Class V Common Stock and 23,154 Bakkt Opco Common Units.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Thomas E. Noonan, Director, ICE, beneficially owns 13,231 shares of Class V Common Stock and 13,231 Bakkt Opco Common Units.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Jeffrey C. Sprecher, Director (Chairman) and Chief Executive Officer, ICE, may be deemed to beneficially own 3,659,164 shares of Class V Common Stock and 3,659,164 Bakkt Opco Common Units, which shares and units are beneficially owned by his spouse through her holdings of vested incentive units in Bakkt Management. Mr. Sprecher disclaims beneficial ownership of the shares and units held indirectly by his spouse.</w:t>
            </w:r>
          </w:p>
        </w:tc>
      </w:tr>
    </w:tbl>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Reporting Persons specifically disclaim beneficial ownership over such shares and units held by the persons listed above.</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share ownership reported herein for the Reporting Persons does not include any securities of the Issuer held by any party to the Stockholders Agreement (as defined and described in Item 6 of the Initial Schedule 13D) other than ICEH, and each of the Reporting Persons disclaims beneficial ownership of any such securities owned by such other parties.</w:t>
      </w:r>
    </w:p>
    <w:p>
      <w:pPr>
        <w:pStyle w:val="TextBody"/>
        <w:bidi w:val="0"/>
        <w:spacing w:before="0" w:after="24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 Other than ICEH’s acquisition of Class A Common Stock and the Initial Closing Warrants at the Initial Closing (as described in Item 6 of this Amendment), the Reporting Persons have not effected any transactions in Class A Common Stock or Class V Common Stock during the past 60 days.</w:t>
      </w:r>
    </w:p>
    <w:p>
      <w:pPr>
        <w:pStyle w:val="TextBody"/>
        <w:bidi w:val="0"/>
        <w:spacing w:before="0" w:after="200"/>
        <w:jc w:val="left"/>
        <w:rPr>
          <w:caps w:val="false"/>
          <w:smallCaps w:val="false"/>
          <w:position w:val="8"/>
          <w:sz w:val="19"/>
          <w:shd w:fill="FFFFFF" w:val="clear"/>
        </w:rPr>
      </w:pPr>
      <w:r>
        <w:rPr>
          <w:caps w:val="false"/>
          <w:smallCaps w:val="false"/>
          <w:position w:val="8"/>
          <w:sz w:val="19"/>
          <w:shd w:fill="FFFFFF" w:val="clear"/>
        </w:rPr>
        <w:t> </w:t>
      </w:r>
    </w:p>
    <w:p>
      <w:pPr>
        <w:pStyle w:val="HorizontalLine"/>
        <w:pBdr>
          <w:bottom w:val="double" w:sz="2" w:space="0" w:color="808080"/>
        </w:pBdr>
        <w:bidi w:val="0"/>
        <w:jc w:val="left"/>
        <w:rPr/>
      </w:pPr>
      <w:r>
        <w:rPr/>
      </w:r>
    </w:p>
    <w:p>
      <w:pPr>
        <w:pStyle w:val="TextBody"/>
        <w:bidi w:val="0"/>
        <w:spacing w:before="0" w:after="20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position w:val="7"/>
          <w:sz w:val="16"/>
          <w:sz w:val="20"/>
          <w:shd w:fill="FFFFFF" w:val="clear"/>
        </w:rPr>
        <w:t>(7)</w:t>
      </w:r>
      <w:r>
        <w:rPr>
          <w:rFonts w:ascii="Times New Roman;Times;Serif" w:hAnsi="Times New Roman;Times;Serif"/>
          <w:b w:val="false"/>
          <w:i w:val="false"/>
          <w:caps w:val="false"/>
          <w:smallCaps w:val="false"/>
          <w:sz w:val="20"/>
          <w:shd w:fill="FFFFFF" w:val="clear"/>
        </w:rPr>
        <w:t xml:space="preserve"> Except for the shares of Class A Common Stock beneficially owned by Ms. Bowen, the beneficial ownership information set forth herein is with respect to shares of Class V Common Stock and Bakkt Opco Common Units indirectly acquired by Ms. Bowen, Mr. Noonan, and Mr. Sprecher’s spouse in connection with the Closing in respect of incentive units held by such individuals under the Bakkt equity incentive plan in effect prior to the Closing and held directly by Bakkt Management LLC (“</w:t>
      </w:r>
      <w:r>
        <w:rPr>
          <w:rFonts w:ascii="Times New Roman;Times;Serif" w:hAnsi="Times New Roman;Times;Serif"/>
          <w:b w:val="false"/>
          <w:i w:val="false"/>
          <w:caps w:val="false"/>
          <w:smallCaps w:val="false"/>
          <w:sz w:val="20"/>
          <w:u w:val="single"/>
          <w:shd w:fill="FFFFFF" w:val="clear"/>
        </w:rPr>
        <w:t>Bakkt Management</w:t>
      </w:r>
      <w:r>
        <w:rPr>
          <w:rFonts w:ascii="Times New Roman;Times;Serif" w:hAnsi="Times New Roman;Times;Serif"/>
          <w:b w:val="false"/>
          <w:i w:val="false"/>
          <w:caps w:val="false"/>
          <w:smallCaps w:val="false"/>
          <w:sz w:val="20"/>
          <w:shd w:fill="FFFFFF" w:val="clear"/>
        </w:rPr>
        <w:t>”).</w:t>
      </w:r>
    </w:p>
    <w:p>
      <w:pPr>
        <w:pStyle w:val="TextBody"/>
        <w:bidi w:val="0"/>
        <w:spacing w:before="0" w:after="20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position w:val="7"/>
          <w:sz w:val="16"/>
          <w:sz w:val="20"/>
          <w:shd w:fill="FFFFFF" w:val="clear"/>
        </w:rPr>
        <w:t>(8)</w:t>
      </w:r>
      <w:r>
        <w:rPr>
          <w:rFonts w:ascii="Times New Roman;Times;Serif" w:hAnsi="Times New Roman;Times;Serif"/>
          <w:b w:val="false"/>
          <w:i w:val="false"/>
          <w:caps w:val="false"/>
          <w:smallCaps w:val="false"/>
          <w:sz w:val="20"/>
          <w:shd w:fill="FFFFFF" w:val="clear"/>
        </w:rPr>
        <w:t xml:space="preserve"> Includes 142,858 shares of Class A Common Stock underlying 142,858 unvested restricted stock units which vest within 60 days of the date of this Amendment.</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6 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 To the best knowledge of the Reporting Persons, no one other than the Reporting Persons has the right to receive or the power to direct the receipt of dividends from, or the proceeds from the sale of, the securities reported herein.</w:t>
      </w:r>
    </w:p>
    <w:p>
      <w:pPr>
        <w:pStyle w:val="TextBody"/>
        <w:bidi w:val="0"/>
        <w:spacing w:before="0" w:after="24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 Not applicable.</w:t>
      </w:r>
    </w:p>
    <w:tbl>
      <w:tblPr>
        <w:tblW w:w="5000" w:type="pct"/>
        <w:jc w:val="left"/>
        <w:tblInd w:w="0" w:type="dxa"/>
        <w:tblLayout w:type="fixed"/>
        <w:tblCellMar>
          <w:top w:w="0" w:type="dxa"/>
          <w:left w:w="0" w:type="dxa"/>
          <w:bottom w:w="0" w:type="dxa"/>
          <w:right w:w="0" w:type="dxa"/>
        </w:tblCellMar>
      </w:tblPr>
      <w:tblGrid>
        <w:gridCol w:w="37"/>
        <w:gridCol w:w="707"/>
        <w:gridCol w:w="9461"/>
      </w:tblGrid>
      <w:tr>
        <w:trPr/>
        <w:tc>
          <w:tcPr>
            <w:tcW w:w="3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b/>
              </w:rPr>
            </w:pPr>
            <w:r>
              <w:rPr>
                <w:b/>
              </w:rPr>
              <w:t>Item 6.</w:t>
            </w:r>
          </w:p>
        </w:tc>
        <w:tc>
          <w:tcPr>
            <w:tcW w:w="9461" w:type="dxa"/>
            <w:tcBorders/>
            <w:vAlign w:val="center"/>
          </w:tcPr>
          <w:p>
            <w:pPr>
              <w:pStyle w:val="TableContents"/>
              <w:bidi w:val="0"/>
              <w:spacing w:before="0" w:after="283"/>
              <w:jc w:val="left"/>
              <w:rPr>
                <w:b/>
              </w:rPr>
            </w:pPr>
            <w:r>
              <w:rPr>
                <w:b/>
              </w:rPr>
              <w:t>Contracts, Arrangements, Understandings or Relationships with Respect to Securities of the Issuer.</w:t>
            </w:r>
          </w:p>
        </w:tc>
      </w:tr>
    </w:tbl>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Item 6 of the Amended Schedule 13D is hereby supplemented and amended to add: (i) the information contained in Item 5 of this Amendment, which is incorporated by reference into this Item 6 as if fully set forth herein; and (ii) the following information:</w:t>
      </w:r>
    </w:p>
    <w:p>
      <w:pPr>
        <w:pStyle w:val="TextBody"/>
        <w:bidi w:val="0"/>
        <w:spacing w:before="0" w:after="240"/>
        <w:jc w:val="both"/>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Securities Purchase Agreement</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 February 29, 2024, ICEH entered into a securities purchase agreement (the “</w:t>
      </w:r>
      <w:r>
        <w:rPr>
          <w:rFonts w:ascii="Times New Roman;Times;Serif" w:hAnsi="Times New Roman;Times;Serif"/>
          <w:b w:val="false"/>
          <w:i w:val="false"/>
          <w:caps w:val="false"/>
          <w:smallCaps w:val="false"/>
          <w:sz w:val="24"/>
          <w:u w:val="single"/>
        </w:rPr>
        <w:t>February 2024 Purchase Agreement</w:t>
      </w:r>
      <w:r>
        <w:rPr>
          <w:rFonts w:ascii="Times New Roman;Times;Serif" w:hAnsi="Times New Roman;Times;Serif"/>
          <w:b w:val="false"/>
          <w:i w:val="false"/>
          <w:caps w:val="false"/>
          <w:smallCaps w:val="false"/>
          <w:sz w:val="24"/>
        </w:rPr>
        <w:t>”) with the Issuer pursuant to which the Issuer agreed to sell and issue to ICEH up to 11,534,025 shares of Class A Common Stock, Class 1 Warrants (the “</w:t>
      </w:r>
      <w:r>
        <w:rPr>
          <w:rFonts w:ascii="Times New Roman;Times;Serif" w:hAnsi="Times New Roman;Times;Serif"/>
          <w:b w:val="false"/>
          <w:i w:val="false"/>
          <w:caps w:val="false"/>
          <w:smallCaps w:val="false"/>
          <w:sz w:val="24"/>
          <w:u w:val="single"/>
        </w:rPr>
        <w:t>Class 1 Warrants</w:t>
      </w:r>
      <w:r>
        <w:rPr>
          <w:rFonts w:ascii="Times New Roman;Times;Serif" w:hAnsi="Times New Roman;Times;Serif"/>
          <w:b w:val="false"/>
          <w:i w:val="false"/>
          <w:caps w:val="false"/>
          <w:smallCaps w:val="false"/>
          <w:sz w:val="24"/>
        </w:rPr>
        <w:t>”) to purchase up to 5,767,012 shares of Class A Common Stock, and Class 2 Warrants (the “</w:t>
      </w:r>
      <w:r>
        <w:rPr>
          <w:rFonts w:ascii="Times New Roman;Times;Serif" w:hAnsi="Times New Roman;Times;Serif"/>
          <w:b w:val="false"/>
          <w:i w:val="false"/>
          <w:caps w:val="false"/>
          <w:smallCaps w:val="false"/>
          <w:sz w:val="24"/>
          <w:u w:val="single"/>
        </w:rPr>
        <w:t>Class 2 Warrants</w:t>
      </w:r>
      <w:r>
        <w:rPr>
          <w:rFonts w:ascii="Times New Roman;Times;Serif" w:hAnsi="Times New Roman;Times;Serif"/>
          <w:b w:val="false"/>
          <w:i w:val="false"/>
          <w:caps w:val="false"/>
          <w:smallCaps w:val="false"/>
          <w:sz w:val="24"/>
        </w:rPr>
        <w:t>”) to purchase up to 5,767,012 shares of Class A Common Stock in a registered direct offering (the “</w:t>
      </w:r>
      <w:r>
        <w:rPr>
          <w:rFonts w:ascii="Times New Roman;Times;Serif" w:hAnsi="Times New Roman;Times;Serif"/>
          <w:b w:val="false"/>
          <w:i w:val="false"/>
          <w:caps w:val="false"/>
          <w:smallCaps w:val="false"/>
          <w:sz w:val="24"/>
          <w:u w:val="single"/>
        </w:rPr>
        <w:t>ICE Offering</w:t>
      </w:r>
      <w:r>
        <w:rPr>
          <w:rFonts w:ascii="Times New Roman;Times;Serif" w:hAnsi="Times New Roman;Times;Serif"/>
          <w:b w:val="false"/>
          <w:i w:val="false"/>
          <w:caps w:val="false"/>
          <w:smallCaps w:val="false"/>
          <w:sz w:val="24"/>
        </w:rPr>
        <w:t>”). The purchase price of each share of Class A Common Stock and accompanying Class 1 Warrant or Class 2 Warrant (each, a “</w:t>
      </w:r>
      <w:r>
        <w:rPr>
          <w:rFonts w:ascii="Times New Roman;Times;Serif" w:hAnsi="Times New Roman;Times;Serif"/>
          <w:b w:val="false"/>
          <w:i w:val="false"/>
          <w:caps w:val="false"/>
          <w:smallCaps w:val="false"/>
          <w:sz w:val="24"/>
          <w:u w:val="single"/>
        </w:rPr>
        <w:t>Warrant</w:t>
      </w:r>
      <w:r>
        <w:rPr>
          <w:rFonts w:ascii="Times New Roman;Times;Serif" w:hAnsi="Times New Roman;Times;Serif"/>
          <w:b w:val="false"/>
          <w:i w:val="false"/>
          <w:caps w:val="false"/>
          <w:smallCaps w:val="false"/>
          <w:sz w:val="24"/>
        </w:rPr>
        <w:t>”) in the ICE Offering is $0.8670.</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February 2024 Purchase Agreement was entered into concurrently with a securities purchase agreement (the “</w:t>
      </w:r>
      <w:r>
        <w:rPr>
          <w:rFonts w:ascii="Times New Roman;Times;Serif" w:hAnsi="Times New Roman;Times;Serif"/>
          <w:b w:val="false"/>
          <w:i w:val="false"/>
          <w:caps w:val="false"/>
          <w:smallCaps w:val="false"/>
          <w:sz w:val="24"/>
          <w:u w:val="single"/>
        </w:rPr>
        <w:t>Third-Party Purchase Agreement</w:t>
      </w:r>
      <w:r>
        <w:rPr>
          <w:rFonts w:ascii="Times New Roman;Times;Serif" w:hAnsi="Times New Roman;Times;Serif"/>
          <w:b w:val="false"/>
          <w:i w:val="false"/>
          <w:caps w:val="false"/>
          <w:smallCaps w:val="false"/>
          <w:sz w:val="24"/>
        </w:rPr>
        <w:t>” and, together with the February 2024 Purchase Agreement, the “</w:t>
      </w:r>
      <w:r>
        <w:rPr>
          <w:rFonts w:ascii="Times New Roman;Times;Serif" w:hAnsi="Times New Roman;Times;Serif"/>
          <w:b w:val="false"/>
          <w:i w:val="false"/>
          <w:caps w:val="false"/>
          <w:smallCaps w:val="false"/>
          <w:sz w:val="24"/>
          <w:u w:val="single"/>
        </w:rPr>
        <w:t>Purchase Agreements</w:t>
      </w:r>
      <w:r>
        <w:rPr>
          <w:rFonts w:ascii="Times New Roman;Times;Serif" w:hAnsi="Times New Roman;Times;Serif"/>
          <w:b w:val="false"/>
          <w:i w:val="false"/>
          <w:caps w:val="false"/>
          <w:smallCaps w:val="false"/>
          <w:sz w:val="24"/>
        </w:rPr>
        <w:t>”) entered into between the Issuer and certain institutional investors (the “</w:t>
      </w:r>
      <w:r>
        <w:rPr>
          <w:rFonts w:ascii="Times New Roman;Times;Serif" w:hAnsi="Times New Roman;Times;Serif"/>
          <w:b w:val="false"/>
          <w:i w:val="false"/>
          <w:caps w:val="false"/>
          <w:smallCaps w:val="false"/>
          <w:sz w:val="24"/>
          <w:u w:val="single"/>
        </w:rPr>
        <w:t>Third-Party Purchasers</w:t>
      </w:r>
      <w:r>
        <w:rPr>
          <w:rFonts w:ascii="Times New Roman;Times;Serif" w:hAnsi="Times New Roman;Times;Serif"/>
          <w:b w:val="false"/>
          <w:i w:val="false"/>
          <w:caps w:val="false"/>
          <w:smallCaps w:val="false"/>
          <w:sz w:val="24"/>
        </w:rPr>
        <w:t>”), pursuant to which the Issuer agreed to sell and issue to the Third-Party Purchasers specified numbers of shares of Class A Common Stock, Warrants and Pre-Funded Warrants (“</w:t>
      </w:r>
      <w:r>
        <w:rPr>
          <w:rFonts w:ascii="Times New Roman;Times;Serif" w:hAnsi="Times New Roman;Times;Serif"/>
          <w:b w:val="false"/>
          <w:i w:val="false"/>
          <w:caps w:val="false"/>
          <w:smallCaps w:val="false"/>
          <w:sz w:val="24"/>
          <w:u w:val="single"/>
        </w:rPr>
        <w:t>Pre-Funded Warrants</w:t>
      </w:r>
      <w:r>
        <w:rPr>
          <w:rFonts w:ascii="Times New Roman;Times;Serif" w:hAnsi="Times New Roman;Times;Serif"/>
          <w:b w:val="false"/>
          <w:i w:val="false"/>
          <w:caps w:val="false"/>
          <w:smallCaps w:val="false"/>
          <w:sz w:val="24"/>
        </w:rPr>
        <w:t>”) to purchase shares of Class A Common Stock in a concurrent registered direct offering (the “</w:t>
      </w:r>
      <w:r>
        <w:rPr>
          <w:rFonts w:ascii="Times New Roman;Times;Serif" w:hAnsi="Times New Roman;Times;Serif"/>
          <w:b w:val="false"/>
          <w:i w:val="false"/>
          <w:caps w:val="false"/>
          <w:smallCaps w:val="false"/>
          <w:sz w:val="24"/>
          <w:u w:val="single"/>
        </w:rPr>
        <w:t>Third-Party Offering</w:t>
      </w:r>
      <w:r>
        <w:rPr>
          <w:rFonts w:ascii="Times New Roman;Times;Serif" w:hAnsi="Times New Roman;Times;Serif"/>
          <w:b w:val="false"/>
          <w:i w:val="false"/>
          <w:caps w:val="false"/>
          <w:smallCaps w:val="false"/>
          <w:sz w:val="24"/>
        </w:rPr>
        <w:t>” and, together with the ICE Offering, the “</w:t>
      </w:r>
      <w:r>
        <w:rPr>
          <w:rFonts w:ascii="Times New Roman;Times;Serif" w:hAnsi="Times New Roman;Times;Serif"/>
          <w:b w:val="false"/>
          <w:i w:val="false"/>
          <w:caps w:val="false"/>
          <w:smallCaps w:val="false"/>
          <w:sz w:val="24"/>
          <w:u w:val="single"/>
        </w:rPr>
        <w:t>Concurrent Offerings</w:t>
      </w:r>
      <w:r>
        <w:rPr>
          <w:rFonts w:ascii="Times New Roman;Times;Serif" w:hAnsi="Times New Roman;Times;Serif"/>
          <w:b w:val="false"/>
          <w:i w:val="false"/>
          <w:caps w:val="false"/>
          <w:smallCaps w:val="false"/>
          <w:sz w:val="24"/>
        </w:rPr>
        <w:t>”). The purchase price of each share of Class A Common Stock and accompanying Warrant was $0.8670 and the purchase price of each Pre-Funded Warrant and accompanying Warrant was $0.8669.</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 March 4, 2024, ICEH acquired 2,762,009 shares of Class A Common Stock, Class 1 Warrants to purchase up to 1,381,004 shares of Class A Common Stock (the “</w:t>
      </w:r>
      <w:r>
        <w:rPr>
          <w:rFonts w:ascii="Times New Roman;Times;Serif" w:hAnsi="Times New Roman;Times;Serif"/>
          <w:b w:val="false"/>
          <w:i w:val="false"/>
          <w:caps w:val="false"/>
          <w:smallCaps w:val="false"/>
          <w:sz w:val="24"/>
          <w:u w:val="single"/>
        </w:rPr>
        <w:t>Initial Closing Class 1 Warrants</w:t>
      </w:r>
      <w:r>
        <w:rPr>
          <w:rFonts w:ascii="Times New Roman;Times;Serif" w:hAnsi="Times New Roman;Times;Serif"/>
          <w:b w:val="false"/>
          <w:i w:val="false"/>
          <w:caps w:val="false"/>
          <w:smallCaps w:val="false"/>
          <w:sz w:val="24"/>
        </w:rPr>
        <w:t>”), and Class 2 Warrants to purchase up to 1,381,004 shares of Class A Common Stock (the “</w:t>
      </w:r>
      <w:r>
        <w:rPr>
          <w:rFonts w:ascii="Times New Roman;Times;Serif" w:hAnsi="Times New Roman;Times;Serif"/>
          <w:b w:val="false"/>
          <w:i w:val="false"/>
          <w:caps w:val="false"/>
          <w:smallCaps w:val="false"/>
          <w:sz w:val="24"/>
          <w:u w:val="single"/>
        </w:rPr>
        <w:t>Initial Closing Class 2 Warrants</w:t>
      </w:r>
      <w:r>
        <w:rPr>
          <w:rFonts w:ascii="Times New Roman;Times;Serif" w:hAnsi="Times New Roman;Times;Serif"/>
          <w:b w:val="false"/>
          <w:i w:val="false"/>
          <w:caps w:val="false"/>
          <w:smallCaps w:val="false"/>
          <w:sz w:val="24"/>
        </w:rPr>
        <w:t>” and, together with the Initial Closing Class 1 Warrants, the “</w:t>
      </w:r>
      <w:r>
        <w:rPr>
          <w:rFonts w:ascii="Times New Roman;Times;Serif" w:hAnsi="Times New Roman;Times;Serif"/>
          <w:b w:val="false"/>
          <w:i w:val="false"/>
          <w:caps w:val="false"/>
          <w:smallCaps w:val="false"/>
          <w:sz w:val="24"/>
          <w:u w:val="single"/>
        </w:rPr>
        <w:t>Initial Closing Warrants</w:t>
      </w:r>
      <w:r>
        <w:rPr>
          <w:rFonts w:ascii="Times New Roman;Times;Serif" w:hAnsi="Times New Roman;Times;Serif"/>
          <w:b w:val="false"/>
          <w:i w:val="false"/>
          <w:caps w:val="false"/>
          <w:smallCaps w:val="false"/>
          <w:sz w:val="24"/>
        </w:rPr>
        <w:t>”) for an aggregate purchase price of $2,394,661.80 pursuant to the ICE Offering, concurrently with the closing of the Third-Party Offering (the “</w:t>
      </w:r>
      <w:r>
        <w:rPr>
          <w:rFonts w:ascii="Times New Roman;Times;Serif" w:hAnsi="Times New Roman;Times;Serif"/>
          <w:b w:val="false"/>
          <w:i w:val="false"/>
          <w:caps w:val="false"/>
          <w:smallCaps w:val="false"/>
          <w:sz w:val="24"/>
          <w:u w:val="single"/>
        </w:rPr>
        <w:t>Initial Closing</w:t>
      </w:r>
      <w:r>
        <w:rPr>
          <w:rFonts w:ascii="Times New Roman;Times;Serif" w:hAnsi="Times New Roman;Times;Serif"/>
          <w:b w:val="false"/>
          <w:i w:val="false"/>
          <w:caps w:val="false"/>
          <w:smallCaps w:val="false"/>
          <w:sz w:val="24"/>
        </w:rPr>
        <w:t>”). The closing of the acquisition by ICEH of the remaining 8,772,016 shares of Class A Common Stock, Class 1 Warrants to purchase up to 4,386,008 shares of Class A Common Stock and Class 2 Warrants to purchase up to 4,386,008 shares of Class A Common Stock to be sold and issued by the Issuer pursuant to the ICE Offering is conditioned on the Issuer obtaining stockholder approval for such issuances under the rules and regulations of the New York Stock Exchange (the “</w:t>
      </w:r>
      <w:r>
        <w:rPr>
          <w:rFonts w:ascii="Times New Roman;Times;Serif" w:hAnsi="Times New Roman;Times;Serif"/>
          <w:b w:val="false"/>
          <w:i w:val="false"/>
          <w:caps w:val="false"/>
          <w:smallCaps w:val="false"/>
          <w:sz w:val="24"/>
          <w:u w:val="single"/>
        </w:rPr>
        <w:t>NYSE</w:t>
      </w:r>
      <w:r>
        <w:rPr>
          <w:rFonts w:ascii="Times New Roman;Times;Serif" w:hAnsi="Times New Roman;Times;Serif"/>
          <w:b w:val="false"/>
          <w:i w:val="false"/>
          <w:caps w:val="false"/>
          <w:smallCaps w:val="false"/>
          <w:sz w:val="24"/>
        </w:rPr>
        <w:t>”) and other customary closing conditions.</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7 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Warrants have an exercise price of $1.0200 per share, which will be payable in cash or on a cashless basis, will generally be exercisable beginning six months after the date of the Initial Closing (September 4, 2024), and will expire five and one-half years after the date of the Initial Closing (September 4, 2029). The Warrants have identical terms, except that the Class 2 Warrants also contain an alternative cashless exercise provision that, after the Issuer obtains the Stockholder Approval (as defined below), will allow the holder of each Class 2 Warrant to exercise such Class 2 Warrant on a cashless basis and receive a number of shares of Class A Common Stock equal to 50% of the shares of Class A Common Stock then underlying the Class 2 Warrant if the closing trading price of shares of Class A Common Stock is lower than the exercise price of the Class 2 Warrants for each of the three consecutive trading days ending on the trading day prior to the date on which notice of exercise is given. ICE received 50% of its Warrants in Class 1 Warrants and the other 50% in Class 2 Warrants. The Warrants contain customary adjustment, assumption or cash-out provisions in the event of a sale of the Issuer.</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Under the February 2024 Purchase Agreement, the Issuer agreed to seek stockholder approval for the issuance of the Class A Common Stock pursuant to the ICE Offering that remains unissued following the Initial Closing and Class A Common Stock underlying the related Warrants that exceed the limitations of the Listed Company Manual of the NYSE, as well as the shares of Class A Common Stock issuable under the alternative cashless exercise provision of the Class 2 Warrants issued in the Concurrent Offerings, each in accordance with the rules and regulations of the NYSE (the “</w:t>
      </w:r>
      <w:r>
        <w:rPr>
          <w:rFonts w:ascii="Times New Roman;Times;Serif" w:hAnsi="Times New Roman;Times;Serif"/>
          <w:b w:val="false"/>
          <w:i w:val="false"/>
          <w:caps w:val="false"/>
          <w:smallCaps w:val="false"/>
          <w:sz w:val="24"/>
          <w:u w:val="single"/>
        </w:rPr>
        <w:t>Stockholder Approval</w:t>
      </w:r>
      <w:r>
        <w:rPr>
          <w:rFonts w:ascii="Times New Roman;Times;Serif" w:hAnsi="Times New Roman;Times;Serif"/>
          <w:b w:val="false"/>
          <w:i w:val="false"/>
          <w:caps w:val="false"/>
          <w:smallCaps w:val="false"/>
          <w:sz w:val="24"/>
        </w:rPr>
        <w:t>”).</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February 2024 Purchase Agreement contains customary representations, warranties and agreements by the Issuer and by ICEH, conditions to closing, indemnification obligations of the Issuer, other obligations of the parties and termination provisions.</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foregoing descriptions of the February 2024 Purchase Agreement, the Class 1 Warrants and the Class 2 Warrants are not complete and are qualified in their entirety by reference to the full text thereof, copies of which are filed as Exhibits 99.15, 99.17 and 99.18 to this Amendment and are incorporated by reference herein.</w:t>
      </w:r>
    </w:p>
    <w:p>
      <w:pPr>
        <w:pStyle w:val="TextBody"/>
        <w:bidi w:val="0"/>
        <w:spacing w:before="0" w:after="240"/>
        <w:jc w:val="both"/>
        <w:rPr>
          <w:rFonts w:ascii="Times New Roman;Times;Serif" w:hAnsi="Times New Roman;Times;Serif"/>
          <w:b/>
          <w:i/>
          <w:caps w:val="false"/>
          <w:smallCaps w:val="false"/>
          <w:sz w:val="24"/>
        </w:rPr>
      </w:pPr>
      <w:r>
        <w:rPr>
          <w:rFonts w:ascii="Times New Roman;Times;Serif" w:hAnsi="Times New Roman;Times;Serif"/>
          <w:b/>
          <w:i/>
          <w:caps w:val="false"/>
          <w:smallCaps w:val="false"/>
          <w:sz w:val="24"/>
        </w:rPr>
        <w:t>Voting Support Agreement</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On February 29, 2024, in connection with the Concurrent Offerings, ICEH entered into a voting support agreement (the “</w:t>
      </w:r>
      <w:r>
        <w:rPr>
          <w:rFonts w:ascii="Times New Roman;Times;Serif" w:hAnsi="Times New Roman;Times;Serif"/>
          <w:b w:val="false"/>
          <w:i w:val="false"/>
          <w:caps w:val="false"/>
          <w:smallCaps w:val="false"/>
          <w:sz w:val="24"/>
          <w:u w:val="single"/>
        </w:rPr>
        <w:t>Voting Support Agreement</w:t>
      </w:r>
      <w:r>
        <w:rPr>
          <w:rFonts w:ascii="Times New Roman;Times;Serif" w:hAnsi="Times New Roman;Times;Serif"/>
          <w:b w:val="false"/>
          <w:i w:val="false"/>
          <w:caps w:val="false"/>
          <w:smallCaps w:val="false"/>
          <w:sz w:val="24"/>
        </w:rPr>
        <w:t>”) with the Issuer, pursuant to which ICEH agreed, among other things, to vote in favor of proposals seeking to obtain the Stockholder Approval.</w:t>
      </w:r>
    </w:p>
    <w:p>
      <w:pPr>
        <w:pStyle w:val="TextBody"/>
        <w:bidi w:val="0"/>
        <w:spacing w:before="0" w:after="2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foregoing description of the Voting Support Agreement is not complete and is qualified in its entirety by reference to the full text of the Voting Support Agreement, a copy of which is filed as Exhibit 99.16 to this Amendment and is incorporated by reference herein.</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8 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1798"/>
        <w:gridCol w:w="8313"/>
      </w:tblGrid>
      <w:tr>
        <w:trPr/>
        <w:tc>
          <w:tcPr>
            <w:tcW w:w="94"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b/>
              </w:rPr>
            </w:pPr>
            <w:r>
              <w:rPr>
                <w:b/>
              </w:rPr>
              <w:t>Item 7.</w:t>
            </w:r>
          </w:p>
        </w:tc>
        <w:tc>
          <w:tcPr>
            <w:tcW w:w="8313" w:type="dxa"/>
            <w:tcBorders/>
            <w:vAlign w:val="center"/>
          </w:tcPr>
          <w:p>
            <w:pPr>
              <w:pStyle w:val="TableContents"/>
              <w:bidi w:val="0"/>
              <w:spacing w:before="0" w:after="283"/>
              <w:jc w:val="left"/>
              <w:rPr>
                <w:b/>
              </w:rPr>
            </w:pPr>
            <w:r>
              <w:rPr>
                <w:b/>
              </w:rPr>
              <w:t>Materials to be Filed as Exhibits.</w:t>
            </w:r>
          </w:p>
        </w:tc>
      </w:tr>
    </w:tbl>
    <w:tbl>
      <w:tblPr>
        <w:tblW w:w="10205" w:type="dxa"/>
        <w:jc w:val="left"/>
        <w:tblInd w:w="-10" w:type="dxa"/>
        <w:tblLayout w:type="fixed"/>
        <w:tblCellMar>
          <w:top w:w="28" w:type="dxa"/>
          <w:left w:w="108" w:type="dxa"/>
          <w:bottom w:w="28" w:type="dxa"/>
          <w:right w:w="108" w:type="dxa"/>
        </w:tblCellMar>
      </w:tblPr>
      <w:tblGrid>
        <w:gridCol w:w="1009"/>
        <w:gridCol w:w="9196"/>
      </w:tblGrid>
      <w:tr>
        <w:trPr/>
        <w:tc>
          <w:tcPr>
            <w:tcW w:w="10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u w:val="single"/>
              </w:rPr>
              <w:t>Exhibit 99.1</w:t>
            </w:r>
            <w:r>
              <w:rPr>
                <w:rFonts w:ascii="Times New Roman;Times;Serif" w:hAnsi="Times New Roman;Times;Serif"/>
                <w:b w:val="false"/>
                <w:i w:val="false"/>
                <w:caps w:val="false"/>
                <w:smallCaps w:val="false"/>
                <w:sz w:val="24"/>
              </w:rPr>
              <w:t>*</w:t>
            </w:r>
          </w:p>
        </w:tc>
        <w:tc>
          <w:tcPr>
            <w:tcW w:w="91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hyperlink r:id="rId2">
              <w:r>
                <w:rPr>
                  <w:rStyle w:val="InternetLink"/>
                  <w:rFonts w:ascii="Times New Roman;Times;Serif" w:hAnsi="Times New Roman;Times;Serif"/>
                  <w:b w:val="false"/>
                  <w:i w:val="false"/>
                  <w:caps w:val="false"/>
                  <w:smallCaps w:val="false"/>
                  <w:sz w:val="24"/>
                </w:rPr>
                <w:t>Joint Filing Agreement, dated as of October 21, 2021, by and among the Reporting Persons (incorporated by reference to Exhibit 99.1 to the Schedule 13D filed by the Reporting Persons with the SEC on October 21, 2021).</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99.2</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3">
              <w:r>
                <w:rPr>
                  <w:rStyle w:val="InternetLink"/>
                  <w:rFonts w:ascii="Times New Roman;Times;Serif" w:hAnsi="Times New Roman;Times;Serif"/>
                  <w:b w:val="false"/>
                  <w:i w:val="false"/>
                  <w:caps w:val="false"/>
                  <w:smallCaps w:val="false"/>
                  <w:sz w:val="24"/>
                </w:rPr>
                <w:t>Agreement and Plan of Merger (incorporated by reference to Exhibit 2.1 to the Issuer’s Current Report on Form 8-K filed on January 11, 2021).</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99.3</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4">
              <w:r>
                <w:rPr>
                  <w:rStyle w:val="InternetLink"/>
                  <w:rFonts w:ascii="Times New Roman;Times;Serif" w:hAnsi="Times New Roman;Times;Serif"/>
                  <w:b w:val="false"/>
                  <w:i w:val="false"/>
                  <w:caps w:val="false"/>
                  <w:smallCaps w:val="false"/>
                  <w:sz w:val="24"/>
                </w:rPr>
                <w:t>Amendment to Agreement and Plan of Merger (incorporated by reference to Exhibit 2.1 to the Issuer’s Current Report on Form 8-K filed on March 31, 2021).</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99.4</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5">
              <w:r>
                <w:rPr>
                  <w:rStyle w:val="InternetLink"/>
                  <w:rFonts w:ascii="Times New Roman;Times;Serif" w:hAnsi="Times New Roman;Times;Serif"/>
                  <w:b w:val="false"/>
                  <w:i w:val="false"/>
                  <w:caps w:val="false"/>
                  <w:smallCaps w:val="false"/>
                  <w:sz w:val="24"/>
                </w:rPr>
                <w:t>Amendment to Agreement and Plan of Merger (incorporated by reference to Exhibit 2.1 to the Issuer’s Current Report on Form 8-K filed on September 30, 2021).</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99.5</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6">
              <w:r>
                <w:rPr>
                  <w:rStyle w:val="InternetLink"/>
                  <w:rFonts w:ascii="Times New Roman;Times;Serif" w:hAnsi="Times New Roman;Times;Serif"/>
                  <w:b w:val="false"/>
                  <w:i w:val="false"/>
                  <w:caps w:val="false"/>
                  <w:smallCaps w:val="false"/>
                  <w:sz w:val="24"/>
                </w:rPr>
                <w:t>Certificate of Incorporation of the Issuer (incorporated by reference to Exhibit 3.1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99.6</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7">
              <w:r>
                <w:rPr>
                  <w:rStyle w:val="InternetLink"/>
                  <w:rFonts w:ascii="Times New Roman;Times;Serif" w:hAnsi="Times New Roman;Times;Serif"/>
                  <w:b w:val="false"/>
                  <w:i w:val="false"/>
                  <w:caps w:val="false"/>
                  <w:smallCaps w:val="false"/>
                  <w:sz w:val="24"/>
                </w:rPr>
                <w:t>Exchange Agreement (incorporated by reference to Exhibit 10.4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99.7</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8">
              <w:r>
                <w:rPr>
                  <w:rStyle w:val="InternetLink"/>
                  <w:rFonts w:ascii="Times New Roman;Times;Serif" w:hAnsi="Times New Roman;Times;Serif"/>
                  <w:b w:val="false"/>
                  <w:i w:val="false"/>
                  <w:caps w:val="false"/>
                  <w:smallCaps w:val="false"/>
                  <w:sz w:val="24"/>
                </w:rPr>
                <w:t>Amended and Restated Limited Liability Company Agreement (incorporated by reference to Exhibit 4.3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99.8</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9">
              <w:r>
                <w:rPr>
                  <w:rStyle w:val="InternetLink"/>
                  <w:rFonts w:ascii="Times New Roman;Times;Serif" w:hAnsi="Times New Roman;Times;Serif"/>
                  <w:b w:val="false"/>
                  <w:i w:val="false"/>
                  <w:caps w:val="false"/>
                  <w:smallCaps w:val="false"/>
                  <w:sz w:val="24"/>
                </w:rPr>
                <w:t>Voting Agreement (incorporated by reference to Exhibit 10.3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99.9</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10">
              <w:r>
                <w:rPr>
                  <w:rStyle w:val="InternetLink"/>
                  <w:rFonts w:ascii="Times New Roman;Times;Serif" w:hAnsi="Times New Roman;Times;Serif"/>
                  <w:b w:val="false"/>
                  <w:i w:val="false"/>
                  <w:caps w:val="false"/>
                  <w:smallCaps w:val="false"/>
                  <w:sz w:val="24"/>
                </w:rPr>
                <w:t>Stockholders Agreement (incorporated by reference to Exhibit 10.2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99.10</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11">
              <w:r>
                <w:rPr>
                  <w:rStyle w:val="InternetLink"/>
                  <w:rFonts w:ascii="Times New Roman;Times;Serif" w:hAnsi="Times New Roman;Times;Serif"/>
                  <w:b w:val="false"/>
                  <w:i w:val="false"/>
                  <w:caps w:val="false"/>
                  <w:smallCaps w:val="false"/>
                  <w:sz w:val="24"/>
                </w:rPr>
                <w:t>Registration Rights Agreement (incorporated by reference to Exhibit 10.1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99.11</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12">
              <w:r>
                <w:rPr>
                  <w:rStyle w:val="InternetLink"/>
                  <w:rFonts w:ascii="Times New Roman;Times;Serif" w:hAnsi="Times New Roman;Times;Serif"/>
                  <w:b w:val="false"/>
                  <w:i w:val="false"/>
                  <w:caps w:val="false"/>
                  <w:smallCaps w:val="false"/>
                  <w:sz w:val="24"/>
                </w:rPr>
                <w:t>Tax Receivable Agreement (incorporated by reference to Exhibit 10.5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u w:val="single"/>
              </w:rPr>
              <w:t>Exhibit 99.12</w:t>
            </w:r>
            <w:r>
              <w:rPr>
                <w:rFonts w:ascii="Times New Roman;Times;Serif" w:hAnsi="Times New Roman;Times;Serif"/>
                <w:b w:val="false"/>
                <w:i w:val="false"/>
                <w:caps w:val="false"/>
                <w:smallCaps w:val="false"/>
                <w:sz w:val="24"/>
              </w:rPr>
              <w:t>*</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13">
              <w:r>
                <w:rPr>
                  <w:rStyle w:val="InternetLink"/>
                  <w:rFonts w:ascii="Times New Roman;Times;Serif" w:hAnsi="Times New Roman;Times;Serif"/>
                  <w:b w:val="false"/>
                  <w:i w:val="false"/>
                  <w:caps w:val="false"/>
                  <w:smallCaps w:val="false"/>
                  <w:sz w:val="24"/>
                </w:rPr>
                <w:t>Amended and Restated Subscription Agreement.</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99.13</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14">
              <w:r>
                <w:rPr>
                  <w:rStyle w:val="InternetLink"/>
                  <w:rFonts w:ascii="Times New Roman;Times;Serif" w:hAnsi="Times New Roman;Times;Serif"/>
                  <w:b w:val="false"/>
                  <w:i w:val="false"/>
                  <w:caps w:val="false"/>
                  <w:smallCaps w:val="false"/>
                  <w:sz w:val="24"/>
                </w:rPr>
                <w:t>Cooperation Agreement (incorporated by reference to Exhibit 10.6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99.14</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r:id="rId15">
              <w:r>
                <w:rPr>
                  <w:rStyle w:val="InternetLink"/>
                  <w:rFonts w:ascii="Times New Roman;Times;Serif" w:hAnsi="Times New Roman;Times;Serif"/>
                  <w:b w:val="false"/>
                  <w:i w:val="false"/>
                  <w:caps w:val="false"/>
                  <w:smallCaps w:val="false"/>
                  <w:sz w:val="24"/>
                </w:rPr>
                <w:t>Amended and Restated Exchange Agreement (incorporated by reference to Exhibit 10.1 to the Issuer’s Current Report on Form 8-K filed on May 4, 2022).</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99.15</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w:anchor="ss3098627_ex9915.htm">
              <w:r>
                <w:rPr>
                  <w:rStyle w:val="InternetLink"/>
                  <w:rFonts w:ascii="Times New Roman;Times;Serif" w:hAnsi="Times New Roman;Times;Serif"/>
                  <w:b w:val="false"/>
                  <w:i w:val="false"/>
                  <w:caps w:val="false"/>
                  <w:smallCaps w:val="false"/>
                  <w:sz w:val="24"/>
                </w:rPr>
                <w:t>Securities Purchase Agreement.</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99.16</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w:anchor="ss3098627_ex9916.htm">
              <w:r>
                <w:rPr>
                  <w:rStyle w:val="InternetLink"/>
                  <w:rFonts w:ascii="Times New Roman;Times;Serif" w:hAnsi="Times New Roman;Times;Serif"/>
                  <w:b w:val="false"/>
                  <w:i w:val="false"/>
                  <w:caps w:val="false"/>
                  <w:smallCaps w:val="false"/>
                  <w:sz w:val="24"/>
                </w:rPr>
                <w:t>Voting Support Agreement.</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99.17</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w:anchor="ss3098627_ex9917.htm">
              <w:r>
                <w:rPr>
                  <w:rStyle w:val="InternetLink"/>
                  <w:rFonts w:ascii="Times New Roman;Times;Serif" w:hAnsi="Times New Roman;Times;Serif"/>
                  <w:b w:val="false"/>
                  <w:i w:val="false"/>
                  <w:caps w:val="false"/>
                  <w:smallCaps w:val="false"/>
                  <w:color w:val="0563C1"/>
                  <w:sz w:val="24"/>
                  <w:u w:val="single"/>
                </w:rPr>
                <w:t>Class 1 Warrant issued by the Issuer on March 4, 2024.</w:t>
              </w:r>
            </w:hyperlink>
          </w:p>
        </w:tc>
      </w:tr>
      <w:tr>
        <w:trPr/>
        <w:tc>
          <w:tcPr>
            <w:tcW w:w="10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99.18</w:t>
            </w:r>
          </w:p>
        </w:tc>
        <w:tc>
          <w:tcPr>
            <w:tcW w:w="91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hyperlink w:anchor="ss3098627_ex9918.htm">
              <w:r>
                <w:rPr>
                  <w:rStyle w:val="InternetLink"/>
                  <w:rFonts w:ascii="Times New Roman;Times;Serif" w:hAnsi="Times New Roman;Times;Serif"/>
                  <w:b w:val="false"/>
                  <w:i w:val="false"/>
                  <w:caps w:val="false"/>
                  <w:smallCaps w:val="false"/>
                  <w:color w:val="0563C1"/>
                  <w:sz w:val="24"/>
                  <w:u w:val="single"/>
                </w:rPr>
                <w:t>Class 2 Warrant issued by the Issuer on March 4, 2024.</w:t>
              </w:r>
            </w:hyperlink>
          </w:p>
        </w:tc>
      </w:tr>
    </w:tbl>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Previously filed</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9 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SIGNATURES</w:t>
      </w:r>
    </w:p>
    <w:p>
      <w:pPr>
        <w:pStyle w:val="TextBody"/>
        <w:bidi w:val="0"/>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After reasonable inquiry and to the best the undersigned’s knowledge and belief, the undersigned certifies that the information set forth in this statement is true, complete and correct.</w:t>
      </w:r>
    </w:p>
    <w:p>
      <w:pPr>
        <w:pStyle w:val="TextBody"/>
        <w:bidi w:val="0"/>
        <w:spacing w:before="0" w:after="240"/>
        <w:ind w:left="0" w:right="0" w:firstLine="1440"/>
        <w:jc w:val="both"/>
        <w:rPr>
          <w:caps w:val="false"/>
          <w:smallCaps w:val="false"/>
        </w:rPr>
      </w:pPr>
      <w:r>
        <w:rPr>
          <w:caps w:val="false"/>
          <w:smallCaps w:val="false"/>
        </w:rPr>
        <w:t> </w:t>
      </w:r>
    </w:p>
    <w:tbl>
      <w:tblPr>
        <w:tblW w:w="6324" w:type="dxa"/>
        <w:jc w:val="left"/>
        <w:tblInd w:w="0" w:type="dxa"/>
        <w:tblLayout w:type="fixed"/>
        <w:tblCellMar>
          <w:top w:w="0" w:type="dxa"/>
          <w:left w:w="0" w:type="dxa"/>
          <w:bottom w:w="0" w:type="dxa"/>
          <w:right w:w="0" w:type="dxa"/>
        </w:tblCellMar>
      </w:tblPr>
      <w:tblGrid>
        <w:gridCol w:w="2120"/>
        <w:gridCol w:w="451"/>
        <w:gridCol w:w="3753"/>
      </w:tblGrid>
      <w:tr>
        <w:trPr/>
        <w:tc>
          <w:tcPr>
            <w:tcW w:w="2120" w:type="dxa"/>
            <w:tcBorders/>
            <w:vAlign w:val="center"/>
          </w:tcPr>
          <w:p>
            <w:pPr>
              <w:pStyle w:val="TableContents"/>
              <w:bidi w:val="0"/>
              <w:spacing w:before="0" w:after="283"/>
              <w:jc w:val="left"/>
              <w:rPr/>
            </w:pPr>
            <w:r>
              <w:rPr/>
              <w:t>Dated: March 4, 2024</w:t>
            </w:r>
          </w:p>
        </w:tc>
        <w:tc>
          <w:tcPr>
            <w:tcW w:w="4204" w:type="dxa"/>
            <w:gridSpan w:val="2"/>
            <w:tcBorders/>
            <w:vAlign w:val="center"/>
          </w:tcPr>
          <w:p>
            <w:pPr>
              <w:pStyle w:val="TableContents"/>
              <w:bidi w:val="0"/>
              <w:spacing w:before="0" w:after="283"/>
              <w:jc w:val="left"/>
              <w:rPr>
                <w:b/>
              </w:rPr>
            </w:pPr>
            <w:r>
              <w:rPr>
                <w:b/>
              </w:rPr>
              <w:t>Intercontinental Exchange, Inc.</w:t>
            </w:r>
          </w:p>
        </w:tc>
      </w:tr>
      <w:tr>
        <w:trPr/>
        <w:tc>
          <w:tcPr>
            <w:tcW w:w="2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53"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By:</w:t>
            </w:r>
          </w:p>
        </w:tc>
        <w:tc>
          <w:tcPr>
            <w:tcW w:w="3753" w:type="dxa"/>
            <w:tcBorders>
              <w:bottom w:val="single" w:sz="8" w:space="0" w:color="000000"/>
            </w:tcBorders>
            <w:tcMar>
              <w:bottom w:w="28" w:type="dxa"/>
            </w:tcMar>
            <w:vAlign w:val="center"/>
          </w:tcPr>
          <w:p>
            <w:pPr>
              <w:pStyle w:val="TableContents"/>
              <w:bidi w:val="0"/>
              <w:spacing w:before="0" w:after="283"/>
              <w:jc w:val="left"/>
              <w:rPr/>
            </w:pPr>
            <w:r>
              <w:rPr/>
              <w:t>/s/ Andrew J. Surdykowski</w:t>
            </w:r>
          </w:p>
        </w:tc>
      </w:tr>
      <w:tr>
        <w:trPr/>
        <w:tc>
          <w:tcPr>
            <w:tcW w:w="2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53" w:type="dxa"/>
            <w:tcBorders/>
            <w:vAlign w:val="center"/>
          </w:tcPr>
          <w:p>
            <w:pPr>
              <w:pStyle w:val="TableContents"/>
              <w:bidi w:val="0"/>
              <w:spacing w:before="0" w:after="283"/>
              <w:jc w:val="left"/>
              <w:rPr/>
            </w:pPr>
            <w:r>
              <w:rPr/>
              <w:t>Name: Andrew J. Surdykowski</w:t>
            </w:r>
          </w:p>
        </w:tc>
      </w:tr>
      <w:tr>
        <w:trPr/>
        <w:tc>
          <w:tcPr>
            <w:tcW w:w="2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53" w:type="dxa"/>
            <w:tcBorders/>
            <w:vAlign w:val="center"/>
          </w:tcPr>
          <w:p>
            <w:pPr>
              <w:pStyle w:val="TableContents"/>
              <w:bidi w:val="0"/>
              <w:spacing w:before="0" w:after="283"/>
              <w:jc w:val="left"/>
              <w:rPr/>
            </w:pPr>
            <w:r>
              <w:rPr/>
              <w:t>Title: General Counsel</w:t>
            </w:r>
          </w:p>
        </w:tc>
      </w:tr>
      <w:tr>
        <w:trPr/>
        <w:tc>
          <w:tcPr>
            <w:tcW w:w="2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53"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53"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4204" w:type="dxa"/>
            <w:gridSpan w:val="2"/>
            <w:tcBorders/>
            <w:vAlign w:val="center"/>
          </w:tcPr>
          <w:p>
            <w:pPr>
              <w:pStyle w:val="TableContents"/>
              <w:bidi w:val="0"/>
              <w:spacing w:before="0" w:after="283"/>
              <w:jc w:val="left"/>
              <w:rPr>
                <w:b/>
              </w:rPr>
            </w:pPr>
            <w:r>
              <w:rPr>
                <w:b/>
              </w:rPr>
              <w:t>Intercontinental Exchange Holdings, Inc.</w:t>
            </w:r>
          </w:p>
        </w:tc>
      </w:tr>
      <w:tr>
        <w:trPr/>
        <w:tc>
          <w:tcPr>
            <w:tcW w:w="2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53"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53"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By:</w:t>
            </w:r>
          </w:p>
        </w:tc>
        <w:tc>
          <w:tcPr>
            <w:tcW w:w="3753" w:type="dxa"/>
            <w:tcBorders>
              <w:bottom w:val="single" w:sz="8" w:space="0" w:color="000000"/>
            </w:tcBorders>
            <w:tcMar>
              <w:bottom w:w="28" w:type="dxa"/>
            </w:tcMar>
            <w:vAlign w:val="center"/>
          </w:tcPr>
          <w:p>
            <w:pPr>
              <w:pStyle w:val="TableContents"/>
              <w:bidi w:val="0"/>
              <w:spacing w:before="0" w:after="283"/>
              <w:jc w:val="left"/>
              <w:rPr/>
            </w:pPr>
            <w:r>
              <w:rPr/>
              <w:t>/s/ Andrew J. Surdykowski</w:t>
            </w:r>
          </w:p>
        </w:tc>
      </w:tr>
      <w:tr>
        <w:trPr/>
        <w:tc>
          <w:tcPr>
            <w:tcW w:w="2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53" w:type="dxa"/>
            <w:tcBorders/>
            <w:vAlign w:val="center"/>
          </w:tcPr>
          <w:p>
            <w:pPr>
              <w:pStyle w:val="TableContents"/>
              <w:bidi w:val="0"/>
              <w:spacing w:before="0" w:after="283"/>
              <w:jc w:val="left"/>
              <w:rPr/>
            </w:pPr>
            <w:r>
              <w:rPr/>
              <w:t>Name: Andrew J. Surdykowski</w:t>
            </w:r>
          </w:p>
        </w:tc>
      </w:tr>
      <w:tr>
        <w:trPr/>
        <w:tc>
          <w:tcPr>
            <w:tcW w:w="2120"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3753" w:type="dxa"/>
            <w:tcBorders/>
            <w:vAlign w:val="center"/>
          </w:tcPr>
          <w:p>
            <w:pPr>
              <w:pStyle w:val="TableContents"/>
              <w:bidi w:val="0"/>
              <w:spacing w:before="0" w:after="283"/>
              <w:jc w:val="left"/>
              <w:rPr/>
            </w:pPr>
            <w:r>
              <w:rPr/>
              <w:t>Title: General Counsel</w:t>
            </w:r>
          </w:p>
        </w:tc>
      </w:tr>
    </w:tbl>
    <w:tbl>
      <w:tblPr>
        <w:tblW w:w="3425" w:type="dxa"/>
        <w:jc w:val="left"/>
        <w:tblInd w:w="0" w:type="dxa"/>
        <w:tblLayout w:type="fixed"/>
        <w:tblCellMar>
          <w:top w:w="0" w:type="dxa"/>
          <w:left w:w="0" w:type="dxa"/>
          <w:bottom w:w="0" w:type="dxa"/>
          <w:right w:w="0" w:type="dxa"/>
        </w:tblCellMar>
      </w:tblPr>
      <w:tblGrid>
        <w:gridCol w:w="75"/>
        <w:gridCol w:w="3275"/>
        <w:gridCol w:w="75"/>
      </w:tblGrid>
      <w:tr>
        <w:trPr/>
        <w:tc>
          <w:tcPr>
            <w:tcW w:w="75"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283"/>
              <w:jc w:val="center"/>
              <w:rPr/>
            </w:pPr>
            <w:r>
              <w:rPr/>
              <w:t>[</w:t>
            </w:r>
            <w:r>
              <w:rPr>
                <w:i/>
              </w:rPr>
              <w:t>Signature Page to Schedule 13D</w:t>
            </w: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48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SCHEDULE I</w:t>
      </w:r>
    </w:p>
    <w:p>
      <w:pPr>
        <w:pStyle w:val="TextBody"/>
        <w:bidi w:val="0"/>
        <w:ind w:left="547" w:right="0" w:hanging="547"/>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DIRECTORS AND EXECUTIVE OFFICERS OF</w:t>
      </w:r>
    </w:p>
    <w:p>
      <w:pPr>
        <w:pStyle w:val="TextBody"/>
        <w:bidi w:val="0"/>
        <w:ind w:left="547" w:right="0" w:hanging="547"/>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INTERCONTINENTAL EXCHANGE, INC.</w:t>
      </w:r>
    </w:p>
    <w:p>
      <w:pPr>
        <w:pStyle w:val="TextBody"/>
        <w:bidi w:val="0"/>
        <w:jc w:val="left"/>
        <w:rPr>
          <w:caps w:val="false"/>
          <w:smallCaps w:val="false"/>
        </w:rPr>
      </w:pPr>
      <w:r>
        <w:rPr>
          <w:caps w:val="false"/>
          <w:smallCaps w:val="false"/>
        </w:rPr>
        <w:t> </w:t>
      </w:r>
    </w:p>
    <w:p>
      <w:pPr>
        <w:pStyle w:val="TextBody"/>
        <w:bidi w:val="0"/>
        <w:spacing w:before="0" w:after="48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sets forth certain information with respect to the directors and executive officers of Intercontinental Exchange, Inc. The business address of each director and executive officer of Intercontinental Exchange, Inc. is 5660 New Northside Drive, Atlanta, Georgia 30328.</w:t>
      </w:r>
    </w:p>
    <w:tbl>
      <w:tblPr>
        <w:tblW w:w="10205" w:type="dxa"/>
        <w:jc w:val="left"/>
        <w:tblInd w:w="-10" w:type="dxa"/>
        <w:tblLayout w:type="fixed"/>
        <w:tblCellMar>
          <w:top w:w="28" w:type="dxa"/>
          <w:left w:w="108" w:type="dxa"/>
          <w:bottom w:w="28" w:type="dxa"/>
          <w:right w:w="108" w:type="dxa"/>
        </w:tblCellMar>
      </w:tblPr>
      <w:tblGrid>
        <w:gridCol w:w="1772"/>
        <w:gridCol w:w="7146"/>
        <w:gridCol w:w="1287"/>
      </w:tblGrid>
      <w:tr>
        <w:trPr/>
        <w:tc>
          <w:tcPr>
            <w:tcW w:w="177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Name</w:t>
            </w:r>
          </w:p>
        </w:tc>
        <w:tc>
          <w:tcPr>
            <w:tcW w:w="714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Present Principal Occupation or Employment</w:t>
            </w:r>
          </w:p>
        </w:tc>
        <w:tc>
          <w:tcPr>
            <w:tcW w:w="128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Citizenship</w:t>
            </w:r>
          </w:p>
        </w:tc>
      </w:tr>
      <w:tr>
        <w:trPr/>
        <w:tc>
          <w:tcPr>
            <w:tcW w:w="1772"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Hon. Sharon Y. Bowen</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146" w:type="dxa"/>
            <w:tcBorders>
              <w:bottom w:val="single" w:sz="8" w:space="0" w:color="000000"/>
              <w:right w:val="single" w:sz="8" w:space="0" w:color="000000"/>
            </w:tcBorders>
            <w:tcMar>
              <w:top w:w="0" w:type="dxa"/>
              <w:left w:w="0" w:type="dxa"/>
            </w:tcMar>
            <w:vAlign w:val="center"/>
          </w:tcPr>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New York Stock Exchange (NYSE), a subsidiary of Intercontinental Exchange, Inc. and member of governing boards of certain subsidiaries of Intercontinental Exchange, Inc., including the subsidiary boards of certain NYSE U.S. regulated exchanges.</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Co-chair of the NYSE Board Advisory Council.</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each of Akamai Technologies, Inc. and Neuberger Berman Group LLC and the board of Bakkt Trust Company.</w:t>
            </w:r>
          </w:p>
        </w:tc>
        <w:tc>
          <w:tcPr>
            <w:tcW w:w="12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1772"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Shantella E. Cooper</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146" w:type="dxa"/>
            <w:tcBorders>
              <w:bottom w:val="single" w:sz="8" w:space="0" w:color="000000"/>
              <w:right w:val="single" w:sz="8" w:space="0" w:color="000000"/>
            </w:tcBorders>
            <w:tcMar>
              <w:top w:w="0" w:type="dxa"/>
              <w:left w:w="0" w:type="dxa"/>
            </w:tcMar>
            <w:vAlign w:val="center"/>
          </w:tcPr>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Founder and Chief Executive Officer of Journey Forward Strategies, LLC.</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SouthState Corporation and Southern Company.</w:t>
            </w:r>
          </w:p>
        </w:tc>
        <w:tc>
          <w:tcPr>
            <w:tcW w:w="12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1772"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Duriya M. Farooqui</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146" w:type="dxa"/>
            <w:tcBorders>
              <w:bottom w:val="single" w:sz="8" w:space="0" w:color="000000"/>
              <w:right w:val="single" w:sz="8" w:space="0" w:color="000000"/>
            </w:tcBorders>
            <w:tcMar>
              <w:top w:w="0" w:type="dxa"/>
              <w:left w:w="0" w:type="dxa"/>
            </w:tcMar>
            <w:vAlign w:val="center"/>
          </w:tcPr>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Executive coach and mentor with The ExCo Group.</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InterContinental Hotels Group PLC (IHG).</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governing boards of certain subsidiaries of Intercontinental Exchange, Inc., including the subsidiary boards of certain NYSE U.S. regulated exchanges and ICE NGX Canada.</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Co-chair of the NYSE Board Advisory Council.</w:t>
            </w:r>
          </w:p>
        </w:tc>
        <w:tc>
          <w:tcPr>
            <w:tcW w:w="12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1772"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Rt. Hon. the Lord Hague of Richmond</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146" w:type="dxa"/>
            <w:tcBorders>
              <w:bottom w:val="single" w:sz="8" w:space="0" w:color="000000"/>
              <w:right w:val="single" w:sz="8" w:space="0" w:color="000000"/>
            </w:tcBorders>
            <w:tcMar>
              <w:top w:w="0" w:type="dxa"/>
              <w:left w:w="0" w:type="dxa"/>
            </w:tcMar>
            <w:vAlign w:val="center"/>
          </w:tcPr>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Royal Foundation of the Prince and Princess of Wales, Chair of the United for Wildlife Taskforce.</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for the International Advisory Board at the law firm Linklaters.</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Board of Directors of ICE Futures Europe, a subsidiary of Intercontinental Exchange, Inc.</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House of Lords.</w:t>
            </w:r>
          </w:p>
        </w:tc>
        <w:tc>
          <w:tcPr>
            <w:tcW w:w="128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Kingdom</w:t>
            </w:r>
          </w:p>
        </w:tc>
      </w:tr>
    </w:tbl>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1 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1640"/>
        <w:gridCol w:w="7458"/>
        <w:gridCol w:w="1107"/>
      </w:tblGrid>
      <w:tr>
        <w:trPr/>
        <w:tc>
          <w:tcPr>
            <w:tcW w:w="16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Mark F. Mulhern</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45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Former Executive Vice President and Chief Financial Officer of Highwoods Properties, Inc.</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ICE Mortgage Technology Holdings, Inc., a subsidiary of Intercontinental Exchange, Inc.</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Barings BDC, Inc., member of the Board of Trustees of Barings Global Short Duration High Yield Fund, and a member of the Board of Directors of each of Barings Private Credit Corporation and Barings Capital Investment Corporation.</w:t>
            </w:r>
          </w:p>
        </w:tc>
        <w:tc>
          <w:tcPr>
            <w:tcW w:w="110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1640"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Thomas E. Noonan</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458" w:type="dxa"/>
            <w:tcBorders>
              <w:bottom w:val="single" w:sz="8" w:space="0" w:color="000000"/>
              <w:right w:val="single" w:sz="8" w:space="0" w:color="000000"/>
            </w:tcBorders>
            <w:tcMar>
              <w:top w:w="0" w:type="dxa"/>
              <w:left w:w="0" w:type="dxa"/>
            </w:tcMar>
            <w:vAlign w:val="center"/>
          </w:tcPr>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Founding partner of TechOperators LLC, and Chairman of TEN Holdings, LLC.</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Manhattan Associates, Inc.</w:t>
            </w:r>
          </w:p>
        </w:tc>
        <w:tc>
          <w:tcPr>
            <w:tcW w:w="11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1640"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Caroline L. Silver</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458" w:type="dxa"/>
            <w:tcBorders>
              <w:bottom w:val="single" w:sz="8" w:space="0" w:color="000000"/>
              <w:right w:val="single" w:sz="8" w:space="0" w:color="000000"/>
            </w:tcBorders>
            <w:tcMar>
              <w:top w:w="0" w:type="dxa"/>
              <w:left w:w="0" w:type="dxa"/>
            </w:tcMar>
            <w:vAlign w:val="center"/>
          </w:tcPr>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Senior advisor at Moelis &amp; Company.</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Board of Directors of ICE Clear Europe Limited, a subsidiary of Intercontinental Exchange, Inc.</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Board of Directors of Barratt Developments PLC and member of the Board of Directors of Tesco PLC.</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Former Trustee of The Victoria and Albert Museum (appointed by the UK Prime Minister) and currently serves on the V&amp;A Foundation.</w:t>
            </w:r>
          </w:p>
        </w:tc>
        <w:tc>
          <w:tcPr>
            <w:tcW w:w="11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Kingdom</w:t>
            </w:r>
          </w:p>
        </w:tc>
      </w:tr>
      <w:tr>
        <w:trPr/>
        <w:tc>
          <w:tcPr>
            <w:tcW w:w="1640"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Jeffrey C. Sprecher</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 and Chief Executive Officer)</w:t>
            </w:r>
          </w:p>
        </w:tc>
        <w:tc>
          <w:tcPr>
            <w:tcW w:w="7458"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Board of Directors and Chief Executive Officer of Intercontinental Exchange, Inc.</w:t>
            </w:r>
          </w:p>
        </w:tc>
        <w:tc>
          <w:tcPr>
            <w:tcW w:w="11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1640"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Judith A. Sprieser</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458" w:type="dxa"/>
            <w:tcBorders>
              <w:bottom w:val="single" w:sz="8" w:space="0" w:color="000000"/>
              <w:right w:val="single" w:sz="8" w:space="0" w:color="000000"/>
            </w:tcBorders>
            <w:tcMar>
              <w:top w:w="0" w:type="dxa"/>
              <w:left w:w="0" w:type="dxa"/>
            </w:tcMar>
            <w:vAlign w:val="center"/>
          </w:tcPr>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governing boards of certain subsidiaries of Intercontinental Exchange, Inc., including the Board of Managers of ICE Clear Credit LLC and ICE Mortgage Services, LLC, the governing board of MERSCORP Holdings, Inc.</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boards of directors of Allstate Insurance Company and Newell Brands Inc.</w:t>
            </w:r>
          </w:p>
        </w:tc>
        <w:tc>
          <w:tcPr>
            <w:tcW w:w="1107"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bl>
    <w:p>
      <w:pPr>
        <w:pStyle w:val="TextBody"/>
        <w:bidi w:val="0"/>
        <w:spacing w:before="0" w:after="283"/>
        <w:jc w:val="left"/>
        <w:rPr/>
      </w:pPr>
      <w:r>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2 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10" w:type="dxa"/>
        <w:tblLayout w:type="fixed"/>
        <w:tblCellMar>
          <w:top w:w="28" w:type="dxa"/>
          <w:left w:w="108" w:type="dxa"/>
          <w:bottom w:w="28" w:type="dxa"/>
          <w:right w:w="108" w:type="dxa"/>
        </w:tblCellMar>
      </w:tblPr>
      <w:tblGrid>
        <w:gridCol w:w="2328"/>
        <w:gridCol w:w="7083"/>
        <w:gridCol w:w="794"/>
      </w:tblGrid>
      <w:tr>
        <w:trPr/>
        <w:tc>
          <w:tcPr>
            <w:tcW w:w="2328" w:type="dxa"/>
            <w:tcBorders>
              <w:top w:val="single" w:sz="8" w:space="0" w:color="000000"/>
              <w:left w:val="single" w:sz="8" w:space="0" w:color="000000"/>
              <w:bottom w:val="single" w:sz="8" w:space="0" w:color="000000"/>
              <w:right w:val="single" w:sz="8" w:space="0" w:color="000000"/>
            </w:tcBorders>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Martha A. Tirinnanzi</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08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Founder and President of Financial Standards, Inc. Member of governing boards of certain subsidiaries of Intercontinental Exchange, Inc., including the Board of Managers of ICE Mortgage Services, LLC, the governing board of MERSCORP Holdings, Inc. and Board of Directors of ICE Mortgage Technology Holdings, Inc.</w:t>
            </w:r>
          </w:p>
          <w:p>
            <w:pPr>
              <w:pStyle w:val="TableContents"/>
              <w:bidi w:val="0"/>
              <w:spacing w:before="0" w:after="1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The RBB Fund, Inc. and The RBB Fund Trust (together, the RBB Fund Complex).</w:t>
            </w:r>
          </w:p>
        </w:tc>
        <w:tc>
          <w:tcPr>
            <w:tcW w:w="79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328"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Christopher S. Edmonds</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Fixed Income &amp; Data Services)</w:t>
            </w:r>
          </w:p>
        </w:tc>
        <w:tc>
          <w:tcPr>
            <w:tcW w:w="7083"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Fixed Income &amp; Data Services, Intercontinental Exchange, Inc.</w:t>
            </w:r>
          </w:p>
        </w:tc>
        <w:tc>
          <w:tcPr>
            <w:tcW w:w="7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328"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Douglas Foley</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(SVP, HR &amp; Administration)</w:t>
            </w:r>
          </w:p>
        </w:tc>
        <w:tc>
          <w:tcPr>
            <w:tcW w:w="7083"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Senior Vice President, HR &amp; Administration, Intercontinental Exchange, Inc.</w:t>
            </w:r>
          </w:p>
        </w:tc>
        <w:tc>
          <w:tcPr>
            <w:tcW w:w="7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328"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Warren Gardiner</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Financial Officer)</w:t>
            </w:r>
          </w:p>
        </w:tc>
        <w:tc>
          <w:tcPr>
            <w:tcW w:w="7083"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Financial Officer, Intercontinental Exchange, Inc.</w:t>
            </w:r>
          </w:p>
        </w:tc>
        <w:tc>
          <w:tcPr>
            <w:tcW w:w="7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328"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Benjamin R. Jackson</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w:t>
            </w:r>
          </w:p>
        </w:tc>
        <w:tc>
          <w:tcPr>
            <w:tcW w:w="7083"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Intercontinental Exchange, Inc.</w:t>
            </w:r>
          </w:p>
        </w:tc>
        <w:tc>
          <w:tcPr>
            <w:tcW w:w="7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328"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Mayur Kapani</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Technology Officer)</w:t>
            </w:r>
          </w:p>
        </w:tc>
        <w:tc>
          <w:tcPr>
            <w:tcW w:w="7083"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Technology Officer, Intercontinental Exchange, Inc.</w:t>
            </w:r>
          </w:p>
        </w:tc>
        <w:tc>
          <w:tcPr>
            <w:tcW w:w="7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328"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Elizabeth King</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(Global Head of Clearing &amp; Chief Regulatory Officer)</w:t>
            </w:r>
          </w:p>
        </w:tc>
        <w:tc>
          <w:tcPr>
            <w:tcW w:w="7083"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Global Head of Clearing &amp; Chief Regulatory Officer, Intercontinental Exchange, Inc.</w:t>
            </w:r>
          </w:p>
        </w:tc>
        <w:tc>
          <w:tcPr>
            <w:tcW w:w="7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328"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Lynn C. Martin</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 NYSE Group)</w:t>
            </w:r>
          </w:p>
        </w:tc>
        <w:tc>
          <w:tcPr>
            <w:tcW w:w="7083"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 NYSE Group, Intercontinental Exchange, Inc.</w:t>
            </w:r>
          </w:p>
        </w:tc>
        <w:tc>
          <w:tcPr>
            <w:tcW w:w="7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328"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Andrew J. Surdykowski</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Counsel)</w:t>
            </w:r>
          </w:p>
        </w:tc>
        <w:tc>
          <w:tcPr>
            <w:tcW w:w="7083"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Counsel, Intercontinental Exchange, Inc.</w:t>
            </w:r>
          </w:p>
        </w:tc>
        <w:tc>
          <w:tcPr>
            <w:tcW w:w="7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328"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Stuart G. Williams</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Operating Officer)</w:t>
            </w:r>
          </w:p>
        </w:tc>
        <w:tc>
          <w:tcPr>
            <w:tcW w:w="7083" w:type="dxa"/>
            <w:tcBorders>
              <w:bottom w:val="single" w:sz="8" w:space="0" w:color="000000"/>
              <w:right w:val="single" w:sz="8" w:space="0" w:color="000000"/>
            </w:tcBorders>
            <w:tcMar>
              <w:top w:w="0" w:type="dxa"/>
              <w:left w:w="0" w:type="dxa"/>
              <w:bottom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Operating Officer, Intercontinental Exchange, Inc.</w:t>
            </w:r>
          </w:p>
        </w:tc>
        <w:tc>
          <w:tcPr>
            <w:tcW w:w="79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bl>
    <w:p>
      <w:pPr>
        <w:pStyle w:val="TextBody"/>
        <w:bidi w:val="0"/>
        <w:spacing w:before="0" w:after="48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3 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480"/>
        <w:jc w:val="center"/>
        <w:rPr>
          <w:caps w:val="false"/>
          <w:smallCaps w:val="false"/>
        </w:rPr>
      </w:pPr>
      <w:r>
        <w:rPr>
          <w:caps w:val="false"/>
          <w:smallCaps w:val="false"/>
        </w:rPr>
        <w:t> </w:t>
      </w:r>
    </w:p>
    <w:p>
      <w:pPr>
        <w:pStyle w:val="TextBody"/>
        <w:bidi w:val="0"/>
        <w:spacing w:before="0" w:after="48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SCHEDULE II</w:t>
      </w:r>
    </w:p>
    <w:p>
      <w:pPr>
        <w:pStyle w:val="TextBody"/>
        <w:bidi w:val="0"/>
        <w:ind w:left="547" w:right="0" w:hanging="547"/>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DIRECTORS AND EXECUTIVE OFFICERS OF</w:t>
      </w:r>
    </w:p>
    <w:p>
      <w:pPr>
        <w:pStyle w:val="TextBody"/>
        <w:bidi w:val="0"/>
        <w:ind w:left="547" w:right="0" w:hanging="547"/>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INTERCONTINENTAL EXCHANGE HOLDINGS, INC.</w:t>
      </w:r>
    </w:p>
    <w:p>
      <w:pPr>
        <w:pStyle w:val="TextBody"/>
        <w:bidi w:val="0"/>
        <w:jc w:val="left"/>
        <w:rPr>
          <w:caps w:val="false"/>
          <w:smallCaps w:val="false"/>
        </w:rPr>
      </w:pPr>
      <w:r>
        <w:rPr>
          <w:caps w:val="false"/>
          <w:smallCaps w:val="false"/>
        </w:rPr>
        <w:t> </w:t>
      </w:r>
    </w:p>
    <w:p>
      <w:pPr>
        <w:pStyle w:val="TextBody"/>
        <w:bidi w:val="0"/>
        <w:spacing w:before="0" w:after="48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sets forth certain information with respect to the directors and executive officers of Intercontinental Exchange Holdings, Inc. The business address of each director and executive officer of Intercontinental Exchange Holdings, Inc. is 5660 New Northside Drive, Atlanta, Georgia 30328.</w:t>
      </w:r>
    </w:p>
    <w:tbl>
      <w:tblPr>
        <w:tblW w:w="10205" w:type="dxa"/>
        <w:jc w:val="left"/>
        <w:tblInd w:w="-10" w:type="dxa"/>
        <w:tblLayout w:type="fixed"/>
        <w:tblCellMar>
          <w:top w:w="28" w:type="dxa"/>
          <w:left w:w="108" w:type="dxa"/>
          <w:bottom w:w="28" w:type="dxa"/>
          <w:right w:w="108" w:type="dxa"/>
        </w:tblCellMar>
      </w:tblPr>
      <w:tblGrid>
        <w:gridCol w:w="4125"/>
        <w:gridCol w:w="4845"/>
        <w:gridCol w:w="1235"/>
      </w:tblGrid>
      <w:tr>
        <w:trPr/>
        <w:tc>
          <w:tcPr>
            <w:tcW w:w="41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Name</w:t>
            </w:r>
          </w:p>
        </w:tc>
        <w:tc>
          <w:tcPr>
            <w:tcW w:w="48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Present Principal Occupation or Employment</w:t>
            </w:r>
          </w:p>
        </w:tc>
        <w:tc>
          <w:tcPr>
            <w:tcW w:w="1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Citizenship</w:t>
            </w:r>
          </w:p>
        </w:tc>
      </w:tr>
      <w:tr>
        <w:trPr/>
        <w:tc>
          <w:tcPr>
            <w:tcW w:w="4125"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Jeffrey C. Sprecher</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 and Chief Executive Officer)</w:t>
            </w:r>
          </w:p>
        </w:tc>
        <w:tc>
          <w:tcPr>
            <w:tcW w:w="4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Board and Chief Executive Officer of Intercontinental Exchange, Inc.</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4125"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Christopher S. Edmonds</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Fixed Income &amp; Data Services)</w:t>
            </w:r>
          </w:p>
        </w:tc>
        <w:tc>
          <w:tcPr>
            <w:tcW w:w="4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Fixed Income &amp; Data Services, Intercontinental Exchange, Inc.</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4125"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Douglas Foley</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(SVP, HR &amp; Administration)</w:t>
            </w:r>
          </w:p>
        </w:tc>
        <w:tc>
          <w:tcPr>
            <w:tcW w:w="4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Senior Vice President, HR &amp; Administration, Intercontinental Exchange, Inc.</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4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Warren Gardiner (Director and Chief Financial Officer)</w:t>
            </w:r>
          </w:p>
        </w:tc>
        <w:tc>
          <w:tcPr>
            <w:tcW w:w="4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Financial Officer, Intercontinental Exchange, Inc.</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4125"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Benjamin R. Jackson</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w:t>
            </w:r>
          </w:p>
        </w:tc>
        <w:tc>
          <w:tcPr>
            <w:tcW w:w="4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Intercontinental Exchange, Inc.</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4125"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Mayur Kapani</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Technology Officer)</w:t>
            </w:r>
          </w:p>
        </w:tc>
        <w:tc>
          <w:tcPr>
            <w:tcW w:w="4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Technology Officer, Intercontinental Exchange, Inc.</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4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Elizabeth King (Global Head of Clearing &amp; Chief Regulatory Officer)</w:t>
            </w:r>
          </w:p>
        </w:tc>
        <w:tc>
          <w:tcPr>
            <w:tcW w:w="4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Global Head of Clearing &amp; Chief Regulatory Officer, Intercontinental Exchange, Inc.</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4125"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Lynn C. Martin</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 NYSE Group)</w:t>
            </w:r>
          </w:p>
        </w:tc>
        <w:tc>
          <w:tcPr>
            <w:tcW w:w="4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 NYSE Group, Intercontinental Exchange, Inc.</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4125"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Andrew J. Surdykowski</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 and General Counsel)</w:t>
            </w:r>
          </w:p>
        </w:tc>
        <w:tc>
          <w:tcPr>
            <w:tcW w:w="4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Counsel, Intercontinental Exchange, Inc.</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4125" w:type="dxa"/>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Stuart G. Williams</w:t>
            </w:r>
          </w:p>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Operating Officer)</w:t>
            </w:r>
          </w:p>
        </w:tc>
        <w:tc>
          <w:tcPr>
            <w:tcW w:w="484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Operating Officer, Intercontinental Exchange, Inc.</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bl>
    <w:p>
      <w:pPr>
        <w:pStyle w:val="TextBody"/>
        <w:bidi w:val="0"/>
        <w:spacing w:before="0" w:after="240"/>
        <w:ind w:left="504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5040" w:right="0" w:hanging="0"/>
        <w:jc w:val="left"/>
        <w:rPr>
          <w:caps w:val="false"/>
          <w:smallCaps w:val="false"/>
        </w:rPr>
      </w:pPr>
      <w:r>
        <w:rPr>
          <w:caps w:val="false"/>
          <w:smallCaps w:val="false"/>
        </w:rPr>
        <w:t> </w:t>
      </w:r>
    </w:p>
    <w:p>
      <w:pPr>
        <w:pStyle w:val="TextBody"/>
        <w:bidi w:val="0"/>
        <w:jc w:val="left"/>
        <w:rPr/>
      </w:pPr>
      <w:bookmarkStart w:id="2" w:name="ss3098627_ex9915.htm"/>
      <w:bookmarkStart w:id="3" w:name="ksss3098627_ex9915"/>
      <w:bookmarkEnd w:id="2"/>
      <w:bookmarkEnd w:id="3"/>
      <w:r>
        <w:rPr/>
        <w:t> </w:t>
      </w:r>
      <w:r>
        <w:br w:type="page"/>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lineRule="auto" w:line="24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Exhibit 99.15</w:t>
      </w:r>
    </w:p>
    <w:p>
      <w:pPr>
        <w:pStyle w:val="TextBody"/>
        <w:bidi w:val="0"/>
        <w:ind w:left="0" w:right="0" w:firstLine="360"/>
        <w:jc w:val="left"/>
        <w:rPr/>
      </w:pPr>
      <w:r>
        <w:rPr/>
        <w:t> </w:t>
      </w:r>
    </w:p>
    <w:p>
      <w:pPr>
        <w:pStyle w:val="TextBody"/>
        <w:bidi w:val="0"/>
        <w:spacing w:lineRule="auto" w:line="24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SECURITIES PURCHASE AGREEMENT</w:t>
      </w:r>
    </w:p>
    <w:p>
      <w:pPr>
        <w:pStyle w:val="TextBody"/>
        <w:bidi w:val="0"/>
        <w:spacing w:before="0" w:after="283"/>
        <w:jc w:val="left"/>
        <w:rPr/>
      </w:pPr>
      <w:r>
        <w:rPr/>
        <w:t> </w:t>
      </w:r>
    </w:p>
    <w:p>
      <w:pPr>
        <w:pStyle w:val="TextBody"/>
        <w:bidi w:val="0"/>
        <w:spacing w:lineRule="auto" w:line="268"/>
        <w:ind w:left="0" w:right="0" w:firstLine="64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Securities Purchase Agreement (this “</w:t>
      </w:r>
      <w:r>
        <w:rPr>
          <w:rFonts w:ascii="Times New Roman;Times;Serif" w:hAnsi="Times New Roman;Times;Serif"/>
          <w:b w:val="false"/>
          <w:i w:val="false"/>
          <w:caps w:val="false"/>
          <w:smallCaps w:val="false"/>
          <w:color w:val="000000"/>
          <w:sz w:val="20"/>
          <w:u w:val="single"/>
        </w:rPr>
        <w:t>Agreement</w:t>
      </w:r>
      <w:r>
        <w:rPr>
          <w:rFonts w:ascii="Times New Roman;Times;Serif" w:hAnsi="Times New Roman;Times;Serif"/>
          <w:b w:val="false"/>
          <w:i w:val="false"/>
          <w:caps w:val="false"/>
          <w:smallCaps w:val="false"/>
          <w:color w:val="000000"/>
          <w:sz w:val="20"/>
        </w:rPr>
        <w:t>”) is dated as of February 29, 2024, between Bakkt Holdings, Inc., a Delaware corporation (the “</w:t>
      </w:r>
      <w:r>
        <w:rPr>
          <w:rFonts w:ascii="Times New Roman;Times;Serif" w:hAnsi="Times New Roman;Times;Serif"/>
          <w:b w:val="false"/>
          <w:i w:val="false"/>
          <w:caps w:val="false"/>
          <w:smallCaps w:val="false"/>
          <w:color w:val="000000"/>
          <w:sz w:val="20"/>
          <w:u w:val="single"/>
        </w:rPr>
        <w:t>Company</w:t>
      </w:r>
      <w:r>
        <w:rPr>
          <w:rFonts w:ascii="Times New Roman;Times;Serif" w:hAnsi="Times New Roman;Times;Serif"/>
          <w:b w:val="false"/>
          <w:i w:val="false"/>
          <w:caps w:val="false"/>
          <w:smallCaps w:val="false"/>
          <w:color w:val="000000"/>
          <w:sz w:val="20"/>
        </w:rPr>
        <w:t>”), and Intercontinental Exchange Holdings, Inc. (including its successors and assigns, the “</w:t>
      </w:r>
      <w:r>
        <w:rPr>
          <w:rFonts w:ascii="Times New Roman;Times;Serif" w:hAnsi="Times New Roman;Times;Serif"/>
          <w:b w:val="false"/>
          <w:i w:val="false"/>
          <w:caps w:val="false"/>
          <w:smallCaps w:val="false"/>
          <w:color w:val="000000"/>
          <w:sz w:val="20"/>
          <w:u w:val="single"/>
        </w:rPr>
        <w:t>Purchaser</w:t>
      </w:r>
      <w:r>
        <w:rPr>
          <w:rFonts w:ascii="Times New Roman;Times;Serif" w:hAnsi="Times New Roman;Times;Serif"/>
          <w:b w:val="false"/>
          <w:i w:val="false"/>
          <w:caps w:val="false"/>
          <w:smallCaps w:val="false"/>
          <w:color w:val="000000"/>
          <w:sz w:val="20"/>
        </w:rPr>
        <w:t>”).</w:t>
      </w:r>
    </w:p>
    <w:p>
      <w:pPr>
        <w:pStyle w:val="TextBody"/>
        <w:bidi w:val="0"/>
        <w:spacing w:lineRule="auto" w:line="268"/>
        <w:jc w:val="left"/>
        <w:rPr>
          <w:caps w:val="false"/>
          <w:smallCaps w:val="false"/>
          <w:color w:val="000000"/>
        </w:rPr>
      </w:pPr>
      <w:r>
        <w:rPr>
          <w:caps w:val="false"/>
          <w:smallCaps w:val="false"/>
          <w:color w:val="000000"/>
        </w:rPr>
        <w:t>    </w:t>
      </w:r>
    </w:p>
    <w:p>
      <w:pPr>
        <w:pStyle w:val="TextBody"/>
        <w:bidi w:val="0"/>
        <w:spacing w:lineRule="auto" w:line="268"/>
        <w:ind w:left="0" w:right="0" w:firstLine="64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subject to the terms and conditions set forth in this Agreement and pursuant to an effective registration statement under the Securities Act of 1933, as amended (the “</w:t>
      </w:r>
      <w:r>
        <w:rPr>
          <w:rFonts w:ascii="Times New Roman;Times;Serif" w:hAnsi="Times New Roman;Times;Serif"/>
          <w:b w:val="false"/>
          <w:i w:val="false"/>
          <w:caps w:val="false"/>
          <w:smallCaps w:val="false"/>
          <w:color w:val="000000"/>
          <w:sz w:val="20"/>
          <w:u w:val="single"/>
        </w:rPr>
        <w:t>Securities Act</w:t>
      </w:r>
      <w:r>
        <w:rPr>
          <w:rFonts w:ascii="Times New Roman;Times;Serif" w:hAnsi="Times New Roman;Times;Serif"/>
          <w:b w:val="false"/>
          <w:i w:val="false"/>
          <w:caps w:val="false"/>
          <w:smallCaps w:val="false"/>
          <w:color w:val="000000"/>
          <w:sz w:val="20"/>
        </w:rPr>
        <w:t>” or “</w:t>
      </w:r>
      <w:r>
        <w:rPr>
          <w:rFonts w:ascii="Times New Roman;Times;Serif" w:hAnsi="Times New Roman;Times;Serif"/>
          <w:b w:val="false"/>
          <w:i w:val="false"/>
          <w:caps w:val="false"/>
          <w:smallCaps w:val="false"/>
          <w:color w:val="000000"/>
          <w:sz w:val="20"/>
          <w:u w:val="single"/>
        </w:rPr>
        <w:t>Act</w:t>
      </w:r>
      <w:r>
        <w:rPr>
          <w:rFonts w:ascii="Times New Roman;Times;Serif" w:hAnsi="Times New Roman;Times;Serif"/>
          <w:b w:val="false"/>
          <w:i w:val="false"/>
          <w:caps w:val="false"/>
          <w:smallCaps w:val="false"/>
          <w:color w:val="000000"/>
          <w:sz w:val="20"/>
        </w:rPr>
        <w:t>”), and the rules and regulations (the “</w:t>
      </w:r>
      <w:r>
        <w:rPr>
          <w:rFonts w:ascii="Times New Roman;Times;Serif" w:hAnsi="Times New Roman;Times;Serif"/>
          <w:b w:val="false"/>
          <w:i w:val="false"/>
          <w:caps w:val="false"/>
          <w:smallCaps w:val="false"/>
          <w:color w:val="000000"/>
          <w:sz w:val="20"/>
          <w:u w:val="single"/>
        </w:rPr>
        <w:t>Rules and Regulations</w:t>
      </w:r>
      <w:r>
        <w:rPr>
          <w:rFonts w:ascii="Times New Roman;Times;Serif" w:hAnsi="Times New Roman;Times;Serif"/>
          <w:b w:val="false"/>
          <w:i w:val="false"/>
          <w:caps w:val="false"/>
          <w:smallCaps w:val="false"/>
          <w:color w:val="000000"/>
          <w:sz w:val="20"/>
        </w:rPr>
        <w:t>”) of the Securities and Exchange Commission (the “</w:t>
      </w:r>
      <w:r>
        <w:rPr>
          <w:rFonts w:ascii="Times New Roman;Times;Serif" w:hAnsi="Times New Roman;Times;Serif"/>
          <w:b w:val="false"/>
          <w:i w:val="false"/>
          <w:caps w:val="false"/>
          <w:smallCaps w:val="false"/>
          <w:color w:val="000000"/>
          <w:sz w:val="20"/>
          <w:u w:val="single"/>
        </w:rPr>
        <w:t>Commission</w:t>
      </w:r>
      <w:r>
        <w:rPr>
          <w:rFonts w:ascii="Times New Roman;Times;Serif" w:hAnsi="Times New Roman;Times;Serif"/>
          <w:b w:val="false"/>
          <w:i w:val="false"/>
          <w:caps w:val="false"/>
          <w:smallCaps w:val="false"/>
          <w:color w:val="000000"/>
          <w:sz w:val="20"/>
        </w:rPr>
        <w:t>”) thereunder, the Company desires to issue and sell to the Purchaser, and the Purchaser desires to purchase from the Company, securities of the Company as more fully described in this Agreement.</w:t>
      </w:r>
    </w:p>
    <w:p>
      <w:pPr>
        <w:pStyle w:val="TextBody"/>
        <w:bidi w:val="0"/>
        <w:ind w:left="0" w:right="0" w:firstLine="648"/>
        <w:jc w:val="both"/>
        <w:rPr/>
      </w:pPr>
      <w:r>
        <w:rPr/>
        <w:t> </w:t>
      </w:r>
    </w:p>
    <w:p>
      <w:pPr>
        <w:pStyle w:val="TextBody"/>
        <w:bidi w:val="0"/>
        <w:spacing w:lineRule="auto" w:line="268"/>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subject to the terms and conditions set forth in a separate securities purchase agreement (the “</w:t>
      </w:r>
      <w:r>
        <w:rPr>
          <w:rFonts w:ascii="Times New Roman;Times;Serif" w:hAnsi="Times New Roman;Times;Serif"/>
          <w:b w:val="false"/>
          <w:i w:val="false"/>
          <w:caps w:val="false"/>
          <w:smallCaps w:val="false"/>
          <w:color w:val="000000"/>
          <w:sz w:val="20"/>
          <w:u w:val="single"/>
        </w:rPr>
        <w:t>Concurrent Placement Agreement</w:t>
      </w:r>
      <w:r>
        <w:rPr>
          <w:rFonts w:ascii="Times New Roman;Times;Serif" w:hAnsi="Times New Roman;Times;Serif"/>
          <w:b w:val="false"/>
          <w:i w:val="false"/>
          <w:caps w:val="false"/>
          <w:smallCaps w:val="false"/>
          <w:color w:val="000000"/>
          <w:sz w:val="20"/>
        </w:rPr>
        <w:t>”) and pursuant to a separate prospectus supplement being filed with the Commission under the Registration Statement (as defined below), the Company is issuing securities of the Company to certain other purchasers as identified on the signature pages thereto (the “</w:t>
      </w:r>
      <w:r>
        <w:rPr>
          <w:rFonts w:ascii="Times New Roman;Times;Serif" w:hAnsi="Times New Roman;Times;Serif"/>
          <w:b w:val="false"/>
          <w:i w:val="false"/>
          <w:caps w:val="false"/>
          <w:smallCaps w:val="false"/>
          <w:color w:val="000000"/>
          <w:sz w:val="20"/>
          <w:u w:val="single"/>
        </w:rPr>
        <w:t>Concurrent Placement</w:t>
      </w:r>
      <w:r>
        <w:rPr>
          <w:rFonts w:ascii="Times New Roman;Times;Serif" w:hAnsi="Times New Roman;Times;Serif"/>
          <w:b w:val="false"/>
          <w:i w:val="false"/>
          <w:caps w:val="false"/>
          <w:smallCaps w:val="false"/>
          <w:color w:val="000000"/>
          <w:sz w:val="20"/>
        </w:rPr>
        <w:t>”).</w:t>
      </w:r>
    </w:p>
    <w:p>
      <w:pPr>
        <w:pStyle w:val="TextBody"/>
        <w:bidi w:val="0"/>
        <w:ind w:left="0" w:right="0" w:firstLine="720"/>
        <w:jc w:val="both"/>
        <w:rPr/>
      </w:pPr>
      <w:r>
        <w:rPr/>
        <w:t> </w:t>
      </w:r>
    </w:p>
    <w:p>
      <w:pPr>
        <w:pStyle w:val="TextBody"/>
        <w:bidi w:val="0"/>
        <w:spacing w:lineRule="auto" w:line="268"/>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the Per Unit Purchase Price (as defined below) under this Agreement and in the Concurrent Placement Agreement are the same and the terms of such agreements are substantively consistent other than differences resulting from the relationships of the applicable purchaser(s) with the Company.</w:t>
      </w:r>
    </w:p>
    <w:p>
      <w:pPr>
        <w:pStyle w:val="TextBody"/>
        <w:bidi w:val="0"/>
        <w:ind w:left="0" w:right="0" w:firstLine="720"/>
        <w:jc w:val="both"/>
        <w:rPr/>
      </w:pPr>
      <w:r>
        <w:rPr/>
        <w:t> </w:t>
      </w:r>
    </w:p>
    <w:p>
      <w:pPr>
        <w:pStyle w:val="TextBody"/>
        <w:bidi w:val="0"/>
        <w:spacing w:lineRule="auto" w:line="268"/>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pursuant to the Concurrent Placement Agreement, the Company and the Purchaser have agreed to provide a voting support agreement (the “</w:t>
      </w:r>
      <w:r>
        <w:rPr>
          <w:rFonts w:ascii="Times New Roman;Times;Serif" w:hAnsi="Times New Roman;Times;Serif"/>
          <w:b w:val="false"/>
          <w:i w:val="false"/>
          <w:caps w:val="false"/>
          <w:smallCaps w:val="false"/>
          <w:color w:val="000000"/>
          <w:sz w:val="20"/>
          <w:u w:val="single"/>
        </w:rPr>
        <w:t>Voting Support Agreement</w:t>
      </w:r>
      <w:r>
        <w:rPr>
          <w:rFonts w:ascii="Times New Roman;Times;Serif" w:hAnsi="Times New Roman;Times;Serif"/>
          <w:b w:val="false"/>
          <w:i w:val="false"/>
          <w:caps w:val="false"/>
          <w:smallCaps w:val="false"/>
          <w:color w:val="000000"/>
          <w:sz w:val="20"/>
        </w:rPr>
        <w:t>”).</w:t>
      </w:r>
    </w:p>
    <w:p>
      <w:pPr>
        <w:pStyle w:val="TextBody"/>
        <w:bidi w:val="0"/>
        <w:spacing w:before="0" w:after="283"/>
        <w:jc w:val="left"/>
        <w:rPr/>
      </w:pPr>
      <w:r>
        <w:rPr/>
        <w:t> </w:t>
      </w:r>
    </w:p>
    <w:p>
      <w:pPr>
        <w:pStyle w:val="TextBody"/>
        <w:bidi w:val="0"/>
        <w:spacing w:lineRule="auto" w:line="268"/>
        <w:ind w:left="0" w:right="0" w:firstLine="64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NOW, THEREFORE, IN CONSIDERATION of the mutual covenants contained in this Agreement, and for other good and valuable consideration the receipt and adequacy of which are hereby acknowledged, the Company and the Purchaser agree as follows:</w:t>
      </w:r>
    </w:p>
    <w:p>
      <w:pPr>
        <w:pStyle w:val="TextBody"/>
        <w:bidi w:val="0"/>
        <w:spacing w:before="0" w:after="283"/>
        <w:jc w:val="left"/>
        <w:rPr/>
      </w:pPr>
      <w:r>
        <w:rPr/>
        <w:t> </w:t>
      </w:r>
    </w:p>
    <w:p>
      <w:pPr>
        <w:pStyle w:val="TextBody"/>
        <w:bidi w:val="0"/>
        <w:spacing w:lineRule="auto" w:line="268"/>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I.</w:t>
      </w:r>
    </w:p>
    <w:p>
      <w:pPr>
        <w:pStyle w:val="TextBody"/>
        <w:bidi w:val="0"/>
        <w:spacing w:lineRule="auto" w:line="268"/>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DEFINITIONS</w:t>
      </w:r>
    </w:p>
    <w:p>
      <w:pPr>
        <w:pStyle w:val="TextBody"/>
        <w:bidi w:val="0"/>
        <w:spacing w:before="0" w:after="283"/>
        <w:jc w:val="left"/>
        <w:rPr/>
      </w:pPr>
      <w:r>
        <w:rPr/>
        <w:t> </w:t>
      </w:r>
    </w:p>
    <w:p>
      <w:pPr>
        <w:pStyle w:val="TextBody"/>
        <w:bidi w:val="0"/>
        <w:spacing w:lineRule="auto" w:line="268"/>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1.1    </w:t>
      </w:r>
      <w:r>
        <w:rPr>
          <w:rFonts w:ascii="Times New Roman;Times;Serif" w:hAnsi="Times New Roman;Times;Serif"/>
          <w:b w:val="false"/>
          <w:i w:val="false"/>
          <w:caps w:val="false"/>
          <w:smallCaps w:val="false"/>
          <w:color w:val="000000"/>
          <w:sz w:val="20"/>
          <w:u w:val="single"/>
        </w:rPr>
        <w:t>Definitions.</w:t>
      </w:r>
      <w:r>
        <w:rPr>
          <w:rFonts w:ascii="Times New Roman;Times;Serif" w:hAnsi="Times New Roman;Times;Serif"/>
          <w:b w:val="false"/>
          <w:i w:val="false"/>
          <w:caps w:val="false"/>
          <w:smallCaps w:val="false"/>
          <w:color w:val="000000"/>
          <w:sz w:val="20"/>
        </w:rPr>
        <w:t xml:space="preserve"> In addition to the terms defined elsewhere in this Agreement, for all purposes of this Agreement, the following terms have the meanings set forth in this Section 1.1:</w:t>
      </w:r>
    </w:p>
    <w:p>
      <w:pPr>
        <w:pStyle w:val="TextBody"/>
        <w:bidi w:val="0"/>
        <w:spacing w:before="0" w:after="283"/>
        <w:jc w:val="left"/>
        <w:rPr/>
      </w:pPr>
      <w:r>
        <w:rPr/>
        <w:t> </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Action</w:t>
      </w:r>
      <w:r>
        <w:rPr>
          <w:rFonts w:ascii="Times New Roman;Times;Serif" w:hAnsi="Times New Roman;Times;Serif"/>
          <w:b w:val="false"/>
          <w:i w:val="false"/>
          <w:caps w:val="false"/>
          <w:smallCaps w:val="false"/>
          <w:color w:val="000000"/>
          <w:sz w:val="20"/>
        </w:rPr>
        <w:t>” shall have the meaning ascribed to such term in Section 3.1(h).</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Affiliate</w:t>
      </w:r>
      <w:r>
        <w:rPr>
          <w:rFonts w:ascii="Times New Roman;Times;Serif" w:hAnsi="Times New Roman;Times;Serif"/>
          <w:b w:val="false"/>
          <w:i w:val="false"/>
          <w:caps w:val="false"/>
          <w:smallCaps w:val="false"/>
          <w:color w:val="000000"/>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Board of Directors</w:t>
      </w:r>
      <w:r>
        <w:rPr>
          <w:rFonts w:ascii="Times New Roman;Times;Serif" w:hAnsi="Times New Roman;Times;Serif"/>
          <w:b w:val="false"/>
          <w:i w:val="false"/>
          <w:caps w:val="false"/>
          <w:smallCaps w:val="false"/>
          <w:color w:val="000000"/>
          <w:sz w:val="20"/>
        </w:rPr>
        <w:t>” means the board of directors of the Company.</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Business Day</w:t>
      </w:r>
      <w:r>
        <w:rPr>
          <w:rFonts w:ascii="Times New Roman;Times;Serif" w:hAnsi="Times New Roman;Times;Serif"/>
          <w:b w:val="false"/>
          <w:i w:val="false"/>
          <w:caps w:val="false"/>
          <w:smallCaps w:val="false"/>
          <w:color w:val="000000"/>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however</w:t>
      </w:r>
      <w:r>
        <w:rPr>
          <w:rFonts w:ascii="Times New Roman;Times;Serif" w:hAnsi="Times New Roman;Times;Serif"/>
          <w:b w:val="false"/>
          <w:i w:val="false"/>
          <w:caps w:val="false"/>
          <w:smallCaps w:val="false"/>
          <w:color w:val="000000"/>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Class 1 Warrants</w:t>
      </w:r>
      <w:r>
        <w:rPr>
          <w:rFonts w:ascii="Times New Roman;Times;Serif" w:hAnsi="Times New Roman;Times;Serif"/>
          <w:b w:val="false"/>
          <w:i w:val="false"/>
          <w:caps w:val="false"/>
          <w:smallCaps w:val="false"/>
          <w:color w:val="000000"/>
          <w:sz w:val="20"/>
        </w:rPr>
        <w:t xml:space="preserve">” means the warrants delivered to the Purchaser at each Closing in accordance with Section 2.2(a)(v) and Section 2.2(c)(iii) hereof, which Class 1 Warrants shall be exercisable at any time on or after the six (6) month anniversary of each Closing Date and generally be exercisable from the date of the six month anniversary of the issuance date through the date that is five and a half (5.5) years after the initial issuance date, in the form of </w:t>
      </w:r>
      <w:r>
        <w:rPr>
          <w:rFonts w:ascii="Times New Roman;Times;Serif" w:hAnsi="Times New Roman;Times;Serif"/>
          <w:b w:val="false"/>
          <w:i w:val="false"/>
          <w:caps w:val="false"/>
          <w:smallCaps w:val="false"/>
          <w:color w:val="000000"/>
          <w:sz w:val="20"/>
          <w:u w:val="single"/>
        </w:rPr>
        <w:t>Exhibit B-1</w:t>
      </w:r>
      <w:r>
        <w:rPr>
          <w:rFonts w:ascii="Times New Roman;Times;Serif" w:hAnsi="Times New Roman;Times;Serif"/>
          <w:b w:val="false"/>
          <w:i w:val="false"/>
          <w:caps w:val="false"/>
          <w:smallCaps w:val="false"/>
          <w:color w:val="000000"/>
          <w:sz w:val="20"/>
        </w:rPr>
        <w:t xml:space="preserve"> attached hereto.</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Class 2 Warrants</w:t>
      </w:r>
      <w:r>
        <w:rPr>
          <w:rFonts w:ascii="Times New Roman;Times;Serif" w:hAnsi="Times New Roman;Times;Serif"/>
          <w:b w:val="false"/>
          <w:i w:val="false"/>
          <w:caps w:val="false"/>
          <w:smallCaps w:val="false"/>
          <w:color w:val="000000"/>
          <w:sz w:val="20"/>
        </w:rPr>
        <w:t xml:space="preserve">” means the warrants delivered to the Purchaser at each Closing in accordance with Section 2.2(a)(vi) and Section 2.2(c)(iv) hereof, which Class 2 Warrants shall be exercisable at any time on or after the six (6) month anniversary of each Closing Date and generally be exercisable from the date of the six month anniversary of the issuance date through the date that is five and a half (5.5) years after the initial issuance date, in the form of </w:t>
      </w:r>
      <w:r>
        <w:rPr>
          <w:rFonts w:ascii="Times New Roman;Times;Serif" w:hAnsi="Times New Roman;Times;Serif"/>
          <w:b w:val="false"/>
          <w:i w:val="false"/>
          <w:caps w:val="false"/>
          <w:smallCaps w:val="false"/>
          <w:color w:val="000000"/>
          <w:sz w:val="20"/>
          <w:u w:val="single"/>
        </w:rPr>
        <w:t>Exhibit B-2</w:t>
      </w:r>
      <w:r>
        <w:rPr>
          <w:rFonts w:ascii="Times New Roman;Times;Serif" w:hAnsi="Times New Roman;Times;Serif"/>
          <w:b w:val="false"/>
          <w:i w:val="false"/>
          <w:caps w:val="false"/>
          <w:smallCaps w:val="false"/>
          <w:color w:val="000000"/>
          <w:sz w:val="20"/>
        </w:rPr>
        <w:t xml:space="preserve"> attached hereto.</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Closing</w:t>
      </w:r>
      <w:r>
        <w:rPr>
          <w:rFonts w:ascii="Times New Roman;Times;Serif" w:hAnsi="Times New Roman;Times;Serif"/>
          <w:b w:val="false"/>
          <w:i w:val="false"/>
          <w:caps w:val="false"/>
          <w:smallCaps w:val="false"/>
          <w:color w:val="000000"/>
          <w:sz w:val="20"/>
        </w:rPr>
        <w:t>” means a closing of the purchase and sale of the Securities as defined in Section 2.1.</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Closing Date</w:t>
      </w:r>
      <w:r>
        <w:rPr>
          <w:rFonts w:ascii="Times New Roman;Times;Serif" w:hAnsi="Times New Roman;Times;Serif"/>
          <w:b w:val="false"/>
          <w:i w:val="false"/>
          <w:caps w:val="false"/>
          <w:smallCaps w:val="false"/>
          <w:color w:val="000000"/>
          <w:sz w:val="20"/>
        </w:rPr>
        <w:t>” means the Initial Closing Date or the Subsequent Closing Date, as applicable.</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Commission</w:t>
      </w:r>
      <w:r>
        <w:rPr>
          <w:rFonts w:ascii="Times New Roman;Times;Serif" w:hAnsi="Times New Roman;Times;Serif"/>
          <w:b w:val="false"/>
          <w:i w:val="false"/>
          <w:caps w:val="false"/>
          <w:smallCaps w:val="false"/>
          <w:color w:val="000000"/>
          <w:sz w:val="20"/>
        </w:rPr>
        <w:t>” means the United States Securities and Exchange Commission.</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Common Stock</w:t>
      </w:r>
      <w:r>
        <w:rPr>
          <w:rFonts w:ascii="Times New Roman;Times;Serif" w:hAnsi="Times New Roman;Times;Serif"/>
          <w:b w:val="false"/>
          <w:i w:val="false"/>
          <w:caps w:val="false"/>
          <w:smallCaps w:val="false"/>
          <w:color w:val="000000"/>
          <w:sz w:val="20"/>
        </w:rPr>
        <w:t>” means the Class A Common Stock of the Company, par value $0.0001 per share, and any other class of securities into which such securities may hereafter be reclassified or changed.</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Common Stock Equivalents</w:t>
      </w:r>
      <w:r>
        <w:rPr>
          <w:rFonts w:ascii="Times New Roman;Times;Serif" w:hAnsi="Times New Roman;Times;Serif"/>
          <w:b w:val="false"/>
          <w:i w:val="false"/>
          <w:caps w:val="false"/>
          <w:smallCaps w:val="false"/>
          <w:color w:val="000000"/>
          <w:sz w:val="20"/>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Common Warrants</w:t>
      </w:r>
      <w:r>
        <w:rPr>
          <w:rFonts w:ascii="Times New Roman;Times;Serif" w:hAnsi="Times New Roman;Times;Serif"/>
          <w:b w:val="false"/>
          <w:i w:val="false"/>
          <w:caps w:val="false"/>
          <w:smallCaps w:val="false"/>
          <w:color w:val="000000"/>
          <w:sz w:val="20"/>
        </w:rPr>
        <w:t>” means, collectively, the Class 1 Warrants and Class 2 Warrants, with half of the Common Warrants for the Purchaser being Class 1 Warrants and the other half of the Common Warrants for the Purchaser being Class 2 Warrants.</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Company Counsel</w:t>
      </w:r>
      <w:r>
        <w:rPr>
          <w:rFonts w:ascii="Times New Roman;Times;Serif" w:hAnsi="Times New Roman;Times;Serif"/>
          <w:b w:val="false"/>
          <w:i w:val="false"/>
          <w:caps w:val="false"/>
          <w:smallCaps w:val="false"/>
          <w:color w:val="000000"/>
          <w:sz w:val="20"/>
        </w:rPr>
        <w:t>” means Wilson Sonsini Goodrich &amp; Rosati, P.C.</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Disclosure Schedules</w:t>
      </w:r>
      <w:r>
        <w:rPr>
          <w:rFonts w:ascii="Times New Roman;Times;Serif" w:hAnsi="Times New Roman;Times;Serif"/>
          <w:b w:val="false"/>
          <w:i w:val="false"/>
          <w:caps w:val="false"/>
          <w:smallCaps w:val="false"/>
          <w:color w:val="000000"/>
          <w:sz w:val="20"/>
        </w:rPr>
        <w:t>” means the Disclosure Schedules of the Company delivered concurrently herewith.</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Exchange Act</w:t>
      </w:r>
      <w:r>
        <w:rPr>
          <w:rFonts w:ascii="Times New Roman;Times;Serif" w:hAnsi="Times New Roman;Times;Serif"/>
          <w:b w:val="false"/>
          <w:i w:val="false"/>
          <w:caps w:val="false"/>
          <w:smallCaps w:val="false"/>
          <w:color w:val="000000"/>
          <w:sz w:val="20"/>
        </w:rPr>
        <w:t>” means the Securities Exchange Act of 1934, as amended, and the rules and regulations promulgated thereunder.</w:t>
      </w:r>
    </w:p>
    <w:p>
      <w:pPr>
        <w:pStyle w:val="TextBody"/>
        <w:bidi w:val="0"/>
        <w:spacing w:lineRule="auto" w:line="268" w:before="0" w:after="240"/>
        <w:ind w:left="0" w:right="0" w:firstLine="720"/>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Exempt Issuance</w:t>
      </w:r>
      <w:r>
        <w:rPr>
          <w:rFonts w:ascii="Times New Roman;Times;Serif" w:hAnsi="Times New Roman;Times;Serif"/>
          <w:b w:val="false"/>
          <w:i w:val="false"/>
          <w:caps w:val="false"/>
          <w:smallCaps w:val="false"/>
          <w:color w:val="000000"/>
          <w:sz w:val="20"/>
        </w:rPr>
        <w:t xml:space="preserve">” means (i) the issuance of securities to directors, officers, employees and consultants of the Company pursuant to employee benefit plans, equity incentive plans or other employee compensation plans or other arrangements approved by the Board of Directors or the Compensation Committee thereof, (ii) the issuance of securities upon the exercise or exchange of or conversion of any Securities issued hereunder and/or the issuance of securities pursuant to the exercise, exchange or conversion of any options, warrants, restricted stock units, rights or convertible or exchangeable securities outstanding on the date hereof, provided that such options, warrants, restricted stock units, rights or convertible or exchangeable securities have not been amended since the date of this Agreement to increase the number of such securities or to decrease the exercise price, exchange price or conversion price of such securities or to extend the term of such securities, (iii) securities issued in connection with any joint venture, commercial or collaborative relationship, or the acquisition or license by the Company of the securities, businesses, property or other assets of another person, provided that such issuance is approved by the majority of the disinterested directors of the Company and provided such securities are issued as “restricted securities” (as defined in Rule 144) and carry no registration rights that require or permit the filing of any registration statement during the 120 day period following the Initial Closing Date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(iv) securities issued pursuant to acquisitions or strategic transactions approved by a majority of the disinterested directors of the Company, provided that any such securities are issued as “restricted securities” (as defined in Rule 144) and carry no registration rights that require or permit the filing of any registration statement during the 120 day period following the Initial Closing Date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securities, (v) shares of Common Stock to consultants or vendors of the Company, provided that such securities are issued as “restricted securities” (as defined in Rule 144) and carry no registration rights that require or permit the filing of any registration statement in connection therewith during the 120 day period following the Initial Closing Date (unless issued under the Company’s share or option plan whose issuances are registered under Form S-8), (vi) issuances of shares of Common Stock in compliance with the terms of agreements or instruments outstanding as of the date hereof,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(vii) issuances of shares of Common Stock upon the exercise or exchange of rights issued pursuant to any shareholder rights agreement entered into between the Company and Transfer Agent, (viii) the issuance of securities pursuant to </w:t>
      </w:r>
      <w:r>
        <w:rPr>
          <w:rFonts w:ascii="Times New Roman;Times;Serif" w:hAnsi="Times New Roman;Times;Serif"/>
          <w:b w:val="false"/>
          <w:i w:val="false"/>
          <w:caps w:val="false"/>
          <w:smallCaps w:val="false"/>
          <w:color w:val="000000"/>
          <w:sz w:val="20"/>
          <w:shd w:fill="FFFFFF" w:val="clear"/>
        </w:rPr>
        <w:t xml:space="preserve">an “at the market” offering, as defined in Rule 415 under the Securities Act, pursuant to an agreement executed on or after June 30, 2024,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(ix) the issuance of securities in the Concurrent Placement, and (x) </w:t>
      </w:r>
      <w:r>
        <w:rPr>
          <w:rFonts w:ascii="Times New Roman;Times;Serif" w:hAnsi="Times New Roman;Times;Serif"/>
          <w:b w:val="false"/>
          <w:i w:val="false"/>
          <w:caps w:val="false"/>
          <w:smallCaps w:val="false"/>
          <w:color w:val="000000"/>
          <w:sz w:val="20"/>
        </w:rPr>
        <w:t>the issuance of securities upon the exercise or exchange of or conversion of any securities issued in the Concurrent Placement.</w:t>
      </w:r>
    </w:p>
    <w:p>
      <w:pPr>
        <w:pStyle w:val="TextBody"/>
        <w:bidi w:val="0"/>
        <w:spacing w:lineRule="auto" w:line="268" w:before="0" w:after="28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Lock-Up Agreements</w:t>
      </w:r>
      <w:r>
        <w:rPr>
          <w:rFonts w:ascii="Times New Roman;Times;Serif" w:hAnsi="Times New Roman;Times;Serif"/>
          <w:b w:val="false"/>
          <w:i w:val="false"/>
          <w:caps w:val="false"/>
          <w:smallCaps w:val="false"/>
          <w:color w:val="000000"/>
          <w:sz w:val="20"/>
        </w:rPr>
        <w:t xml:space="preserve">” means the lock-up agreements in substantially the form of </w:t>
      </w:r>
      <w:r>
        <w:rPr>
          <w:rFonts w:ascii="Times New Roman;Times;Serif" w:hAnsi="Times New Roman;Times;Serif"/>
          <w:b w:val="false"/>
          <w:i w:val="false"/>
          <w:caps w:val="false"/>
          <w:smallCaps w:val="false"/>
          <w:color w:val="000000"/>
          <w:sz w:val="20"/>
          <w:u w:val="single"/>
        </w:rPr>
        <w:t>Exhibit A</w:t>
      </w:r>
      <w:r>
        <w:rPr>
          <w:rFonts w:ascii="Times New Roman;Times;Serif" w:hAnsi="Times New Roman;Times;Serif"/>
          <w:b w:val="false"/>
          <w:i w:val="false"/>
          <w:caps w:val="false"/>
          <w:smallCaps w:val="false"/>
          <w:color w:val="000000"/>
          <w:sz w:val="20"/>
        </w:rPr>
        <w:t>.</w:t>
      </w:r>
    </w:p>
    <w:p>
      <w:pPr>
        <w:pStyle w:val="TextBody"/>
        <w:bidi w:val="0"/>
        <w:spacing w:lineRule="auto" w:line="268" w:before="0" w:after="28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Material Adverse Effect</w:t>
      </w:r>
      <w:r>
        <w:rPr>
          <w:rFonts w:ascii="Times New Roman;Times;Serif" w:hAnsi="Times New Roman;Times;Serif"/>
          <w:b w:val="false"/>
          <w:i w:val="false"/>
          <w:caps w:val="false"/>
          <w:smallCaps w:val="false"/>
          <w:color w:val="000000"/>
          <w:sz w:val="20"/>
        </w:rPr>
        <w:t>” shall have the meaning assigned to such term in Section 3.1(a).</w:t>
      </w:r>
    </w:p>
    <w:p>
      <w:pPr>
        <w:pStyle w:val="TextBody"/>
        <w:bidi w:val="0"/>
        <w:spacing w:lineRule="auto" w:line="268" w:before="0" w:after="28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Per Unit Purchase Price</w:t>
      </w:r>
      <w:r>
        <w:rPr>
          <w:rFonts w:ascii="Times New Roman;Times;Serif" w:hAnsi="Times New Roman;Times;Serif"/>
          <w:b w:val="false"/>
          <w:i w:val="false"/>
          <w:caps w:val="false"/>
          <w:smallCaps w:val="false"/>
          <w:color w:val="000000"/>
          <w:sz w:val="20"/>
        </w:rPr>
        <w:t>” equals $0.8670, subject to adjustment for reverse and forward stock splits, stock dividends, stock combinations and other similar transactions of the Common Stock that occur between the date of this Agreement and the applicable Closing Date.</w:t>
      </w:r>
    </w:p>
    <w:p>
      <w:pPr>
        <w:pStyle w:val="TextBody"/>
        <w:bidi w:val="0"/>
        <w:spacing w:lineRule="auto" w:line="268" w:before="0" w:after="28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Person</w:t>
      </w:r>
      <w:r>
        <w:rPr>
          <w:rFonts w:ascii="Times New Roman;Times;Serif" w:hAnsi="Times New Roman;Times;Serif"/>
          <w:b w:val="false"/>
          <w:i w:val="false"/>
          <w:caps w:val="false"/>
          <w:smallCaps w:val="false"/>
          <w:color w:val="000000"/>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lineRule="auto" w:line="268" w:before="0" w:after="28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Proceeding</w:t>
      </w:r>
      <w:r>
        <w:rPr>
          <w:rFonts w:ascii="Times New Roman;Times;Serif" w:hAnsi="Times New Roman;Times;Serif"/>
          <w:b w:val="false"/>
          <w:i w:val="false"/>
          <w:caps w:val="false"/>
          <w:smallCaps w:val="false"/>
          <w:color w:val="000000"/>
          <w:sz w:val="20"/>
        </w:rPr>
        <w:t>” means an action, claim, suit, investigation or proceeding (including, without limitation, an informal investigation or partial proceeding, such as a deposition), pending or, to the Company’s knowledge, threatened in writing against the Company.</w:t>
      </w:r>
    </w:p>
    <w:p>
      <w:pPr>
        <w:pStyle w:val="TextBody"/>
        <w:bidi w:val="0"/>
        <w:spacing w:lineRule="auto" w:line="268" w:before="0" w:after="28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Prospectus Supplement</w:t>
      </w:r>
      <w:r>
        <w:rPr>
          <w:rFonts w:ascii="Times New Roman;Times;Serif" w:hAnsi="Times New Roman;Times;Serif"/>
          <w:b w:val="false"/>
          <w:i w:val="false"/>
          <w:caps w:val="false"/>
          <w:smallCaps w:val="false"/>
          <w:color w:val="000000"/>
          <w:sz w:val="20"/>
        </w:rPr>
        <w:t>” means the prospectus supplement filed pursuant to the Registration Statement relating to the offering of Securities pursuant to this Agreement, including the base prospectus included in the Registration Statement at the time it was declared effective and all information, documents and exhibits filed with or incorporated by reference into such final prospectus supplement.</w:t>
      </w:r>
    </w:p>
    <w:p>
      <w:pPr>
        <w:pStyle w:val="TextBody"/>
        <w:bidi w:val="0"/>
        <w:spacing w:lineRule="auto" w:line="268" w:before="0" w:after="28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Purchaser Party</w:t>
      </w:r>
      <w:r>
        <w:rPr>
          <w:rFonts w:ascii="Times New Roman;Times;Serif" w:hAnsi="Times New Roman;Times;Serif"/>
          <w:b w:val="false"/>
          <w:i w:val="false"/>
          <w:caps w:val="false"/>
          <w:smallCaps w:val="false"/>
          <w:color w:val="000000"/>
          <w:sz w:val="20"/>
        </w:rPr>
        <w:t>” shall have the meaning ascribed to such term in Section 4.5.</w:t>
      </w:r>
    </w:p>
    <w:p>
      <w:pPr>
        <w:pStyle w:val="TextBody"/>
        <w:bidi w:val="0"/>
        <w:spacing w:lineRule="auto" w:line="268" w:before="0" w:after="28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Registration Statement</w:t>
      </w:r>
      <w:r>
        <w:rPr>
          <w:rFonts w:ascii="Times New Roman;Times;Serif" w:hAnsi="Times New Roman;Times;Serif"/>
          <w:b w:val="false"/>
          <w:i w:val="false"/>
          <w:caps w:val="false"/>
          <w:smallCaps w:val="false"/>
          <w:color w:val="000000"/>
          <w:sz w:val="20"/>
        </w:rPr>
        <w:t>” means the effective registration statement filed with the Commission on February 14, 2024 (File No. 333-271361), including all information, documents and exhibits filed with or incorporated by reference into such registration statement, which registers the sale of the Shares, the Warrants and the Warrant Shares to the Purchaser.</w:t>
      </w:r>
    </w:p>
    <w:p>
      <w:pPr>
        <w:pStyle w:val="TextBody"/>
        <w:bidi w:val="0"/>
        <w:spacing w:lineRule="auto" w:line="268" w:before="0" w:after="28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Restraint</w:t>
      </w:r>
      <w:r>
        <w:rPr>
          <w:rFonts w:ascii="Times New Roman;Times;Serif" w:hAnsi="Times New Roman;Times;Serif"/>
          <w:b w:val="false"/>
          <w:i w:val="false"/>
          <w:caps w:val="false"/>
          <w:smallCaps w:val="false"/>
          <w:color w:val="000000"/>
          <w:sz w:val="20"/>
        </w:rPr>
        <w:t>” means any statute (including the Hart-Scott-Rodino Antitrust Improvements Act of 1976, as amended), rule, regulation, executive order, decree, ruling or injunction enacted, entered, promulgated or endorsed by any court or other Governmental Authority of competent jurisdiction.</w:t>
      </w:r>
    </w:p>
    <w:p>
      <w:pPr>
        <w:pStyle w:val="TextBody"/>
        <w:bidi w:val="0"/>
        <w:spacing w:lineRule="auto" w:line="268" w:before="0" w:after="28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Rule 144</w:t>
      </w:r>
      <w:r>
        <w:rPr>
          <w:rFonts w:ascii="Times New Roman;Times;Serif" w:hAnsi="Times New Roman;Times;Serif"/>
          <w:b w:val="false"/>
          <w:i w:val="false"/>
          <w:caps w:val="false"/>
          <w:smallCaps w:val="false"/>
          <w:color w:val="000000"/>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Rule 424</w:t>
      </w:r>
      <w:r>
        <w:rPr>
          <w:rFonts w:ascii="Times New Roman;Times;Serif" w:hAnsi="Times New Roman;Times;Serif"/>
          <w:b w:val="false"/>
          <w:i w:val="false"/>
          <w:caps w:val="false"/>
          <w:smallCaps w:val="false"/>
          <w:color w:val="000000"/>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Securities</w:t>
      </w:r>
      <w:r>
        <w:rPr>
          <w:rFonts w:ascii="Times New Roman;Times;Serif" w:hAnsi="Times New Roman;Times;Serif"/>
          <w:b w:val="false"/>
          <w:i w:val="false"/>
          <w:caps w:val="false"/>
          <w:smallCaps w:val="false"/>
          <w:color w:val="000000"/>
          <w:sz w:val="20"/>
        </w:rPr>
        <w:t>” means the Shares, the Warrants and the Warrant Shares.</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Shares</w:t>
      </w:r>
      <w:r>
        <w:rPr>
          <w:rFonts w:ascii="Times New Roman;Times;Serif" w:hAnsi="Times New Roman;Times;Serif"/>
          <w:b w:val="false"/>
          <w:i w:val="false"/>
          <w:caps w:val="false"/>
          <w:smallCaps w:val="false"/>
          <w:color w:val="000000"/>
          <w:sz w:val="20"/>
        </w:rPr>
        <w:t>” means the shares of Common Stock issued or issuable to the Purchaser pursuant to this Agreement.</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Short Sales</w:t>
      </w:r>
      <w:r>
        <w:rPr>
          <w:rFonts w:ascii="Times New Roman;Times;Serif" w:hAnsi="Times New Roman;Times;Serif"/>
          <w:b w:val="false"/>
          <w:i w:val="false"/>
          <w:caps w:val="false"/>
          <w:smallCaps w:val="false"/>
          <w:color w:val="000000"/>
          <w:sz w:val="20"/>
        </w:rPr>
        <w:t>” means all “short sales” as defined in Rule 200 of Regulation SHO under the Exchange Act (but shall not be deemed to include locating and/or borrowing shares of Common Stock).</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Subscription Amount</w:t>
      </w:r>
      <w:r>
        <w:rPr>
          <w:rFonts w:ascii="Times New Roman;Times;Serif" w:hAnsi="Times New Roman;Times;Serif"/>
          <w:b w:val="false"/>
          <w:i w:val="false"/>
          <w:caps w:val="false"/>
          <w:smallCaps w:val="false"/>
          <w:color w:val="000000"/>
          <w:sz w:val="20"/>
        </w:rPr>
        <w:t>” means, as to the Purchaser, the aggregate amount to be paid for Shares and Common Warrants purchased hereunder (which amount is exclusive of the exercise price payable upon the exercise of Common Warrants for Warrant Shares) as specified below the Purchaser’s name on the signature page of this Agreement and next to the heading “Subscription Amount,” in United States dollars and in immediately available funds.</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Trading Day</w:t>
      </w:r>
      <w:r>
        <w:rPr>
          <w:rFonts w:ascii="Times New Roman;Times;Serif" w:hAnsi="Times New Roman;Times;Serif"/>
          <w:b w:val="false"/>
          <w:i w:val="false"/>
          <w:caps w:val="false"/>
          <w:smallCaps w:val="false"/>
          <w:color w:val="000000"/>
          <w:sz w:val="20"/>
        </w:rPr>
        <w:t>” means a day on which the principal Trading Market is open for trading.</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Trading Market</w:t>
      </w:r>
      <w:r>
        <w:rPr>
          <w:rFonts w:ascii="Times New Roman;Times;Serif" w:hAnsi="Times New Roman;Times;Serif"/>
          <w:b w:val="false"/>
          <w:i w:val="false"/>
          <w:caps w:val="false"/>
          <w:smallCaps w:val="false"/>
          <w:color w:val="000000"/>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Transaction Documents</w:t>
      </w:r>
      <w:r>
        <w:rPr>
          <w:rFonts w:ascii="Times New Roman;Times;Serif" w:hAnsi="Times New Roman;Times;Serif"/>
          <w:b w:val="false"/>
          <w:i w:val="false"/>
          <w:caps w:val="false"/>
          <w:smallCaps w:val="false"/>
          <w:color w:val="000000"/>
          <w:sz w:val="20"/>
        </w:rPr>
        <w:t>” means this Agreement, the Warrants, the Lock-Up Agreements, the Voting Support Agreement, all exhibits and schedules thereto and hereto and any other documents or agreements executed in connection with the transactions contemplated hereunder.</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Transfer Agent</w:t>
      </w:r>
      <w:r>
        <w:rPr>
          <w:rFonts w:ascii="Times New Roman;Times;Serif" w:hAnsi="Times New Roman;Times;Serif"/>
          <w:b w:val="false"/>
          <w:i w:val="false"/>
          <w:caps w:val="false"/>
          <w:smallCaps w:val="false"/>
          <w:color w:val="000000"/>
          <w:sz w:val="20"/>
        </w:rPr>
        <w:t>” means Equiniti Trust Company.</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Warrants</w:t>
      </w:r>
      <w:r>
        <w:rPr>
          <w:rFonts w:ascii="Times New Roman;Times;Serif" w:hAnsi="Times New Roman;Times;Serif"/>
          <w:b w:val="false"/>
          <w:i w:val="false"/>
          <w:caps w:val="false"/>
          <w:smallCaps w:val="false"/>
          <w:color w:val="000000"/>
          <w:sz w:val="20"/>
        </w:rPr>
        <w:t>” means the Common Warrants.</w:t>
      </w:r>
    </w:p>
    <w:p>
      <w:pPr>
        <w:pStyle w:val="TextBody"/>
        <w:bidi w:val="0"/>
        <w:spacing w:lineRule="auto" w:line="268" w:before="0" w:after="240"/>
        <w:ind w:left="0" w:right="0" w:firstLine="648"/>
        <w:jc w:val="both"/>
        <w:rPr>
          <w:caps w:val="false"/>
          <w:smallCaps w:val="false"/>
          <w:color w:val="000000"/>
        </w:rPr>
      </w:pPr>
      <w:r>
        <w:rPr>
          <w:caps w:val="false"/>
          <w:smallCaps w:val="false"/>
          <w:color w:val="000000"/>
        </w:rPr>
        <w:t>“</w:t>
      </w:r>
      <w:r>
        <w:rPr>
          <w:rFonts w:ascii="Times New Roman;Times;Serif" w:hAnsi="Times New Roman;Times;Serif"/>
          <w:b w:val="false"/>
          <w:i w:val="false"/>
          <w:caps w:val="false"/>
          <w:smallCaps w:val="false"/>
          <w:color w:val="000000"/>
          <w:sz w:val="20"/>
          <w:u w:val="single"/>
        </w:rPr>
        <w:t>Warrant Shares</w:t>
      </w:r>
      <w:r>
        <w:rPr>
          <w:rFonts w:ascii="Times New Roman;Times;Serif" w:hAnsi="Times New Roman;Times;Serif"/>
          <w:b w:val="false"/>
          <w:i w:val="false"/>
          <w:caps w:val="false"/>
          <w:smallCaps w:val="false"/>
          <w:color w:val="000000"/>
          <w:sz w:val="20"/>
        </w:rPr>
        <w:t>” means the shares of Common Stock issuable upon exercise of the Warrants.</w:t>
      </w:r>
    </w:p>
    <w:p>
      <w:pPr>
        <w:pStyle w:val="TextBody"/>
        <w:bidi w:val="0"/>
        <w:spacing w:before="0" w:after="283"/>
        <w:jc w:val="left"/>
        <w:rPr/>
      </w:pPr>
      <w:r>
        <w:rPr/>
        <w:t> </w:t>
      </w:r>
    </w:p>
    <w:p>
      <w:pPr>
        <w:pStyle w:val="TextBody"/>
        <w:bidi w:val="0"/>
        <w:spacing w:lineRule="auto" w:line="268"/>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II.</w:t>
      </w:r>
    </w:p>
    <w:p>
      <w:pPr>
        <w:pStyle w:val="TextBody"/>
        <w:bidi w:val="0"/>
        <w:spacing w:lineRule="auto" w:line="268"/>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PURCHASE AND SALE</w:t>
      </w:r>
    </w:p>
    <w:p>
      <w:pPr>
        <w:pStyle w:val="TextBody"/>
        <w:bidi w:val="0"/>
        <w:spacing w:before="0" w:after="283"/>
        <w:jc w:val="left"/>
        <w:rPr/>
      </w:pPr>
      <w:r>
        <w:rPr/>
        <w:t> </w:t>
      </w:r>
    </w:p>
    <w:p>
      <w:pPr>
        <w:pStyle w:val="TextBody"/>
        <w:bidi w:val="0"/>
        <w:spacing w:lineRule="auto" w:line="268"/>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2.1    </w:t>
      </w:r>
      <w:r>
        <w:rPr>
          <w:rFonts w:ascii="Times New Roman;Times;Serif" w:hAnsi="Times New Roman;Times;Serif"/>
          <w:b w:val="false"/>
          <w:i w:val="false"/>
          <w:caps w:val="false"/>
          <w:smallCaps w:val="false"/>
          <w:color w:val="000000"/>
          <w:sz w:val="20"/>
          <w:u w:val="single"/>
        </w:rPr>
        <w:t>Closing</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The purchase, sale and issuance of the Shares and the Common Warrants pursuant to this Agreement shall take place at two closings, each of which is referred to in this Agreement as a closing (each, a “</w:t>
      </w:r>
      <w:r>
        <w:rPr>
          <w:rFonts w:ascii="Times New Roman;Times;Serif" w:hAnsi="Times New Roman;Times;Serif"/>
          <w:b w:val="false"/>
          <w:i w:val="false"/>
          <w:caps w:val="false"/>
          <w:smallCaps w:val="false"/>
          <w:color w:val="000000"/>
          <w:sz w:val="20"/>
          <w:u w:val="single"/>
        </w:rPr>
        <w:t>Closing</w:t>
      </w:r>
      <w:r>
        <w:rPr>
          <w:rFonts w:ascii="Times New Roman;Times;Serif" w:hAnsi="Times New Roman;Times;Serif"/>
          <w:b w:val="false"/>
          <w:i w:val="false"/>
          <w:caps w:val="false"/>
          <w:smallCaps w:val="false"/>
          <w:color w:val="000000"/>
          <w:sz w:val="20"/>
        </w:rPr>
        <w:t>”). The initial Closing (the “</w:t>
      </w:r>
      <w:r>
        <w:rPr>
          <w:rFonts w:ascii="Times New Roman;Times;Serif" w:hAnsi="Times New Roman;Times;Serif"/>
          <w:b w:val="false"/>
          <w:i w:val="false"/>
          <w:caps w:val="false"/>
          <w:smallCaps w:val="false"/>
          <w:color w:val="000000"/>
          <w:sz w:val="20"/>
          <w:u w:val="single"/>
        </w:rPr>
        <w:t>Initial Closing</w:t>
      </w:r>
      <w:r>
        <w:rPr>
          <w:rFonts w:ascii="Times New Roman;Times;Serif" w:hAnsi="Times New Roman;Times;Serif"/>
          <w:b w:val="false"/>
          <w:i w:val="false"/>
          <w:caps w:val="false"/>
          <w:smallCaps w:val="false"/>
          <w:color w:val="000000"/>
          <w:sz w:val="20"/>
        </w:rPr>
        <w:t>”) shall be held two (2) Trading Days after the date hereof, subject to the satisfaction or waiver of all applicable conditions set forth in Section 2.3 (the “</w:t>
      </w:r>
      <w:r>
        <w:rPr>
          <w:rFonts w:ascii="Times New Roman;Times;Serif" w:hAnsi="Times New Roman;Times;Serif"/>
          <w:b w:val="false"/>
          <w:i w:val="false"/>
          <w:caps w:val="false"/>
          <w:smallCaps w:val="false"/>
          <w:color w:val="000000"/>
          <w:sz w:val="20"/>
          <w:u w:val="single"/>
        </w:rPr>
        <w:t>Initial Closing Date</w:t>
      </w:r>
      <w:r>
        <w:rPr>
          <w:rFonts w:ascii="Times New Roman;Times;Serif" w:hAnsi="Times New Roman;Times;Serif"/>
          <w:b w:val="false"/>
          <w:i w:val="false"/>
          <w:caps w:val="false"/>
          <w:smallCaps w:val="false"/>
          <w:color w:val="000000"/>
          <w:sz w:val="20"/>
        </w:rPr>
        <w:t>”). At the Initial Closing, subject to the satisfaction of the conditions and limitations otherwise set forth herein, the Company shall issue and deliver, and the Purchaser shall purchase, the full amount of the Shares and the Common Warrants set forth on Schedule 1 hereto; provided that the Purchaser’s subscription at the Initial Closing shall be equal to the maximum amount allowable under the Listed Company Manual of the New York Stock Exchange (including Section 312.03 any other relevant limiting provision thereof) (together, the “</w:t>
      </w:r>
      <w:r>
        <w:rPr>
          <w:rFonts w:ascii="Times New Roman;Times;Serif" w:hAnsi="Times New Roman;Times;Serif"/>
          <w:b w:val="false"/>
          <w:i w:val="false"/>
          <w:caps w:val="false"/>
          <w:smallCaps w:val="false"/>
          <w:color w:val="000000"/>
          <w:sz w:val="20"/>
          <w:u w:val="single"/>
        </w:rPr>
        <w:t>LCM</w:t>
      </w:r>
      <w:r>
        <w:rPr>
          <w:rFonts w:ascii="Times New Roman;Times;Serif" w:hAnsi="Times New Roman;Times;Serif"/>
          <w:b w:val="false"/>
          <w:i w:val="false"/>
          <w:caps w:val="false"/>
          <w:smallCaps w:val="false"/>
          <w:color w:val="000000"/>
          <w:sz w:val="20"/>
        </w:rPr>
        <w:t xml:space="preserve">”) prior to obtaining Stockholder Approval, taking into account the concurrent closings occurring pursuant to the Concurrent Placement Agreement; provided further that the amounts listed on Schedule 1 hereto under the heading “Initial Closing” shall be adjusted to the extent that the amounts listed on Schedule 1 under the heading “Initial Closing” exceed the maximum amount allowable under the LCM and, in such case, any excess amounts removed from Schedule 1 under the heading “Initial Closing” shall be added to Schedule 1 under the heading “Subsequent Closing”. The Purchaser shall purchase the full amount of the Shares and Common Warrants set forth on Schedule 1 hereto not otherwise purchased at the Initial Closing promptly after the Company obtains Stockholder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Approval at a subsequent Closing (the “</w:t>
      </w:r>
      <w:r>
        <w:rPr>
          <w:rFonts w:ascii="Times New Roman;Times;Serif" w:hAnsi="Times New Roman;Times;Serif"/>
          <w:b w:val="false"/>
          <w:i w:val="false"/>
          <w:caps w:val="false"/>
          <w:smallCaps w:val="false"/>
          <w:color w:val="000000"/>
          <w:sz w:val="20"/>
          <w:u w:val="single"/>
        </w:rPr>
        <w:t>Subsequent Closing</w:t>
      </w:r>
      <w:r>
        <w:rPr>
          <w:rFonts w:ascii="Times New Roman;Times;Serif" w:hAnsi="Times New Roman;Times;Serif"/>
          <w:b w:val="false"/>
          <w:i w:val="false"/>
          <w:caps w:val="false"/>
          <w:smallCaps w:val="false"/>
          <w:color w:val="000000"/>
          <w:sz w:val="20"/>
        </w:rPr>
        <w:t>”). The sale and issuance in the Subsequent Closing shall be held two (2) Trading Days after receipt of the Stockholder Approval, subject to the satisfaction or waiver of all applicable conditions set forth in Section 2.3 (the “</w:t>
      </w:r>
      <w:r>
        <w:rPr>
          <w:rFonts w:ascii="Times New Roman;Times;Serif" w:hAnsi="Times New Roman;Times;Serif"/>
          <w:b w:val="false"/>
          <w:i w:val="false"/>
          <w:caps w:val="false"/>
          <w:smallCaps w:val="false"/>
          <w:color w:val="000000"/>
          <w:sz w:val="20"/>
          <w:u w:val="single"/>
        </w:rPr>
        <w:t>Subsequent Closing Date</w:t>
      </w:r>
      <w:r>
        <w:rPr>
          <w:rFonts w:ascii="Times New Roman;Times;Serif" w:hAnsi="Times New Roman;Times;Serif"/>
          <w:b w:val="false"/>
          <w:i w:val="false"/>
          <w:caps w:val="false"/>
          <w:smallCaps w:val="false"/>
          <w:color w:val="000000"/>
          <w:sz w:val="20"/>
        </w:rPr>
        <w:t xml:space="preserve">”). </w:t>
      </w:r>
    </w:p>
    <w:p>
      <w:pPr>
        <w:pStyle w:val="TextBody"/>
        <w:bidi w:val="0"/>
        <w:jc w:val="both"/>
        <w:rPr/>
      </w:pPr>
      <w:r>
        <w:rPr/>
        <w:t> </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On each Closing Date, upon the terms and subject to the conditions set forth herein, including under Section 2.1(a), the Company agrees to sell, and the Purchaser agrees to purchase, at the Per Unit Purchase Price (i) the number of Shares set forth under the heading “Initial Closing” or “Subsequent Closing” on Schedule 1 hereto, as applicable, at the Per Unit Purchase Price and (ii) Common Warrants exercisable for shares of Common Stock as calculated pursuant to Section 2.2(a) and as set forth on Schedule 1 hereto. The Company and the Purchaser shall deliver the other items set forth in Section 2.2 deliverable at a Closing. Upon satisfaction of the covenants and conditions set forth in Sections 2.2 and 2.3, a Closing shall occur remotely or at such location as the parties shall mutually agree. Unless otherwise agreed by the Company and the Purchaser, on each Closing Date, the Company shall issue the Shares registered in the Purchaser’s name and address and released by the Transfer Agent directly to the account(s) identified by the Purchaser.</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2.2    </w:t>
      </w:r>
      <w:r>
        <w:rPr>
          <w:rFonts w:ascii="Times New Roman;Times;Serif" w:hAnsi="Times New Roman;Times;Serif"/>
          <w:b w:val="false"/>
          <w:i w:val="false"/>
          <w:caps w:val="false"/>
          <w:smallCaps w:val="false"/>
          <w:color w:val="000000"/>
          <w:sz w:val="20"/>
          <w:u w:val="single"/>
        </w:rPr>
        <w:t>Deliveries</w:t>
      </w:r>
      <w:r>
        <w:rPr>
          <w:rFonts w:ascii="Times New Roman;Times;Serif" w:hAnsi="Times New Roman;Times;Serif"/>
          <w:b w:val="false"/>
          <w:i w:val="false"/>
          <w:caps w:val="false"/>
          <w:smallCaps w:val="false"/>
          <w:color w:val="000000"/>
          <w:sz w:val="20"/>
        </w:rPr>
        <w:t>.</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On or prior to the Initial Closing Date, the Company shall deliver or cause to be delivered to the Purchaser the following:</w:t>
      </w:r>
    </w:p>
    <w:p>
      <w:pPr>
        <w:pStyle w:val="TextBody"/>
        <w:bidi w:val="0"/>
        <w:spacing w:lineRule="auto" w:line="268" w:before="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this Agreement duly executed by the Company;</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a legal opinion of Company Counsel substantially in the form delivered under the Concurrent Placement Agreement;</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the Company shall have provided the Purchaser with the Company’s wire instructions, on Company letterhead and executed by the Chief Executive Officer or Chief Financial Officer;</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subject to Section 2.1, a copy of the irrevocable instructions to the Transfer Agent instructing the Transfer Agent to deliver on an expedited basis via The Depository Trust Company Deposit or Withdrawal at Custodian system (“</w:t>
      </w:r>
      <w:r>
        <w:rPr>
          <w:rFonts w:ascii="Times New Roman;Times;Serif" w:hAnsi="Times New Roman;Times;Serif"/>
          <w:b w:val="false"/>
          <w:i w:val="false"/>
          <w:caps w:val="false"/>
          <w:smallCaps w:val="false"/>
          <w:color w:val="000000"/>
          <w:sz w:val="20"/>
          <w:u w:val="single"/>
        </w:rPr>
        <w:t>DWAC</w:t>
      </w:r>
      <w:r>
        <w:rPr>
          <w:rFonts w:ascii="Times New Roman;Times;Serif" w:hAnsi="Times New Roman;Times;Serif"/>
          <w:b w:val="false"/>
          <w:i w:val="false"/>
          <w:caps w:val="false"/>
          <w:smallCaps w:val="false"/>
          <w:color w:val="000000"/>
          <w:sz w:val="20"/>
        </w:rPr>
        <w:t>”) Shares equal to the Purchaser’s Subscription Amount paid at the Initial Closing divided by the Per Unit Purchase Price, registered in the name of the Purchaser;</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a Class 1 Warrant registered in the name of the Purchaser to purchase up to a number of shares of Common Stock equal to 50% of the Purchaser’s Shares purchased at the Initial Closing, rounded down to the nearest whole share, as set forth on Schedule 1 hereto, with an exercise price equal to $1.0200, subject to adjustment therein;</w:t>
      </w:r>
    </w:p>
    <w:p>
      <w:pPr>
        <w:pStyle w:val="TextBody"/>
        <w:bidi w:val="0"/>
        <w:jc w:val="both"/>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    a Class 2 Warrant registered in the name of the Purchaser to purchase up to a number of shares of Common Stock equal to 50% of the Purchaser’s Shares purchased at the Initial Closing, rounded down to the nearest whole share, as set forth on Schedule 1 hereto, with an exercise price equal to $1.0200, subject to adjustment therein;</w:t>
      </w:r>
    </w:p>
    <w:p>
      <w:pPr>
        <w:pStyle w:val="TextBody"/>
        <w:bidi w:val="0"/>
        <w:jc w:val="both"/>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     the Prospectus Supplement (which may be delivered in accordance with Rule 172 under the Securities Act);</w:t>
      </w:r>
    </w:p>
    <w:p>
      <w:pPr>
        <w:pStyle w:val="TextBody"/>
        <w:bidi w:val="0"/>
        <w:ind w:left="0" w:right="0" w:firstLine="720"/>
        <w:jc w:val="both"/>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(viii)    an Officer’s Certificate substantially in the form delivered under the Concurrent Placement Agreement;</w:t>
      </w:r>
    </w:p>
    <w:p>
      <w:pPr>
        <w:pStyle w:val="TextBody"/>
        <w:bidi w:val="0"/>
        <w:jc w:val="both"/>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(ix)    a Secretary’s Certificate substantially in the form delivered under the Concurrent Placement Agreement; and</w:t>
      </w:r>
    </w:p>
    <w:p>
      <w:pPr>
        <w:pStyle w:val="TextBody"/>
        <w:bidi w:val="0"/>
        <w:jc w:val="both"/>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    the Lock-Up Agreements duly executed by each executive officer and director of the Company.</w:t>
      </w:r>
    </w:p>
    <w:p>
      <w:pPr>
        <w:pStyle w:val="TextBody"/>
        <w:bidi w:val="0"/>
        <w:jc w:val="both"/>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ind w:left="0" w:right="0" w:firstLine="720"/>
        <w:jc w:val="both"/>
        <w:rPr/>
      </w:pPr>
      <w:r>
        <w:rPr/>
        <w:t> </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On or prior to the Initial Closing Date, the Purchaser shall deliver or cause to be delivered to the Company the following:</w:t>
      </w:r>
    </w:p>
    <w:p>
      <w:pPr>
        <w:pStyle w:val="TextBody"/>
        <w:bidi w:val="0"/>
        <w:spacing w:lineRule="auto" w:line="268" w:before="0" w:after="240"/>
        <w:jc w:val="both"/>
        <w:rPr>
          <w:caps w:val="false"/>
          <w:smallCaps w:val="false"/>
          <w:color w:val="000000"/>
        </w:rPr>
      </w:pPr>
      <w:r>
        <w:rPr>
          <w:caps w:val="false"/>
          <w:smallCaps w:val="false"/>
          <w:color w:val="000000"/>
        </w:rPr>
        <w:t>    </w:t>
      </w:r>
      <w:r>
        <w:rPr>
          <w:rFonts w:ascii="Times New Roman;Times;Serif" w:hAnsi="Times New Roman;Times;Serif"/>
          <w:b w:val="false"/>
          <w:i w:val="false"/>
          <w:caps w:val="false"/>
          <w:smallCaps w:val="false"/>
          <w:color w:val="000000"/>
          <w:sz w:val="20"/>
        </w:rPr>
        <w:t>(i)    this Agreement duly executed by the Purchaser; and</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the Purchaser’s Subscription Amount in respect of the Securities to be purchased by the Purchaser at the Initial Closing.</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On or prior to the Subsequent Closing Date, the Company shall deliver or cause to be delivered to the Purchaser purchasing in such Subsequent Closing the following:</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subject to Section 2.1, a copy of the irrevocable instructions to the Transfer Agent instructing the Transfer Agent to deliver on an expedited basis via DWAC Shares equal to the Purchaser’s Subscription Amount paid at such Subsequent Closing divided by the Per Unit Purchase Price, registered in the name of the Purchaser;</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a bringdown letter reasonably satisfactory to the Purchaser relating to the legal opinion of Company Counsel issued in connection with the Initial Closing;</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a bringdown Officer Certificate reasonably satisfactory to the Purchaser;</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a Class 1 Warrant registered in the name of the Purchaser to purchase up to a number of shares of Common Stock equal to 50% of the Purchaser’s Shares purchased at such Subsequent Closing, rounded down to the nearest whole share, as set forth on Schedule 1 hereto, with an exercise price equal to $1.0200, subject to adjustment therein; and</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a Class 2 Warrant registered in the name of the Purchaser to purchase up to a number of shares of Common Stock equal to 50% of the Purchaser’s Shares purchased at such Subsequent Closing, rounded down to the nearest whole share, as set forth on Schedule 1 hereto, with an exercise price equal to $1.0200, subject to adjustment therein.</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On or prior to the Subsequent Closing Date, the Purchaser shall deliver or cause to be delivered to the Company the Purchaser’s Subscription Amount in respect of the Securities to be purchased by the Purchaser at the Subsequent Closing.</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2.3    </w:t>
      </w:r>
      <w:r>
        <w:rPr>
          <w:rFonts w:ascii="Times New Roman;Times;Serif" w:hAnsi="Times New Roman;Times;Serif"/>
          <w:b w:val="false"/>
          <w:i w:val="false"/>
          <w:caps w:val="false"/>
          <w:smallCaps w:val="false"/>
          <w:color w:val="000000"/>
          <w:sz w:val="20"/>
          <w:u w:val="single"/>
        </w:rPr>
        <w:t>Closing Conditions</w:t>
      </w:r>
      <w:r>
        <w:rPr>
          <w:rFonts w:ascii="Times New Roman;Times;Serif" w:hAnsi="Times New Roman;Times;Serif"/>
          <w:b w:val="false"/>
          <w:i w:val="false"/>
          <w:caps w:val="false"/>
          <w:smallCaps w:val="false"/>
          <w:color w:val="000000"/>
          <w:sz w:val="20"/>
        </w:rPr>
        <w:t>.</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The obligations of the Company hereunder in connection with the applicable Closing are subject to the following conditions being met:</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the accuracy in all material respects (or, to the extent representations or warranties are qualified by materiality, in all respects) when made and on such Closing Date of the representations and warranties of the Purchaser contained herein (unless made as of a specific date therein in which case they shall be accurate in all material respects (or, to the extent representations or warranties are qualified by materiality, in all respects) as of such date);</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all obligations, covenants and agreements of the Purchaser required to be performed at or prior to such Closing Date shall have been performed in all material respects;</w:t>
      </w:r>
    </w:p>
    <w:p>
      <w:pPr>
        <w:pStyle w:val="TextBody"/>
        <w:bidi w:val="0"/>
        <w:spacing w:lineRule="auto" w:line="268" w:before="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the delivery by the Purchaser of the items set forth in Section 2.2(b) or Section 2.2(d), as applicable, of this Agreement;</w:t>
      </w:r>
    </w:p>
    <w:p>
      <w:pPr>
        <w:pStyle w:val="TextBody"/>
        <w:bidi w:val="0"/>
        <w:spacing w:lineRule="auto" w:line="268" w:before="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no Restraint shall be in effect which prohibits the consummation of any of the transactions contemplated by the Transaction Documents; and</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0" w:after="28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as to the Subsequent Closing, the Stockholder Approval shall have been obtained and become effective.</w:t>
      </w:r>
    </w:p>
    <w:p>
      <w:pPr>
        <w:pStyle w:val="TextBody"/>
        <w:bidi w:val="0"/>
        <w:spacing w:lineRule="auto" w:line="268" w:before="0" w:after="28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The respective obligations of the Purchaser in connection with the applicable Closing are subject to the following conditions being met:</w:t>
      </w:r>
    </w:p>
    <w:p>
      <w:pPr>
        <w:pStyle w:val="TextBody"/>
        <w:bidi w:val="0"/>
        <w:spacing w:lineRule="auto" w:line="268" w:before="0" w:after="28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the accuracy in all material respects (or, to the extent representations or warranties are qualified by materiality or Material Adverse Effect, in all respects) when made and on such Closing Date of the representations and warranties of the Company contained herein (unless made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lineRule="auto" w:line="268" w:before="0" w:after="28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    all obligations, covenants and agreements of the Company required to be performed at or prior to such Closing Date shall have been performed;</w:t>
      </w:r>
    </w:p>
    <w:p>
      <w:pPr>
        <w:pStyle w:val="TextBody"/>
        <w:bidi w:val="0"/>
        <w:spacing w:lineRule="auto" w:line="268" w:before="0" w:after="28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    the delivery by the Company of the items set forth in Section 2.2(a) or Section 2.2(c), as applicable, of this Agreement;</w:t>
      </w:r>
    </w:p>
    <w:p>
      <w:pPr>
        <w:pStyle w:val="TextBody"/>
        <w:bidi w:val="0"/>
        <w:spacing w:lineRule="auto" w:line="268" w:before="0" w:after="28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(iv)    as to the Initial Closing, the Closing (as defined under the Concurrent Placement Agreement) shall be occurring simultaneously with the Initial Closing hereunder on terms consistent in all material respects with the terms set forth in the Concurrent Placement Agreement upon its execution on the date of this Agreement;</w:t>
      </w:r>
    </w:p>
    <w:p>
      <w:pPr>
        <w:pStyle w:val="TextBody"/>
        <w:bidi w:val="0"/>
        <w:spacing w:lineRule="auto" w:line="268" w:before="0" w:after="28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there shall have been no Material Adverse Effect with respect to the Company since the date hereof;</w:t>
      </w:r>
    </w:p>
    <w:p>
      <w:pPr>
        <w:pStyle w:val="TextBody"/>
        <w:bidi w:val="0"/>
        <w:spacing w:lineRule="auto" w:line="268" w:before="0" w:after="28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    from the date hereof to each applicable Closing Date, trading in the Common Stock shall not have been suspended by the Commission or the Company’s principal Trading Market, and, at any time prior to a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Purchaser, makes it impracticable or inadvisable to purchase the Securities at a Closing;</w:t>
      </w:r>
    </w:p>
    <w:p>
      <w:pPr>
        <w:pStyle w:val="TextBody"/>
        <w:bidi w:val="0"/>
        <w:spacing w:lineRule="auto" w:line="268" w:before="0" w:after="28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    no Restraint shall be in effect which prohibits the consummation of any of the transactions contemplated by the Transaction Documents; and</w:t>
      </w:r>
    </w:p>
    <w:p>
      <w:pPr>
        <w:pStyle w:val="TextBody"/>
        <w:bidi w:val="0"/>
        <w:spacing w:lineRule="auto" w:line="268" w:before="0" w:after="28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(viii)    as to the Subsequent Closing, the Stockholder Approval shall have been obtained and become effective.</w:t>
      </w:r>
    </w:p>
    <w:p>
      <w:pPr>
        <w:pStyle w:val="TextBody"/>
        <w:bidi w:val="0"/>
        <w:spacing w:lineRule="auto" w:line="268"/>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III.</w:t>
      </w:r>
    </w:p>
    <w:p>
      <w:pPr>
        <w:pStyle w:val="TextBody"/>
        <w:bidi w:val="0"/>
        <w:spacing w:lineRule="auto" w:line="268"/>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REPRESENTATIONS AND WARRANTIES</w:t>
      </w:r>
    </w:p>
    <w:p>
      <w:pPr>
        <w:pStyle w:val="TextBody"/>
        <w:bidi w:val="0"/>
        <w:spacing w:before="0" w:after="283"/>
        <w:jc w:val="left"/>
        <w:rPr/>
      </w:pPr>
      <w:r>
        <w:rPr/>
        <w:t> </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3.1    </w:t>
      </w:r>
      <w:r>
        <w:rPr>
          <w:rFonts w:ascii="Times New Roman;Times;Serif" w:hAnsi="Times New Roman;Times;Serif"/>
          <w:b w:val="false"/>
          <w:i w:val="false"/>
          <w:caps w:val="false"/>
          <w:smallCaps w:val="false"/>
          <w:color w:val="000000"/>
          <w:sz w:val="20"/>
          <w:u w:val="single"/>
        </w:rPr>
        <w:t>Representations and Warranties of the Company</w:t>
      </w:r>
      <w:r>
        <w:rPr>
          <w:rFonts w:ascii="Times New Roman;Times;Serif" w:hAnsi="Times New Roman;Times;Serif"/>
          <w:b w:val="false"/>
          <w:i w:val="false"/>
          <w:caps w:val="false"/>
          <w:smallCaps w:val="false"/>
          <w:color w:val="000000"/>
          <w:sz w:val="20"/>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Purchaser:</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Organization and Good Standing</w:t>
      </w:r>
      <w:r>
        <w:rPr>
          <w:rFonts w:ascii="Times New Roman;Times;Serif" w:hAnsi="Times New Roman;Times;Serif"/>
          <w:b w:val="false"/>
          <w:i w:val="false"/>
          <w:caps w:val="false"/>
          <w:smallCaps w:val="false"/>
          <w:color w:val="000000"/>
          <w:sz w:val="20"/>
        </w:rPr>
        <w:t xml:space="preserve">. Each of the subsidiaries of the Company are set forth on </w:t>
      </w:r>
      <w:r>
        <w:rPr>
          <w:rFonts w:ascii="Times New Roman;Times;Serif" w:hAnsi="Times New Roman;Times;Serif"/>
          <w:b w:val="false"/>
          <w:i w:val="false"/>
          <w:caps w:val="false"/>
          <w:smallCaps w:val="false"/>
          <w:color w:val="000000"/>
          <w:sz w:val="20"/>
          <w:u w:val="single"/>
        </w:rPr>
        <w:t xml:space="preserve">Schedule 3.1(a), and </w:t>
      </w:r>
      <w:r>
        <w:rPr>
          <w:rFonts w:ascii="Times New Roman;Times;Serif" w:hAnsi="Times New Roman;Times;Serif"/>
          <w:b w:val="false"/>
          <w:i w:val="false"/>
          <w:caps w:val="false"/>
          <w:smallCaps w:val="false"/>
          <w:color w:val="000000"/>
          <w:sz w:val="20"/>
        </w:rPr>
        <w:t xml:space="preserve">the Company owns, directly or indirectly, all of the capital stock or other equity interests of each such subsidiary, free and clear of any liens or encumbrances, and all of the issued and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outstanding shares of capital stock of each such subsidiary are validly issued and are fully paid, non-assessable and free of preemptive and similar rights to subscribe for or purchase securities. Each of the Company and its subsidiaries has been duly incorporated or organized, as applicable, is validly existing and is in good standing (to the extent the concept of good standing is applicable in such jurisdiction) under the laws of its jurisdiction of incorporation or organization. Each of the Company and its subsidiaries has the requisite power and authority to own its properties and conduct its business as currently being carried on and as described in the Registration Statement and the Prospectus Supplement, and is duly qualified to do business as a foreign corporation or other entity in good standing in each jurisdiction in which the conduct of its business or ownership of property makes such qualification necessary, except where the failure to so qualify would not have or be reasonably expected to result in (a) a material adverse effect upon the business, properties, operations, financial condition or results of operations of the Company and its subsidiaries, taken as a whole, or (b) a material adverse effect on the Company’s ability to perform in any material respect on a timely basis its obligations under the Transaction Documents (“</w:t>
      </w:r>
      <w:r>
        <w:rPr>
          <w:rFonts w:ascii="Times New Roman;Times;Serif" w:hAnsi="Times New Roman;Times;Serif"/>
          <w:b w:val="false"/>
          <w:i w:val="false"/>
          <w:caps w:val="false"/>
          <w:smallCaps w:val="false"/>
          <w:color w:val="000000"/>
          <w:sz w:val="20"/>
          <w:u w:val="single"/>
        </w:rPr>
        <w:t>Material Adverse Effect</w:t>
      </w:r>
      <w:r>
        <w:rPr>
          <w:rFonts w:ascii="Times New Roman;Times;Serif" w:hAnsi="Times New Roman;Times;Serif"/>
          <w:b w:val="false"/>
          <w:i w:val="false"/>
          <w:caps w:val="false"/>
          <w:smallCaps w:val="false"/>
          <w:color w:val="000000"/>
          <w:sz w:val="20"/>
        </w:rPr>
        <w:t>”), and no Proceeding has been instituted in any such jurisdiction revoking, limiting or curtailing or seeking to revoke, limit or curtail such power and authority or qualification.</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color w:val="000000"/>
          <w:sz w:val="20"/>
          <w:u w:val="single"/>
        </w:rPr>
        <w:t>No Violations or Defaults</w:t>
      </w:r>
      <w:r>
        <w:rPr>
          <w:rFonts w:ascii="Times New Roman;Times;Serif" w:hAnsi="Times New Roman;Times;Serif"/>
          <w:b w:val="false"/>
          <w:i w:val="false"/>
          <w:caps w:val="false"/>
          <w:smallCaps w:val="false"/>
          <w:color w:val="000000"/>
          <w:sz w:val="20"/>
        </w:rPr>
        <w:t xml:space="preserve">. Except as set forth on </w:t>
      </w:r>
      <w:r>
        <w:rPr>
          <w:rFonts w:ascii="Times New Roman;Times;Serif" w:hAnsi="Times New Roman;Times;Serif"/>
          <w:b w:val="false"/>
          <w:i w:val="false"/>
          <w:caps w:val="false"/>
          <w:smallCaps w:val="false"/>
          <w:color w:val="000000"/>
          <w:sz w:val="20"/>
          <w:u w:val="single"/>
        </w:rPr>
        <w:t>Schedule 3.1(b)</w:t>
      </w:r>
      <w:r>
        <w:rPr>
          <w:rFonts w:ascii="Times New Roman;Times;Serif" w:hAnsi="Times New Roman;Times;Serif"/>
          <w:b w:val="false"/>
          <w:i w:val="false"/>
          <w:caps w:val="false"/>
          <w:smallCaps w:val="false"/>
          <w:color w:val="000000"/>
          <w:sz w:val="20"/>
        </w:rPr>
        <w:t>, neither the Company nor any of its subsidiaries (A) is in violation of its charters, bylaws or other organizational documents, (B) is in breach of or otherwise in default and no event has occurred which, with notice or lapse of time or both, would constitute such a default, in the performance or observance of any term, covenant or condition contained in any contract, indenture, mortgage, deed of trust, loan agreement, lease or other agreement or instrument to which it is a party or by which it is bound or to which any of its material property or assets is subject, or (C) is in violation in any respect of any law, ordinance, governmental rule, regulation or court order, decree or judgment to which it or its property or assets may be subject, including the Sarbanes-Oxley Act and the Exchange Act; except, in the case of clauses (B) and (C) of this paragraph (b), for any breaches, violations or defaults which, singularly or in the aggregate, would not reasonably be expected to have a Material Adverse Effect.</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w:t>
      </w:r>
      <w:r>
        <w:rPr>
          <w:rFonts w:ascii="Times New Roman;Times;Serif" w:hAnsi="Times New Roman;Times;Serif"/>
          <w:b w:val="false"/>
          <w:i w:val="false"/>
          <w:caps w:val="false"/>
          <w:smallCaps w:val="false"/>
          <w:color w:val="000000"/>
          <w:sz w:val="20"/>
          <w:u w:val="single"/>
        </w:rPr>
        <w:t>Authorization; No Conflicts; Authority</w:t>
      </w:r>
      <w:r>
        <w:rPr>
          <w:rFonts w:ascii="Times New Roman;Times;Serif" w:hAnsi="Times New Roman;Times;Serif"/>
          <w:b w:val="false"/>
          <w:i w:val="false"/>
          <w:caps w:val="false"/>
          <w:smallCaps w:val="false"/>
          <w:color w:val="000000"/>
          <w:sz w:val="20"/>
        </w:rPr>
        <w:t>. This Agreement has been duly authorized, executed and delivered by the Company. The Warrants have been duly authorized, and when executed and delivered by the Company, shall constitute a valid, legal and binding obligation of the Company, enforceable in accordance with their terms, except as such enforceability may be limited by bankruptcy, insolvency, reorganization or similar laws affecting the rights of creditors generally and subject to general principles of equity. The execution, delivery and performance of the Transaction Documents and the consummation of the transactions herein and therein contemplated will not (A)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and which is material to the Company and its subsidiaries taken as a whole, (B) result in any violation of the provisions of the Company’s charter or by-laws or (C) result in the violation of any law or statute or any judgment, order, rule, regulation or decree of any court or arbitrator or federal, state, local or foreign governmental agency or regulatory authority having jurisdiction over the Company or any of its subsidiaries or any of their properties or assets (each, a “</w:t>
      </w:r>
      <w:r>
        <w:rPr>
          <w:rFonts w:ascii="Times New Roman;Times;Serif" w:hAnsi="Times New Roman;Times;Serif"/>
          <w:b w:val="false"/>
          <w:i w:val="false"/>
          <w:caps w:val="false"/>
          <w:smallCaps w:val="false"/>
          <w:color w:val="000000"/>
          <w:sz w:val="20"/>
          <w:u w:val="single"/>
        </w:rPr>
        <w:t>Governmental Authority</w:t>
      </w:r>
      <w:r>
        <w:rPr>
          <w:rFonts w:ascii="Times New Roman;Times;Serif" w:hAnsi="Times New Roman;Times;Serif"/>
          <w:b w:val="false"/>
          <w:i w:val="false"/>
          <w:caps w:val="false"/>
          <w:smallCaps w:val="false"/>
          <w:color w:val="000000"/>
          <w:sz w:val="20"/>
        </w:rPr>
        <w:t>”), except in the case of clause (A) or (C) as would not result in a Material Adverse Effect. No consent, approval, authorization or order of, or registration or filing with any Governmental Authority is required for the execution, delivery and performance of this Agreement or for the consummation of the transactions contemplated hereby, including the issuance or sale of the Securities by the Company, except for the Stockholder Approval (solely with respect to the alternative cashless exercise option in the Class 2 Warrants and certain of the Securities issuable hereunder) and such as may be required under the Act, the rules of the Financial Industry Regulatory Authority (“</w:t>
      </w:r>
      <w:r>
        <w:rPr>
          <w:rFonts w:ascii="Times New Roman;Times;Serif" w:hAnsi="Times New Roman;Times;Serif"/>
          <w:b w:val="false"/>
          <w:i w:val="false"/>
          <w:caps w:val="false"/>
          <w:smallCaps w:val="false"/>
          <w:color w:val="000000"/>
          <w:sz w:val="20"/>
          <w:u w:val="single"/>
        </w:rPr>
        <w:t>FINRA</w:t>
      </w:r>
      <w:r>
        <w:rPr>
          <w:rFonts w:ascii="Times New Roman;Times;Serif" w:hAnsi="Times New Roman;Times;Serif"/>
          <w:b w:val="false"/>
          <w:i w:val="false"/>
          <w:caps w:val="false"/>
          <w:smallCaps w:val="false"/>
          <w:color w:val="000000"/>
          <w:sz w:val="20"/>
        </w:rPr>
        <w:t>”) or state securities or blue sky laws; and the Company has full power and authority to enter into the Transaction Documents and to consummate the transactions contemplated hereby and thereby, including the authorization, issuance and sale of the Securities as contemplated by this Agreement.</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w:t>
      </w:r>
      <w:r>
        <w:rPr>
          <w:rFonts w:ascii="Times New Roman;Times;Serif" w:hAnsi="Times New Roman;Times;Serif"/>
          <w:b w:val="false"/>
          <w:i w:val="false"/>
          <w:caps w:val="false"/>
          <w:smallCaps w:val="false"/>
          <w:color w:val="000000"/>
          <w:sz w:val="20"/>
          <w:u w:val="single"/>
        </w:rPr>
        <w:t>Issuance of the Securities; Registration</w:t>
      </w:r>
      <w:r>
        <w:rPr>
          <w:rFonts w:ascii="Times New Roman;Times;Serif" w:hAnsi="Times New Roman;Times;Serif"/>
          <w:b w:val="false"/>
          <w:i w:val="false"/>
          <w:caps w:val="false"/>
          <w:smallCaps w:val="false"/>
          <w:color w:val="000000"/>
          <w:sz w:val="20"/>
        </w:rPr>
        <w:t>. The Shares are duly authorized and, when issued and paid for in accordance with the applicable Transaction Documents, will be duly and validly issued, fully paid and nonassessable, free and clear of all Liens imposed by the Company. The Warrant Shares are duly authorized and, when issued in accordance with the terms of the Warrants, will be validly issued, fully paid and nonassessable, free and clear of all Liens imposed by the Company.</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Registration Statement became effective on February 14, 2024, including the related base prospectus, and such amendments and supplements thereto as may have been required to the date of this Agreement. The Company is eligible to sell the Securities under Instruction I.B.1 of Form S-3. The Registration Statement is effective under the Securities Act and no stop order preventing or suspending the effectiveness of the Registration Statement or suspending or preventing the use of the Prospectus Supplement or the Prospectus Supplement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each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Supplement and any amendments or supplements thereto, at the time the Prospectus Supplement or any amendment or supplement thereto was issued and at each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w:t>
      </w:r>
      <w:r>
        <w:rPr>
          <w:rFonts w:ascii="Times New Roman;Times;Serif" w:hAnsi="Times New Roman;Times;Serif"/>
          <w:b w:val="false"/>
          <w:i w:val="false"/>
          <w:caps w:val="false"/>
          <w:smallCaps w:val="false"/>
          <w:color w:val="000000"/>
          <w:sz w:val="20"/>
          <w:u w:val="single"/>
        </w:rPr>
        <w:t>Capitalization</w:t>
      </w:r>
      <w:r>
        <w:rPr>
          <w:rFonts w:ascii="Times New Roman;Times;Serif" w:hAnsi="Times New Roman;Times;Serif"/>
          <w:b w:val="false"/>
          <w:i w:val="false"/>
          <w:caps w:val="false"/>
          <w:smallCaps w:val="false"/>
          <w:color w:val="000000"/>
          <w:sz w:val="20"/>
        </w:rPr>
        <w:t xml:space="preserve">. The capitalization of the Company as of the date hereof is as set forth on </w:t>
      </w:r>
      <w:r>
        <w:rPr>
          <w:rFonts w:ascii="Times New Roman;Times;Serif" w:hAnsi="Times New Roman;Times;Serif"/>
          <w:b w:val="false"/>
          <w:i w:val="false"/>
          <w:caps w:val="false"/>
          <w:smallCaps w:val="false"/>
          <w:color w:val="000000"/>
          <w:sz w:val="20"/>
          <w:u w:val="single"/>
        </w:rPr>
        <w:t>Schedule 3.1(e</w:t>
      </w:r>
      <w:r>
        <w:rPr>
          <w:rFonts w:ascii="Times New Roman;Times;Serif" w:hAnsi="Times New Roman;Times;Serif"/>
          <w:b w:val="false"/>
          <w:i w:val="false"/>
          <w:caps w:val="false"/>
          <w:smallCaps w:val="false"/>
          <w:color w:val="000000"/>
          <w:sz w:val="20"/>
        </w:rPr>
        <w:t xml:space="preserve">). All of the issued and outstanding shares of capital stock of the Company, including the outstanding shares of Common Stock, are duly authorized and validly issued, fully paid and nonassessable, have been issued in compliance with all federal and state securities laws, were not issued in violation of or subject to any preemptive rights or other rights to subscribe for or purchase securities that have not been waived in writing, and the holders thereof are not subject to personal liability by reason of being such holders; the capital stock of the Company, including the Common Stock and the Warrants, conforms in all material respects to the description thereof in the Registration Statement and the Prospectus Supplement. Except as set forth on </w:t>
      </w:r>
      <w:r>
        <w:rPr>
          <w:rFonts w:ascii="Times New Roman;Times;Serif" w:hAnsi="Times New Roman;Times;Serif"/>
          <w:b w:val="false"/>
          <w:i w:val="false"/>
          <w:caps w:val="false"/>
          <w:smallCaps w:val="false"/>
          <w:color w:val="000000"/>
          <w:sz w:val="20"/>
          <w:u w:val="single"/>
        </w:rPr>
        <w:t>Schedule 3.1(e</w:t>
      </w:r>
      <w:r>
        <w:rPr>
          <w:rFonts w:ascii="Times New Roman;Times;Serif" w:hAnsi="Times New Roman;Times;Serif"/>
          <w:b w:val="false"/>
          <w:i w:val="false"/>
          <w:caps w:val="false"/>
          <w:smallCaps w:val="false"/>
          <w:color w:val="000000"/>
          <w:sz w:val="20"/>
        </w:rPr>
        <w:t>) and except for the Concurrent Placement, (A) there are no preemptive rights or other rights to subscribe for or to purchase, or any restriction upon the voting or transfer of, any shares of Common Stock pursuant to the Company’s charter, by-laws or any agreement or other instrument to which the Company or any of its subsidiaries is a party or by which the Company or any of its subsidiaries is bound; and (B) neither the filing of the Registration Statement nor the offering or sale of the Securities as contemplated by this Agreement gives rise to any rights for or relating to the registration of any shares of Common Stock or other securities of the Company (collectively “</w:t>
      </w:r>
      <w:r>
        <w:rPr>
          <w:rFonts w:ascii="Times New Roman;Times;Serif" w:hAnsi="Times New Roman;Times;Serif"/>
          <w:b w:val="false"/>
          <w:i w:val="false"/>
          <w:caps w:val="false"/>
          <w:smallCaps w:val="false"/>
          <w:color w:val="000000"/>
          <w:sz w:val="20"/>
          <w:u w:val="single"/>
        </w:rPr>
        <w:t>Registration Rights</w:t>
      </w:r>
      <w:r>
        <w:rPr>
          <w:rFonts w:ascii="Times New Roman;Times;Serif" w:hAnsi="Times New Roman;Times;Serif"/>
          <w:b w:val="false"/>
          <w:i w:val="false"/>
          <w:caps w:val="false"/>
          <w:smallCaps w:val="false"/>
          <w:color w:val="000000"/>
          <w:sz w:val="20"/>
        </w:rPr>
        <w:t xml:space="preserve">”), except as have been validly waived or complied with in connection with the sale of Securities as contemplated by this Agreement.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capital stock of any subsidiary of the Company, or contracts, commitments, understandings or arrangements by which the Company or any of its subsidiaries is or may become bound to issue additional shares of Common Stock, Common Stock Equivalents or capital stock of any such subsidiary. The issuance and sale of the Securities will not obligate the Company or any Subsidiary to issue shares of Common Stock or other securities to any Person (other than the Purchaser). There are no outstanding securities or instruments of the Company or any Subsidiary with any provision that adjusts the exercise, conversion, exchange or reset price of such security or instrument upon an issuance of securities by the Company or any of its subsidiaries. There are no outstanding securities or instruments of the Company or any of its subsidiaries that contain any redemption or similar provisions, and there are no contracts, commitments,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understandings or arrangements by which the Company or any subsidiary of the Company is or may become bound to redeem a security of the Company or such subsidiary. The Company does not have any stock appreciation rights or “phantom stock” plans or agreements or any similar plan or agreement. Except for the Stockholder Approval (solely with respect to the alternative cashless exercise option in the Class 2 Warrants and certain of the Securities issuable hereunder), no further approval or authorization of any stockholder, the Board of Directors or others is required for the issuance and sale of the Securities. Except as set forth in the SEC Reports (as defined below) and the Voting Support Agreement,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w:t>
      </w:r>
      <w:r>
        <w:rPr>
          <w:rFonts w:ascii="Times New Roman;Times;Serif" w:hAnsi="Times New Roman;Times;Serif"/>
          <w:b w:val="false"/>
          <w:i w:val="false"/>
          <w:caps w:val="false"/>
          <w:smallCaps w:val="false"/>
          <w:color w:val="000000"/>
          <w:sz w:val="20"/>
          <w:u w:val="single"/>
        </w:rPr>
        <w:t>SEC Reports</w:t>
      </w:r>
      <w:r>
        <w:rPr>
          <w:rFonts w:ascii="Times New Roman;Times;Serif" w:hAnsi="Times New Roman;Times;Serif"/>
          <w:b w:val="false"/>
          <w:i w:val="false"/>
          <w:caps w:val="false"/>
          <w:smallCaps w:val="false"/>
          <w:color w:val="000000"/>
          <w:sz w:val="20"/>
        </w:rPr>
        <w:t>. The Company has filed all reports, schedules, forms, statements and other documents required to be filed by the Company under the Securities Act and the Exchange Act, including pursuant to Section 13(a) or 15(d) thereof, for the one year preceding the date hereof (or such shorter period as the Company was required by law or regulation to file such material) (the foregoing materials, including the exhibits thereto and documents incorporated by reference therein, together with the Prospectus Supplement, being collectively referred to herein as the “</w:t>
      </w:r>
      <w:r>
        <w:rPr>
          <w:rFonts w:ascii="Times New Roman;Times;Serif" w:hAnsi="Times New Roman;Times;Serif"/>
          <w:b w:val="false"/>
          <w:i w:val="false"/>
          <w:caps w:val="false"/>
          <w:smallCaps w:val="false"/>
          <w:color w:val="000000"/>
          <w:sz w:val="20"/>
          <w:u w:val="single"/>
        </w:rPr>
        <w:t>SEC Reports</w:t>
      </w:r>
      <w:r>
        <w:rPr>
          <w:rFonts w:ascii="Times New Roman;Times;Serif" w:hAnsi="Times New Roman;Times;Serif"/>
          <w:b w:val="false"/>
          <w:i w:val="false"/>
          <w:caps w:val="false"/>
          <w:smallCaps w:val="false"/>
          <w:color w:val="000000"/>
          <w:sz w:val="20"/>
        </w:rPr>
        <w:t>”) on a timely basis or has received a valid extension of such time of filing and has filed any such SEC Reports prior to the expiration of any such extension. Since January 1, 2022, as of their respective dates, the SEC Reports comply in all material respects with the requirements of the Securities Act and the Exchange Act, as applicable, and the SEC Reports, taken as a whole, as of the date hereof, do not contain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complied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color w:val="000000"/>
          <w:sz w:val="20"/>
          <w:u w:val="single"/>
        </w:rPr>
        <w:t>GAAP</w:t>
      </w:r>
      <w:r>
        <w:rPr>
          <w:rFonts w:ascii="Times New Roman;Times;Serif" w:hAnsi="Times New Roman;Times;Serif"/>
          <w:b w:val="false"/>
          <w:i w:val="false"/>
          <w:caps w:val="false"/>
          <w:smallCaps w:val="false"/>
          <w:color w:val="000000"/>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    </w:t>
      </w:r>
      <w:r>
        <w:rPr>
          <w:rFonts w:ascii="Times New Roman;Times;Serif" w:hAnsi="Times New Roman;Times;Serif"/>
          <w:b w:val="false"/>
          <w:i w:val="false"/>
          <w:caps w:val="false"/>
          <w:smallCaps w:val="false"/>
          <w:color w:val="000000"/>
          <w:sz w:val="20"/>
          <w:u w:val="single"/>
        </w:rPr>
        <w:t>Absence of Certain Events; Undisclosed Events, Liabilities or Developments</w:t>
      </w:r>
      <w:r>
        <w:rPr>
          <w:rFonts w:ascii="Times New Roman;Times;Serif" w:hAnsi="Times New Roman;Times;Serif"/>
          <w:b w:val="false"/>
          <w:i w:val="false"/>
          <w:caps w:val="false"/>
          <w:smallCaps w:val="false"/>
          <w:color w:val="000000"/>
          <w:sz w:val="20"/>
        </w:rPr>
        <w:t xml:space="preserve">. Except as set forth on </w:t>
      </w:r>
      <w:r>
        <w:rPr>
          <w:rFonts w:ascii="Times New Roman;Times;Serif" w:hAnsi="Times New Roman;Times;Serif"/>
          <w:b w:val="false"/>
          <w:i w:val="false"/>
          <w:caps w:val="false"/>
          <w:smallCaps w:val="false"/>
          <w:color w:val="000000"/>
          <w:sz w:val="20"/>
          <w:u w:val="single"/>
        </w:rPr>
        <w:t>Schedule 3.1(g)</w:t>
      </w:r>
      <w:r>
        <w:rPr>
          <w:rFonts w:ascii="Times New Roman;Times;Serif" w:hAnsi="Times New Roman;Times;Serif"/>
          <w:b w:val="false"/>
          <w:i w:val="false"/>
          <w:caps w:val="false"/>
          <w:smallCaps w:val="false"/>
          <w:color w:val="000000"/>
          <w:sz w:val="20"/>
        </w:rPr>
        <w:t xml:space="preserve">, since the date of the latest financial statements filed by the Company with the SEC, the Company has not (i) incurred any material liabilities, direct or contingent, other than trade payables and accrued expenses incurred in the ordinary course of business consistent with past practices and liabilities not required to be reflected in the Company’s financial statements pursuant to generally accepted accounting principles or disclosed in filings made with the SEC, (ii) declared or paid any dividends or made any distribution of any kind with respect to its capital stock, (iii) had any change in the capital stock of the Company (other than a change in the number of outstanding shares of Common Stock due to the issuance of shares upon the exercise of outstanding options or warrants, the issuance of Common Stock in accordance with exchanges made under the Company’s Amended &amp; Restated Exchange Agreement dated May 3, 2022, settlement of restricted stock units or conversion of convertible securities), or (iv) other than pursuant to the Concurrent Placement, had any issuance of options, warrants, restricted stock units, convertible securities or other rights to purchase the capital stock of the Company or any of its subsidiaries. Except for (i) the issuance of the Securities contemplated by this Agreement and the issuance of the securities in the Concurrent Placement, or (ii) as set forth on </w:t>
      </w:r>
      <w:r>
        <w:rPr>
          <w:rFonts w:ascii="Times New Roman;Times;Serif" w:hAnsi="Times New Roman;Times;Serif"/>
          <w:b w:val="false"/>
          <w:i w:val="false"/>
          <w:caps w:val="false"/>
          <w:smallCaps w:val="false"/>
          <w:color w:val="000000"/>
          <w:sz w:val="20"/>
          <w:u w:val="single"/>
        </w:rPr>
        <w:t>Schedule 3.1(g)</w:t>
      </w:r>
      <w:r>
        <w:rPr>
          <w:rFonts w:ascii="Times New Roman;Times;Serif" w:hAnsi="Times New Roman;Times;Serif"/>
          <w:b w:val="false"/>
          <w:i w:val="false"/>
          <w:caps w:val="false"/>
          <w:smallCaps w:val="false"/>
          <w:color w:val="000000"/>
          <w:sz w:val="20"/>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    </w:t>
      </w:r>
      <w:r>
        <w:rPr>
          <w:rFonts w:ascii="Times New Roman;Times;Serif" w:hAnsi="Times New Roman;Times;Serif"/>
          <w:b w:val="false"/>
          <w:i w:val="false"/>
          <w:caps w:val="false"/>
          <w:smallCaps w:val="false"/>
          <w:color w:val="000000"/>
          <w:sz w:val="20"/>
          <w:u w:val="single"/>
        </w:rPr>
        <w:t>Absence of Proceedings</w:t>
      </w:r>
      <w:r>
        <w:rPr>
          <w:rFonts w:ascii="Times New Roman;Times;Serif" w:hAnsi="Times New Roman;Times;Serif"/>
          <w:b w:val="false"/>
          <w:i w:val="false"/>
          <w:caps w:val="false"/>
          <w:smallCaps w:val="false"/>
          <w:color w:val="000000"/>
          <w:sz w:val="20"/>
        </w:rPr>
        <w:t xml:space="preserve">. Except as set forth on </w:t>
      </w:r>
      <w:r>
        <w:rPr>
          <w:rFonts w:ascii="Times New Roman;Times;Serif" w:hAnsi="Times New Roman;Times;Serif"/>
          <w:b w:val="false"/>
          <w:i w:val="false"/>
          <w:caps w:val="false"/>
          <w:smallCaps w:val="false"/>
          <w:color w:val="000000"/>
          <w:sz w:val="20"/>
          <w:u w:val="single"/>
        </w:rPr>
        <w:t>Schedule 3.1(h)</w:t>
      </w:r>
      <w:r>
        <w:rPr>
          <w:rFonts w:ascii="Times New Roman;Times;Serif" w:hAnsi="Times New Roman;Times;Serif"/>
          <w:b w:val="false"/>
          <w:i w:val="false"/>
          <w:caps w:val="false"/>
          <w:smallCaps w:val="false"/>
          <w:color w:val="000000"/>
          <w:sz w:val="20"/>
        </w:rPr>
        <w:t xml:space="preserve">, there is not pending or, to the knowledge of the Company, threatened, any action, suit or proceeding (a) to which the Company or any of its subsidiaries is a party or (b) which has as the subject thereof any officer or director of the Company or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any subsidiary, any employee benefit plan sponsored by the Company or any subsidiary or any property or assets owned or leased by the Company or any subsidiary before or by any court or Governmental Authority, or any arbitrator (collectively, an “</w:t>
      </w:r>
      <w:r>
        <w:rPr>
          <w:rFonts w:ascii="Times New Roman;Times;Serif" w:hAnsi="Times New Roman;Times;Serif"/>
          <w:b w:val="false"/>
          <w:i w:val="false"/>
          <w:caps w:val="false"/>
          <w:smallCaps w:val="false"/>
          <w:color w:val="000000"/>
          <w:sz w:val="20"/>
          <w:u w:val="single"/>
        </w:rPr>
        <w:t>Action</w:t>
      </w:r>
      <w:r>
        <w:rPr>
          <w:rFonts w:ascii="Times New Roman;Times;Serif" w:hAnsi="Times New Roman;Times;Serif"/>
          <w:b w:val="false"/>
          <w:i w:val="false"/>
          <w:caps w:val="false"/>
          <w:smallCaps w:val="false"/>
          <w:color w:val="000000"/>
          <w:sz w:val="20"/>
        </w:rPr>
        <w:t>”), which, individually or in the aggregate, would reasonably be expected to result in any Material Adverse Effect, or would materially and adversely affect the ability of the Company to perform its obligations under the Transaction Documents. There are no current or, to the knowledge of the Company, pending, legal, governmental or regulatory actions, suits or proceedings (x) to which the Company or any of its subsidiaries is subject or (y) which has as the subject thereof any officer or director of the Company or any subsidiary, any employee plan sponsored by the Company or any subsidiary or any property or assets owned or leased by the Company or any subsidiary, that are required to be described in the Registration Statement and the Prospectus Supplement by the Securities Act or by the Rules and Regulations and that have not been so described in all material respects.</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w:t>
      </w:r>
      <w:r>
        <w:rPr>
          <w:rFonts w:ascii="Times New Roman;Times;Serif" w:hAnsi="Times New Roman;Times;Serif"/>
          <w:b w:val="false"/>
          <w:i w:val="false"/>
          <w:caps w:val="false"/>
          <w:smallCaps w:val="false"/>
          <w:color w:val="000000"/>
          <w:sz w:val="20"/>
          <w:u w:val="single"/>
        </w:rPr>
        <w:t>Labor Relations</w:t>
      </w:r>
      <w:r>
        <w:rPr>
          <w:rFonts w:ascii="Times New Roman;Times;Serif" w:hAnsi="Times New Roman;Times;Serif"/>
          <w:b w:val="false"/>
          <w:i w:val="false"/>
          <w:caps w:val="false"/>
          <w:smallCaps w:val="false"/>
          <w:color w:val="000000"/>
          <w:sz w:val="20"/>
        </w:rPr>
        <w:t>. No material labor dispute with the employees of the Company or any of its subsidiaries exists or, to the Company’s knowledge, is threatened or imminent, and the Company is not aware of any existing or imminent labor disturbance by the employees of any of its or its subsidiaries’ principal suppliers, contractors or customers, that would reasonably be expected to have a Material Adverse Effect.</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(j)    </w:t>
      </w:r>
      <w:r>
        <w:rPr>
          <w:rFonts w:ascii="Times New Roman;Times;Serif" w:hAnsi="Times New Roman;Times;Serif"/>
          <w:b w:val="false"/>
          <w:i w:val="false"/>
          <w:caps w:val="false"/>
          <w:smallCaps w:val="false"/>
          <w:color w:val="000000"/>
          <w:sz w:val="20"/>
          <w:u w:val="single"/>
        </w:rPr>
        <w:t>Regulatory Permits</w:t>
      </w:r>
      <w:r>
        <w:rPr>
          <w:rFonts w:ascii="Times New Roman;Times;Serif" w:hAnsi="Times New Roman;Times;Serif"/>
          <w:b w:val="false"/>
          <w:i w:val="false"/>
          <w:caps w:val="false"/>
          <w:smallCaps w:val="false"/>
          <w:color w:val="000000"/>
          <w:sz w:val="20"/>
        </w:rPr>
        <w:t>. The Company and its subsidiaries possess or own all licenses, certificates, permits and other authorizations (collectively, “Permits”) issued by, and have made all declarations and filings with, the applicable federal, state, local or foreign governmental or regulatory authorities that are necessary for the current ownership or lease of its properties or the conduct of its businesses as described in the Registration Statement, except where the failure to possess such Permits would not reasonably be expected to result in a Material Adverse Effect; the Company and its subsidiaries are not in violation of, or in default under, any such Permit, except where such violation would not reasonably be expected to result in a Material Adverse Effect; and the Company and its subsidiaries have not received written notice of any revocation or modification of any such Permit and do not have any reason to believe that any such Permit will not be renewed in the ordinary course, except in each case as would not reasonably be expected to result in a Material Adverse Effect.</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(k)    </w:t>
      </w:r>
      <w:r>
        <w:rPr>
          <w:rFonts w:ascii="Times New Roman;Times;Serif" w:hAnsi="Times New Roman;Times;Serif"/>
          <w:b w:val="false"/>
          <w:i w:val="false"/>
          <w:caps w:val="false"/>
          <w:smallCaps w:val="false"/>
          <w:color w:val="000000"/>
          <w:sz w:val="20"/>
          <w:u w:val="single"/>
        </w:rPr>
        <w:t>Compliance with Environmental Laws</w:t>
      </w:r>
      <w:r>
        <w:rPr>
          <w:rFonts w:ascii="Times New Roman;Times;Serif" w:hAnsi="Times New Roman;Times;Serif"/>
          <w:b w:val="false"/>
          <w:i w:val="false"/>
          <w:caps w:val="false"/>
          <w:smallCaps w:val="false"/>
          <w:color w:val="000000"/>
          <w:sz w:val="20"/>
        </w:rPr>
        <w:t>. Except as disclosed in the Prospectus Supplement or that would not result in a Material Adverse Effect, neither the Company nor any of its subsidiaries is (i) in violation of any statute, any rule, regulation, decision or order of any Governmental Authority or any court, domestic or foreign, relating to the use, disposal or release of hazardous or toxic substances or relating to the protection or restoration of the environment or human exposure to hazardous or toxic substances (collectively, “</w:t>
      </w:r>
      <w:r>
        <w:rPr>
          <w:rFonts w:ascii="Times New Roman;Times;Serif" w:hAnsi="Times New Roman;Times;Serif"/>
          <w:b w:val="false"/>
          <w:i w:val="false"/>
          <w:caps w:val="false"/>
          <w:smallCaps w:val="false"/>
          <w:color w:val="000000"/>
          <w:sz w:val="20"/>
          <w:u w:val="single"/>
        </w:rPr>
        <w:t>Environmental Laws</w:t>
      </w:r>
      <w:r>
        <w:rPr>
          <w:rFonts w:ascii="Times New Roman;Times;Serif" w:hAnsi="Times New Roman;Times;Serif"/>
          <w:b w:val="false"/>
          <w:i w:val="false"/>
          <w:caps w:val="false"/>
          <w:smallCaps w:val="false"/>
          <w:color w:val="000000"/>
          <w:sz w:val="20"/>
        </w:rPr>
        <w:t>”), (ii) owns or operates any real property contaminated with any substance that is subject to any Environmental Laws, (iii) is liable for any off-site disposal or contamination pursuant to any Environmental Laws, or (iv) is subject to any claim relating to any Environmental Laws.</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    </w:t>
      </w:r>
      <w:r>
        <w:rPr>
          <w:rFonts w:ascii="Times New Roman;Times;Serif" w:hAnsi="Times New Roman;Times;Serif"/>
          <w:b w:val="false"/>
          <w:i w:val="false"/>
          <w:caps w:val="false"/>
          <w:smallCaps w:val="false"/>
          <w:color w:val="000000"/>
          <w:sz w:val="20"/>
          <w:u w:val="single"/>
        </w:rPr>
        <w:t>Ownership of Assets</w:t>
      </w:r>
      <w:r>
        <w:rPr>
          <w:rFonts w:ascii="Times New Roman;Times;Serif" w:hAnsi="Times New Roman;Times;Serif"/>
          <w:b w:val="false"/>
          <w:i w:val="false"/>
          <w:caps w:val="false"/>
          <w:smallCaps w:val="false"/>
          <w:color w:val="000000"/>
          <w:sz w:val="20"/>
        </w:rPr>
        <w:t>. The Company and its subsidiaries have good and marketable title to all property (whether real or personal) described in the Registration Statement and the Prospectus Supplement as being owned by them which is material to the Company and its subsidiaries taken as a whole, in each case free and clear of all liens, claims, security interests, other encumbrances or defects except such as are described in the Registration Statement and the Prospectus Supplement or as would not, individually or in the aggregate, be reasonably expected to result in a Material Adverse Effect. The property held under lease by the Company and its subsidiaries is held by them under valid, subsisting and enforceable leases with only such exceptions with respect to any particular lease as do not interfere in any material respect with the conduct of the business of the Company or its subsidiaries.</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    </w:t>
      </w:r>
      <w:r>
        <w:rPr>
          <w:rFonts w:ascii="Times New Roman;Times;Serif" w:hAnsi="Times New Roman;Times;Serif"/>
          <w:b w:val="false"/>
          <w:i w:val="false"/>
          <w:caps w:val="false"/>
          <w:smallCaps w:val="false"/>
          <w:color w:val="000000"/>
          <w:sz w:val="20"/>
          <w:u w:val="single"/>
        </w:rPr>
        <w:t>Intellectual Property</w:t>
      </w:r>
      <w:r>
        <w:rPr>
          <w:rFonts w:ascii="Times New Roman;Times;Serif" w:hAnsi="Times New Roman;Times;Serif"/>
          <w:b w:val="false"/>
          <w:i w:val="false"/>
          <w:caps w:val="false"/>
          <w:smallCaps w:val="false"/>
          <w:color w:val="000000"/>
          <w:sz w:val="20"/>
        </w:rPr>
        <w:t xml:space="preserve">. The Company and each of its subsidiaries owns, possesses, or can acquire on reasonable terms, all Intellectual Property (as defined below) necessary for the conduct of the Company’s and it subsidiaries’ business as now conducted or as described in the Registration Statement and the Prospectus Supplement to be conducted, except as such failure to own, possess, or acquire such rights would not reasonably be expected to result in a Material Adverse Effect. Furthermore, except as described in the Registration Statement and the Prospectus Supplement, (A) to the knowledge of the Company, there is no infringement, misappropriation or violation by third parties of any such Intellectual Property, except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as such infringement, misappropriation or violation would not result in a Material Adverse Effect; (B) there is no pending or, to the knowledge of the Company, threatened, action, suit, proceeding or claim by others challenging the Company’s or any of its subsidiaries’ rights in or to any such Intellectual Property, and the Company is unaware of any material objective facts which would form a reasonable basis for any such claim, except as such action, suit, proceeding or claim would not reasonably be expected to result in a Material Adverse Effect; (C) the Intellectual Property owned by the Company and its subsidiaries, and to the knowledge of the Company, the Intellectual Property licensed to the Company and its subsidiaries, has not been adjudged invalid or unenforceable, in whole or in part, except as such adjudgment would not result in a Material Adverse Effect, and there is no pending or, to the knowledge of the Company, threatened action, suit, proceeding or claim by others challenging the validity or scope of any such Intellectual Property, except as such action, suit, proceeding or claim would not reasonably be expected to result in a Material Adverse Effect; (D) there is no pending or, to the knowledge of the Company, threatened action, suit, proceeding or claim by others that the Company or any of its subsidiaries infringes, misappropriates or otherwise violates any Intellectual Property or other proprietary rights of others, and neither the Company or any of its subsidiaries has received any written notice of such claim, except as such action, suit, proceeding or claim would not reasonably be expected to result in a Material Adverse Effect; and (E) to the Company’s knowledge, no employee of the Company or any of its subsidiaries is in or has ever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or actions undertaken by the employee while employed with the Company or any of its subsidiaries, except as such violation would not result in a Material Adverse Effect. “</w:t>
      </w:r>
      <w:r>
        <w:rPr>
          <w:rFonts w:ascii="Times New Roman;Times;Serif" w:hAnsi="Times New Roman;Times;Serif"/>
          <w:b w:val="false"/>
          <w:i w:val="false"/>
          <w:caps w:val="false"/>
          <w:smallCaps w:val="false"/>
          <w:color w:val="000000"/>
          <w:sz w:val="20"/>
          <w:u w:val="single"/>
        </w:rPr>
        <w:t>Intellectual Property</w:t>
      </w:r>
      <w:r>
        <w:rPr>
          <w:rFonts w:ascii="Times New Roman;Times;Serif" w:hAnsi="Times New Roman;Times;Serif"/>
          <w:b w:val="false"/>
          <w:i w:val="false"/>
          <w:caps w:val="false"/>
          <w:smallCaps w:val="false"/>
          <w:color w:val="000000"/>
          <w:sz w:val="20"/>
        </w:rPr>
        <w:t>” shall mean all patents, patent applications, trademarks, trademark registrations, service marks, service mark registrations, trade names, copyrights, copyright registrations, licenses, inventions, trade secrets, Internet domain names, Internet domain name registrations, technology, registrations, trade secret rights, know-how and other intellectual property.</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    </w:t>
      </w:r>
      <w:r>
        <w:rPr>
          <w:rFonts w:ascii="Times New Roman;Times;Serif" w:hAnsi="Times New Roman;Times;Serif"/>
          <w:b w:val="false"/>
          <w:i w:val="false"/>
          <w:caps w:val="false"/>
          <w:smallCaps w:val="false"/>
          <w:color w:val="000000"/>
          <w:sz w:val="20"/>
          <w:u w:val="single"/>
        </w:rPr>
        <w:t>Insurance</w:t>
      </w:r>
      <w:r>
        <w:rPr>
          <w:rFonts w:ascii="Times New Roman;Times;Serif" w:hAnsi="Times New Roman;Times;Serif"/>
          <w:b w:val="false"/>
          <w:i w:val="false"/>
          <w:caps w:val="false"/>
          <w:smallCaps w:val="false"/>
          <w:color w:val="000000"/>
          <w:sz w:val="20"/>
        </w:rPr>
        <w:t>. Except as would not have a Material Adverse Effect, the Company and each of its subsidiaries carries, or is covered by, insurance from insurers of recognized financial responsibility in such amounts and covering such risks as is customary for companies engaged in similar businesses in similar industries; all policies of insurance and any fidelity or surety bonds insuring the Company or any of its subsidiaries or its business, assets, employees, officers and directors are in full force and effect, except as would not have a Material Adverse Effect; the Company and its subsidiaries are in compliance with the terms of such policies and instruments in all material respects; and neither the Company nor any of its subsidiaries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    </w:t>
      </w:r>
      <w:r>
        <w:rPr>
          <w:rFonts w:ascii="Times New Roman;Times;Serif" w:hAnsi="Times New Roman;Times;Serif"/>
          <w:b w:val="false"/>
          <w:i w:val="false"/>
          <w:caps w:val="false"/>
          <w:smallCaps w:val="false"/>
          <w:color w:val="000000"/>
          <w:sz w:val="20"/>
          <w:u w:val="single"/>
        </w:rPr>
        <w:t>Internal Accounting Controls</w:t>
      </w:r>
      <w:r>
        <w:rPr>
          <w:rFonts w:ascii="Times New Roman;Times;Serif" w:hAnsi="Times New Roman;Times;Serif"/>
          <w:b w:val="false"/>
          <w:i w:val="false"/>
          <w:caps w:val="false"/>
          <w:smallCaps w:val="false"/>
          <w:color w:val="000000"/>
          <w:sz w:val="20"/>
        </w:rPr>
        <w:t>. The Company and its subsidiaries maintain a system of internal accounting controls in compliance with the Sarbanes-Oxley Act of 2022. Since the end of the latest audited fiscal year, except as disclosed in the SEC Reports, there has been no change in the Company’s internal control over financial reporting (whether or not remediated) that has materially affected, or is reasonably likely to materially affect, the Company’s internal control over financial reporting. The Company’s board of directors has, subject to the exceptions, cure periods and the phase in periods specified in the applicable stock exchange rules (“</w:t>
      </w:r>
      <w:r>
        <w:rPr>
          <w:rFonts w:ascii="Times New Roman;Times;Serif" w:hAnsi="Times New Roman;Times;Serif"/>
          <w:b w:val="false"/>
          <w:i w:val="false"/>
          <w:caps w:val="false"/>
          <w:smallCaps w:val="false"/>
          <w:color w:val="000000"/>
          <w:sz w:val="20"/>
          <w:u w:val="single"/>
        </w:rPr>
        <w:t>Exchange Rules</w:t>
      </w:r>
      <w:r>
        <w:rPr>
          <w:rFonts w:ascii="Times New Roman;Times;Serif" w:hAnsi="Times New Roman;Times;Serif"/>
          <w:b w:val="false"/>
          <w:i w:val="false"/>
          <w:caps w:val="false"/>
          <w:smallCaps w:val="false"/>
          <w:color w:val="000000"/>
          <w:sz w:val="20"/>
        </w:rPr>
        <w:t>”), validly appointed an audit committee to oversee internal accounting controls whose composition satisfies the applicable requirements of the Exchange Rules and the Company’s board of directors and/or the audit committee has adopted a charter that satisfies the requirements of the Exchange Rules.</w:t>
      </w:r>
    </w:p>
    <w:p>
      <w:pPr>
        <w:pStyle w:val="TextBody"/>
        <w:bidi w:val="0"/>
        <w:spacing w:lineRule="auto" w:line="268" w:before="20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    </w:t>
      </w:r>
      <w:r>
        <w:rPr>
          <w:rFonts w:ascii="Times New Roman;Times;Serif" w:hAnsi="Times New Roman;Times;Serif"/>
          <w:b w:val="false"/>
          <w:i w:val="false"/>
          <w:caps w:val="false"/>
          <w:smallCaps w:val="false"/>
          <w:color w:val="000000"/>
          <w:sz w:val="20"/>
          <w:u w:val="single"/>
        </w:rPr>
        <w:t>Certain Fees</w:t>
      </w:r>
      <w:r>
        <w:rPr>
          <w:rFonts w:ascii="Times New Roman;Times;Serif" w:hAnsi="Times New Roman;Times;Serif"/>
          <w:b w:val="false"/>
          <w:i w:val="false"/>
          <w:caps w:val="false"/>
          <w:smallCaps w:val="false"/>
          <w:color w:val="000000"/>
          <w:sz w:val="20"/>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(for the avoidance of doubt, except for such placement agent fees as may be payable in connection with the Concurrent Placement). Other than for Persons engaged by the Purchaser, if any, the Purchaser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(q)    </w:t>
      </w:r>
      <w:r>
        <w:rPr>
          <w:rFonts w:ascii="Times New Roman;Times;Serif" w:hAnsi="Times New Roman;Times;Serif"/>
          <w:b w:val="false"/>
          <w:i w:val="false"/>
          <w:caps w:val="false"/>
          <w:smallCaps w:val="false"/>
          <w:color w:val="000000"/>
          <w:sz w:val="20"/>
          <w:u w:val="single"/>
        </w:rPr>
        <w:t>Investment Company</w:t>
      </w:r>
      <w:r>
        <w:rPr>
          <w:rFonts w:ascii="Times New Roman;Times;Serif" w:hAnsi="Times New Roman;Times;Serif"/>
          <w:b w:val="false"/>
          <w:i w:val="false"/>
          <w:caps w:val="false"/>
          <w:smallCaps w:val="false"/>
          <w:color w:val="000000"/>
          <w:sz w:val="20"/>
        </w:rPr>
        <w:t xml:space="preserve">. The Company is not, and immediately after receipt of payment for the Securities, will not be, required to register as an “investment company” within the meaning of the Investment Company Act of 1940, as amended. </w:t>
      </w:r>
    </w:p>
    <w:p>
      <w:pPr>
        <w:pStyle w:val="TextBody"/>
        <w:bidi w:val="0"/>
        <w:spacing w:lineRule="auto" w:line="268" w:before="20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    </w:t>
      </w:r>
      <w:r>
        <w:rPr>
          <w:rFonts w:ascii="Times New Roman;Times;Serif" w:hAnsi="Times New Roman;Times;Serif"/>
          <w:b w:val="false"/>
          <w:i w:val="false"/>
          <w:caps w:val="false"/>
          <w:smallCaps w:val="false"/>
          <w:color w:val="000000"/>
          <w:sz w:val="20"/>
          <w:u w:val="single"/>
        </w:rPr>
        <w:t>Listing and Maintenance Requirements</w:t>
      </w:r>
      <w:r>
        <w:rPr>
          <w:rFonts w:ascii="Times New Roman;Times;Serif" w:hAnsi="Times New Roman;Times;Serif"/>
          <w:b w:val="false"/>
          <w:i w:val="false"/>
          <w:caps w:val="false"/>
          <w:smallCaps w:val="false"/>
          <w:color w:val="000000"/>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    </w:t>
      </w:r>
      <w:r>
        <w:rPr>
          <w:rFonts w:ascii="Times New Roman;Times;Serif" w:hAnsi="Times New Roman;Times;Serif"/>
          <w:b w:val="false"/>
          <w:i w:val="false"/>
          <w:caps w:val="false"/>
          <w:smallCaps w:val="false"/>
          <w:color w:val="000000"/>
          <w:sz w:val="20"/>
          <w:u w:val="single"/>
        </w:rPr>
        <w:t>Tax Status</w:t>
      </w:r>
      <w:r>
        <w:rPr>
          <w:rFonts w:ascii="Times New Roman;Times;Serif" w:hAnsi="Times New Roman;Times;Serif"/>
          <w:b w:val="false"/>
          <w:i w:val="false"/>
          <w:caps w:val="false"/>
          <w:smallCaps w:val="false"/>
          <w:color w:val="000000"/>
          <w:sz w:val="20"/>
        </w:rPr>
        <w:t>. The Company and its subsidiaries (A) have timely filed all federal, state, local and foreign income and franchise tax returns required to be filed and (B) are not in default in the payment of any taxes which were payable pursuant to said returns or any assessments with respect thereto, other than any which the Company or any of its subsidiaries is contesting in good faith; except those, in each of the cases described in clauses (A) and (B) of this paragraph (x), that would not, singularly or in the aggregate, reasonably be expected to have a Material Adverse Effect. There is no pending material dispute with any taxing authority relating to any of such returns, and the Company has no knowledge of any proposed material liability for any tax to be imposed upon the properties or assets of the Company for which there is not an adequate reserve reflected in the Company’s financial statements included in the Registration Statement and the Prospectus Supplement.</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    </w:t>
      </w:r>
      <w:r>
        <w:rPr>
          <w:rFonts w:ascii="Times New Roman;Times;Serif" w:hAnsi="Times New Roman;Times;Serif"/>
          <w:b w:val="false"/>
          <w:i w:val="false"/>
          <w:caps w:val="false"/>
          <w:smallCaps w:val="false"/>
          <w:color w:val="000000"/>
          <w:sz w:val="20"/>
          <w:u w:val="single"/>
        </w:rPr>
        <w:t>Acknowledgment Regarding Purchaser’s Purchase of Securities</w:t>
      </w:r>
      <w:r>
        <w:rPr>
          <w:rFonts w:ascii="Times New Roman;Times;Serif" w:hAnsi="Times New Roman;Times;Serif"/>
          <w:b w:val="false"/>
          <w:i w:val="false"/>
          <w:caps w:val="false"/>
          <w:smallCaps w:val="false"/>
          <w:color w:val="000000"/>
          <w:sz w:val="20"/>
        </w:rPr>
        <w:t>. The Company acknowledges and agrees that the Purchaser is acting solely in the capacity of an arm’s length purchaser with respect to the Transaction Documents and the transactions contemplated thereby. The Company further acknowledges that the Purchaser is not acting as a financial advisor or fiduciary of the Company (or in any similar capacity) with respect to the Transaction Documents and the transactions contemplated thereby and any advice given by the Purchaser or any of its respective representatives or agents in connection with the Transaction Documents and the transactions contemplated thereby is merely incidental to the Purchaser’s purchase of the Securities. The Company further represents to the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(u)    </w:t>
      </w:r>
      <w:r>
        <w:rPr>
          <w:rFonts w:ascii="Times New Roman;Times;Serif" w:hAnsi="Times New Roman;Times;Serif"/>
          <w:b w:val="false"/>
          <w:i w:val="false"/>
          <w:caps w:val="false"/>
          <w:smallCaps w:val="false"/>
          <w:color w:val="000000"/>
          <w:sz w:val="20"/>
          <w:u w:val="single"/>
        </w:rPr>
        <w:t>Anti-Bribery Laws</w:t>
      </w:r>
      <w:r>
        <w:rPr>
          <w:rFonts w:ascii="Times New Roman;Times;Serif" w:hAnsi="Times New Roman;Times;Serif"/>
          <w:b w:val="false"/>
          <w:i w:val="false"/>
          <w:caps w:val="false"/>
          <w:smallCaps w:val="false"/>
          <w:color w:val="000000"/>
          <w:sz w:val="20"/>
        </w:rPr>
        <w:t>. Each of the Company and its subsidiaries and, to the Company’s knowledge, its affiliates and any of their respective officers, directors, or employees, each in their respective roles with the Company, has not violated, and the Company has instituted and maintains policies and procedures designed to ensure continued compliance in all material respects with, each of the following laws: applicable anti-bribery laws, including but not limited to any applicable law, rule, or regulation promulgated to implement the OECD Convention on Combating Bribery of Foreign Public Officials in International Business Transactions, signed December 17, 1997, including the U.S. Foreign Corrupt Practices Act of 1977 (the “</w:t>
      </w:r>
      <w:r>
        <w:rPr>
          <w:rFonts w:ascii="Times New Roman;Times;Serif" w:hAnsi="Times New Roman;Times;Serif"/>
          <w:b w:val="false"/>
          <w:i w:val="false"/>
          <w:caps w:val="false"/>
          <w:smallCaps w:val="false"/>
          <w:color w:val="000000"/>
          <w:sz w:val="20"/>
          <w:u w:val="single"/>
        </w:rPr>
        <w:t>FCPA</w:t>
      </w:r>
      <w:r>
        <w:rPr>
          <w:rFonts w:ascii="Times New Roman;Times;Serif" w:hAnsi="Times New Roman;Times;Serif"/>
          <w:b w:val="false"/>
          <w:i w:val="false"/>
          <w:caps w:val="false"/>
          <w:smallCaps w:val="false"/>
          <w:color w:val="000000"/>
          <w:sz w:val="20"/>
        </w:rPr>
        <w:t>”), as amended, the U.K. Bribery Act 2010 (to the extent applicable), or any other applicable law, rule or regulation of similar purposes and scope.</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(v)    </w:t>
      </w:r>
      <w:r>
        <w:rPr>
          <w:rFonts w:ascii="Times New Roman;Times;Serif" w:hAnsi="Times New Roman;Times;Serif"/>
          <w:b w:val="false"/>
          <w:i w:val="false"/>
          <w:caps w:val="false"/>
          <w:smallCaps w:val="false"/>
          <w:color w:val="000000"/>
          <w:sz w:val="20"/>
          <w:u w:val="single"/>
        </w:rPr>
        <w:t>Acknowledgment Regarding Purchaser’s Trading Activity</w:t>
      </w:r>
      <w:r>
        <w:rPr>
          <w:rFonts w:ascii="Times New Roman;Times;Serif" w:hAnsi="Times New Roman;Times;Serif"/>
          <w:b w:val="false"/>
          <w:i w:val="false"/>
          <w:caps w:val="false"/>
          <w:smallCaps w:val="false"/>
          <w:color w:val="000000"/>
          <w:sz w:val="20"/>
        </w:rPr>
        <w:t xml:space="preserve">. Anything in this Agreement or elsewhere herein to the contrary notwithstanding (except for Sections 3.2(f) and 4.10 hereof), it is understood and acknowledged by the Company that: (i) the Purchaser has not been asked by the Company to agree, nor has the Purchaser agreed, to desist from purchasing or selling, long and/or short, securities of the Company, or “derivative” securities based on securities issued by the Company or to hold the Securities for any specified term, (ii) past or future open market or other transactions by the Purchaser, specifically including, without limitation, Short Sales or “derivative” transactions, before or after the closing of this or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future private placement transactions, may negatively impact the market price of the Company’s publicly-traded securities, (iii) the Purchaser, and counter-parties in “derivative” transactions, if any, to which the Purchaser is a party, directly or indirectly, presently may have a “short” position in the Common Stock, and (iv) the Purchaser shall not be deemed to have any affiliation with or control over any arm’s length counter-party in any “derivative” transaction. The Company further understands and acknowledges that (y) the Purchaser may engage in hedging activities at various times during the period that the Securities are outstanding, and (z) such hedging activities (if any) would reduce the value of the existing stockholders’ equity interests in the Company at and after the time that the hedging activities are being conducted. The Company acknowledges that such aforementioned hedging activities, if otherwise conducted in compliance with Sections 3.2(f) and 4.10 hereof, do not constitute a breach of any of the Transaction Documents.</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    </w:t>
      </w:r>
      <w:r>
        <w:rPr>
          <w:rFonts w:ascii="Times New Roman;Times;Serif" w:hAnsi="Times New Roman;Times;Serif"/>
          <w:b w:val="false"/>
          <w:i w:val="false"/>
          <w:caps w:val="false"/>
          <w:smallCaps w:val="false"/>
          <w:color w:val="000000"/>
          <w:sz w:val="20"/>
          <w:u w:val="single"/>
        </w:rPr>
        <w:t>Regulation M Compliance</w:t>
      </w:r>
      <w:r>
        <w:rPr>
          <w:rFonts w:ascii="Times New Roman;Times;Serif" w:hAnsi="Times New Roman;Times;Serif"/>
          <w:b w:val="false"/>
          <w:i w:val="false"/>
          <w:caps w:val="false"/>
          <w:smallCaps w:val="false"/>
          <w:color w:val="000000"/>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Concurrent Placement.</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(x)    </w:t>
      </w:r>
      <w:r>
        <w:rPr>
          <w:rFonts w:ascii="Times New Roman;Times;Serif" w:hAnsi="Times New Roman;Times;Serif"/>
          <w:b w:val="false"/>
          <w:i w:val="false"/>
          <w:caps w:val="false"/>
          <w:smallCaps w:val="false"/>
          <w:color w:val="000000"/>
          <w:sz w:val="20"/>
          <w:u w:val="single"/>
        </w:rPr>
        <w:t>Cybersecurity</w:t>
      </w:r>
      <w:r>
        <w:rPr>
          <w:rFonts w:ascii="Times New Roman;Times;Serif" w:hAnsi="Times New Roman;Times;Serif"/>
          <w:b w:val="false"/>
          <w:i w:val="false"/>
          <w:caps w:val="false"/>
          <w:smallCaps w:val="false"/>
          <w:color w:val="000000"/>
          <w:sz w:val="20"/>
        </w:rPr>
        <w:t>. Except as would not, individually or in the aggregate, have a Material Adverse Effect, (i)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color w:val="000000"/>
          <w:sz w:val="20"/>
          <w:u w:val="single"/>
        </w:rPr>
        <w:t>IT Systems and Data</w:t>
      </w:r>
      <w:r>
        <w:rPr>
          <w:rFonts w:ascii="Times New Roman;Times;Serif" w:hAnsi="Times New Roman;Times;Serif"/>
          <w:b w:val="false"/>
          <w:i w:val="false"/>
          <w:caps w:val="false"/>
          <w:smallCaps w:val="false"/>
          <w:color w:val="000000"/>
          <w:sz w:val="20"/>
        </w:rPr>
        <w:t>”) and to the protection of such IT Systems and Data from unauthorized use, access, misappropriation or modification, (ii) the Company and the Subsidiaries have implemented and maintained commercially reasonable safeguards to maintain and protect its material confidential information and the integrity, continuous operation, redundancy and security of all IT Systems and Data, and (iii) the Company and the Subsidiaries have implemented backup and disaster recovery technology consistent with commercially reasonable industry standards and practices.</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(y)    </w:t>
      </w:r>
      <w:r>
        <w:rPr>
          <w:rFonts w:ascii="Times New Roman;Times;Serif" w:hAnsi="Times New Roman;Times;Serif"/>
          <w:b w:val="false"/>
          <w:i w:val="false"/>
          <w:caps w:val="false"/>
          <w:smallCaps w:val="false"/>
          <w:color w:val="000000"/>
          <w:sz w:val="20"/>
          <w:u w:val="single"/>
        </w:rPr>
        <w:t>Stock Option Plans</w:t>
      </w:r>
      <w:r>
        <w:rPr>
          <w:rFonts w:ascii="Times New Roman;Times;Serif" w:hAnsi="Times New Roman;Times;Serif"/>
          <w:b w:val="false"/>
          <w:i w:val="false"/>
          <w:caps w:val="false"/>
          <w:smallCaps w:val="false"/>
          <w:color w:val="000000"/>
          <w:sz w:val="20"/>
        </w:rPr>
        <w:t xml:space="preserve">. Except as described in the Registration Statement and the Prospectus Supplement, since September 30, 2023, there are no options, warrants, restricted stock units, agreements, contracts or other rights in existence to purchase or acquire from the Company or any subsidiary of the Company any shares of the capital stock of the Company or any subsidiary of the Company. </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(z)    </w:t>
      </w:r>
      <w:r>
        <w:rPr>
          <w:rFonts w:ascii="Times New Roman;Times;Serif" w:hAnsi="Times New Roman;Times;Serif"/>
          <w:b w:val="false"/>
          <w:i w:val="false"/>
          <w:caps w:val="false"/>
          <w:smallCaps w:val="false"/>
          <w:color w:val="000000"/>
          <w:sz w:val="20"/>
          <w:u w:val="single"/>
        </w:rPr>
        <w:t>Office of Foreign Assets Control</w:t>
      </w:r>
      <w:r>
        <w:rPr>
          <w:rFonts w:ascii="Times New Roman;Times;Serif" w:hAnsi="Times New Roman;Times;Serif"/>
          <w:b w:val="false"/>
          <w:i w:val="false"/>
          <w:caps w:val="false"/>
          <w:smallCaps w:val="false"/>
          <w:color w:val="000000"/>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color w:val="000000"/>
          <w:sz w:val="20"/>
          <w:u w:val="single"/>
        </w:rPr>
        <w:t>OFAC</w:t>
      </w:r>
      <w:r>
        <w:rPr>
          <w:rFonts w:ascii="Times New Roman;Times;Serif" w:hAnsi="Times New Roman;Times;Serif"/>
          <w:b w:val="false"/>
          <w:i w:val="false"/>
          <w:caps w:val="false"/>
          <w:smallCaps w:val="false"/>
          <w:color w:val="000000"/>
          <w:sz w:val="20"/>
        </w:rPr>
        <w:t>”).</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(aa)    </w:t>
      </w:r>
      <w:r>
        <w:rPr>
          <w:rFonts w:ascii="Times New Roman;Times;Serif" w:hAnsi="Times New Roman;Times;Serif"/>
          <w:b w:val="false"/>
          <w:i w:val="false"/>
          <w:caps w:val="false"/>
          <w:smallCaps w:val="false"/>
          <w:color w:val="000000"/>
          <w:sz w:val="20"/>
          <w:u w:val="single"/>
        </w:rPr>
        <w:t>Anti-Money Laundering Laws</w:t>
      </w:r>
      <w:r>
        <w:rPr>
          <w:rFonts w:ascii="Times New Roman;Times;Serif" w:hAnsi="Times New Roman;Times;Serif"/>
          <w:b w:val="false"/>
          <w:i w:val="false"/>
          <w:caps w:val="false"/>
          <w:smallCaps w:val="false"/>
          <w:color w:val="000000"/>
          <w:sz w:val="20"/>
        </w:rPr>
        <w:t>. The operations of the Company and its subsidiaries are and have been conducted in compliance with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subsidiaries conduct business.</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(bb)    </w:t>
      </w:r>
      <w:r>
        <w:rPr>
          <w:rFonts w:ascii="Times New Roman;Times;Serif" w:hAnsi="Times New Roman;Times;Serif"/>
          <w:b w:val="false"/>
          <w:i w:val="false"/>
          <w:caps w:val="false"/>
          <w:smallCaps w:val="false"/>
          <w:color w:val="000000"/>
          <w:sz w:val="20"/>
          <w:u w:val="single"/>
        </w:rPr>
        <w:t>Application of Takeover Protections</w:t>
      </w:r>
      <w:r>
        <w:rPr>
          <w:rFonts w:ascii="Times New Roman;Times;Serif" w:hAnsi="Times New Roman;Times;Serif"/>
          <w:b w:val="false"/>
          <w:i w:val="false"/>
          <w:caps w:val="false"/>
          <w:smallCaps w:val="false"/>
          <w:color w:val="000000"/>
          <w:sz w:val="20"/>
        </w:rPr>
        <w:t xml:space="preserve">. The Company and the Board of Directors have taken all necessary action, if any, in order to render inapplicable any control share acquisition, business combination, poison pill (including any distribution under a rights agreement) or other similar anti 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0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without limitation as a result of the Company’s issuance of the Securities and the Purchaser’s ownership of the Securities.</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3.2    </w:t>
      </w:r>
      <w:r>
        <w:rPr>
          <w:rFonts w:ascii="Times New Roman;Times;Serif" w:hAnsi="Times New Roman;Times;Serif"/>
          <w:b w:val="false"/>
          <w:i w:val="false"/>
          <w:caps w:val="false"/>
          <w:smallCaps w:val="false"/>
          <w:color w:val="000000"/>
          <w:sz w:val="20"/>
          <w:u w:val="single"/>
        </w:rPr>
        <w:t>Representations and Warranties of the Purchaser</w:t>
      </w:r>
      <w:r>
        <w:rPr>
          <w:rFonts w:ascii="Times New Roman;Times;Serif" w:hAnsi="Times New Roman;Times;Serif"/>
          <w:b w:val="false"/>
          <w:i w:val="false"/>
          <w:caps w:val="false"/>
          <w:smallCaps w:val="false"/>
          <w:color w:val="000000"/>
          <w:sz w:val="20"/>
        </w:rPr>
        <w:t>. The Purchaser hereby represents and warrants as of the date hereof and as of the applicable Closing Date to the Company as follows (unless as of a specific date therein, in which case they shall be accurate as of such date):</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w:t>
      </w:r>
      <w:r>
        <w:rPr>
          <w:rFonts w:ascii="Times New Roman;Times;Serif" w:hAnsi="Times New Roman;Times;Serif"/>
          <w:b w:val="false"/>
          <w:i w:val="false"/>
          <w:caps w:val="false"/>
          <w:smallCaps w:val="false"/>
          <w:color w:val="000000"/>
          <w:sz w:val="20"/>
          <w:u w:val="single"/>
        </w:rPr>
        <w:t>Organization; Authority</w:t>
      </w:r>
      <w:r>
        <w:rPr>
          <w:rFonts w:ascii="Times New Roman;Times;Serif" w:hAnsi="Times New Roman;Times;Serif"/>
          <w:b w:val="false"/>
          <w:i w:val="false"/>
          <w:caps w:val="false"/>
          <w:smallCaps w:val="false"/>
          <w:color w:val="000000"/>
          <w:sz w:val="20"/>
        </w:rPr>
        <w:t>. The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the Purchaser of the transactions contemplated by the Transaction Documents have been duly authorized by all necessary corporate, partnership, limited liability company or similar action, as applicable,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w:t>
      </w:r>
      <w:r>
        <w:rPr>
          <w:rFonts w:ascii="Times New Roman;Times;Serif" w:hAnsi="Times New Roman;Times;Serif"/>
          <w:b w:val="false"/>
          <w:i w:val="false"/>
          <w:caps w:val="false"/>
          <w:smallCaps w:val="false"/>
          <w:color w:val="000000"/>
          <w:sz w:val="20"/>
          <w:u w:val="single"/>
        </w:rPr>
        <w:t>Understandings or Arrangements</w:t>
      </w:r>
      <w:r>
        <w:rPr>
          <w:rFonts w:ascii="Times New Roman;Times;Serif" w:hAnsi="Times New Roman;Times;Serif"/>
          <w:b w:val="false"/>
          <w:i w:val="false"/>
          <w:caps w:val="false"/>
          <w:smallCaps w:val="false"/>
          <w:color w:val="000000"/>
          <w:sz w:val="20"/>
        </w:rPr>
        <w:t>. The Purchaser is acquiring the Securities as principal for its own account and has no direct or indirect arrangement or understandings with any other persons to distribute or regarding the distribution of such Securities (this representation and warranty not limiting the Purchaser’s right to sell the Securities pursuant to the Registration Statement or otherwise in compliance with applicable federal and state securities laws). The Purchaser is acquiring the Securities hereunder in the ordinary course of its business. The Purchaser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the Purchaser’s right to sell such Securities pursuant to a registration statement or otherwise in compliance with applicable federal and state securities laws).</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w:t>
      </w:r>
      <w:r>
        <w:rPr>
          <w:rFonts w:ascii="Times New Roman;Times;Serif" w:hAnsi="Times New Roman;Times;Serif"/>
          <w:b w:val="false"/>
          <w:i w:val="false"/>
          <w:caps w:val="false"/>
          <w:smallCaps w:val="false"/>
          <w:color w:val="000000"/>
          <w:sz w:val="20"/>
          <w:u w:val="single"/>
        </w:rPr>
        <w:t>Purchaser Status</w:t>
      </w:r>
      <w:r>
        <w:rPr>
          <w:rFonts w:ascii="Times New Roman;Times;Serif" w:hAnsi="Times New Roman;Times;Serif"/>
          <w:b w:val="false"/>
          <w:i w:val="false"/>
          <w:caps w:val="false"/>
          <w:smallCaps w:val="false"/>
          <w:color w:val="000000"/>
          <w:sz w:val="20"/>
        </w:rPr>
        <w:t>. At the time the Purchaser was offered the Securities, it was, and as of the date hereof it is, and on each date on which it exercises any Warrants, it will be (1) either: (i) an “accredited investor” as defined in Rule 501(a)(1), (a)(2), (a)(3), (a)(7),(a)(8), (a)(9), (a)(12) or (a)(13) under the Securities Act, or (ii) a “qualified institutional buyer” as defined in Rule 144A(a) under the Securities Act; and (2) an “institutional account” as defined in FINRA Rule 4512(c).</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    </w:t>
      </w:r>
      <w:r>
        <w:rPr>
          <w:rFonts w:ascii="Times New Roman;Times;Serif" w:hAnsi="Times New Roman;Times;Serif"/>
          <w:b w:val="false"/>
          <w:i w:val="false"/>
          <w:caps w:val="false"/>
          <w:smallCaps w:val="false"/>
          <w:color w:val="000000"/>
          <w:sz w:val="20"/>
          <w:u w:val="single"/>
        </w:rPr>
        <w:t>Experience of the Purchaser</w:t>
      </w:r>
      <w:r>
        <w:rPr>
          <w:rFonts w:ascii="Times New Roman;Times;Serif" w:hAnsi="Times New Roman;Times;Serif"/>
          <w:b w:val="false"/>
          <w:i w:val="false"/>
          <w:caps w:val="false"/>
          <w:smallCaps w:val="false"/>
          <w:color w:val="000000"/>
          <w:sz w:val="20"/>
        </w:rPr>
        <w:t>. The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    </w:t>
      </w:r>
      <w:r>
        <w:rPr>
          <w:rFonts w:ascii="Times New Roman;Times;Serif" w:hAnsi="Times New Roman;Times;Serif"/>
          <w:b w:val="false"/>
          <w:i w:val="false"/>
          <w:caps w:val="false"/>
          <w:smallCaps w:val="false"/>
          <w:color w:val="000000"/>
          <w:sz w:val="20"/>
          <w:u w:val="single"/>
        </w:rPr>
        <w:t>Access to Information</w:t>
      </w:r>
      <w:r>
        <w:rPr>
          <w:rFonts w:ascii="Times New Roman;Times;Serif" w:hAnsi="Times New Roman;Times;Serif"/>
          <w:b w:val="false"/>
          <w:i w:val="false"/>
          <w:caps w:val="false"/>
          <w:smallCaps w:val="false"/>
          <w:color w:val="000000"/>
          <w:sz w:val="20"/>
        </w:rPr>
        <w:t xml:space="preserve">. The Purchaser acknowledges that it has had the opportunity to review the Transaction Documents (including all exhibits and schedules thereto), the SEC Reports, the Registration Statement and the Prospectus Supplement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opportunity to obtain such additional information that the Company possesses or can acquire without unreasonable effort or expense that is necessary to make an informed investment decision with respect to the investment. </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w:t>
      </w:r>
      <w:r>
        <w:rPr>
          <w:rFonts w:ascii="Times New Roman;Times;Serif" w:hAnsi="Times New Roman;Times;Serif"/>
          <w:b w:val="false"/>
          <w:i w:val="false"/>
          <w:caps w:val="false"/>
          <w:smallCaps w:val="false"/>
          <w:color w:val="000000"/>
          <w:sz w:val="20"/>
          <w:u w:val="single"/>
        </w:rPr>
        <w:t>Certain Transactions and Confidentiality</w:t>
      </w:r>
      <w:r>
        <w:rPr>
          <w:rFonts w:ascii="Times New Roman;Times;Serif" w:hAnsi="Times New Roman;Times;Serif"/>
          <w:b w:val="false"/>
          <w:i w:val="false"/>
          <w:caps w:val="false"/>
          <w:smallCaps w:val="false"/>
          <w:color w:val="000000"/>
          <w:sz w:val="20"/>
        </w:rPr>
        <w:t>.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a term sheet (written or oral) from the Company or any other Person representing the Company setting forth the material terms of the transactions contemplated hereunder and ending immediately prior to the execution hereof. Other than to other Persons party to this Agreement or to the Purchaser’s representatives, including, without limitation, its officers, directors, partners, legal and other advisors, employees, agents and Affiliates, the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    </w:t>
      </w:r>
      <w:r>
        <w:rPr>
          <w:rFonts w:ascii="Times New Roman;Times;Serif" w:hAnsi="Times New Roman;Times;Serif"/>
          <w:b w:val="false"/>
          <w:i w:val="false"/>
          <w:caps w:val="false"/>
          <w:smallCaps w:val="false"/>
          <w:color w:val="000000"/>
          <w:sz w:val="20"/>
          <w:u w:val="single"/>
        </w:rPr>
        <w:t>General Solicitation</w:t>
      </w:r>
      <w:r>
        <w:rPr>
          <w:rFonts w:ascii="Times New Roman;Times;Serif" w:hAnsi="Times New Roman;Times;Serif"/>
          <w:b w:val="false"/>
          <w:i w:val="false"/>
          <w:caps w:val="false"/>
          <w:smallCaps w:val="false"/>
          <w:color w:val="000000"/>
          <w:sz w:val="20"/>
        </w:rPr>
        <w:t>. The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the Purchaser, any other general solicitation or general advertisement.</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(h)    </w:t>
      </w:r>
      <w:r>
        <w:rPr>
          <w:rFonts w:ascii="Times New Roman;Times;Serif" w:hAnsi="Times New Roman;Times;Serif"/>
          <w:b w:val="false"/>
          <w:i w:val="false"/>
          <w:caps w:val="false"/>
          <w:smallCaps w:val="false"/>
          <w:color w:val="000000"/>
          <w:sz w:val="20"/>
          <w:u w:val="single"/>
        </w:rPr>
        <w:t>Independent Advice</w:t>
      </w:r>
      <w:r>
        <w:rPr>
          <w:rFonts w:ascii="Times New Roman;Times;Serif" w:hAnsi="Times New Roman;Times;Serif"/>
          <w:b w:val="false"/>
          <w:i w:val="false"/>
          <w:caps w:val="false"/>
          <w:smallCaps w:val="false"/>
          <w:color w:val="000000"/>
          <w:sz w:val="20"/>
        </w:rPr>
        <w:t xml:space="preserve">. The Purchaser understands that nothing in this Agreement or any other materials presented by or on behalf of the Company to the Purchaser in connection with the purchase of the Securities constitutes legal, tax or investment advice. The Purchaser has consulted such legal, tax and investment advisors as it, in its sole discretion, has deemed necessary or appropriate in connection with its purchase of the Securities. </w:t>
      </w:r>
    </w:p>
    <w:p>
      <w:pPr>
        <w:pStyle w:val="TextBody"/>
        <w:bidi w:val="0"/>
        <w:spacing w:lineRule="auto" w:line="268" w:before="0" w:after="300"/>
        <w:ind w:left="0" w:right="0" w:firstLine="64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Company acknowledges and agrees that the representations contained in this Section 3.2 shall not modify, amend or affect the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except as set forth in this Agreement, with respect to locating or borrowing shares in order to effect Short Sales or similar transactions in the future.</w:t>
      </w:r>
    </w:p>
    <w:p>
      <w:pPr>
        <w:pStyle w:val="TextBody"/>
        <w:bidi w:val="0"/>
        <w:spacing w:lineRule="auto" w:line="268"/>
        <w:ind w:left="0" w:right="0" w:firstLine="648"/>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IV.</w:t>
      </w:r>
    </w:p>
    <w:p>
      <w:pPr>
        <w:pStyle w:val="TextBody"/>
        <w:bidi w:val="0"/>
        <w:spacing w:lineRule="auto" w:line="268"/>
        <w:ind w:left="0" w:right="0" w:firstLine="648"/>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AGREEMENTS OF THE PARTIES</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4.1    </w:t>
      </w:r>
      <w:r>
        <w:rPr>
          <w:rFonts w:ascii="Times New Roman;Times;Serif" w:hAnsi="Times New Roman;Times;Serif"/>
          <w:b w:val="false"/>
          <w:i w:val="false"/>
          <w:caps w:val="false"/>
          <w:smallCaps w:val="false"/>
          <w:color w:val="000000"/>
          <w:sz w:val="20"/>
          <w:u w:val="single"/>
        </w:rPr>
        <w:t>Legends</w:t>
      </w:r>
      <w:r>
        <w:rPr>
          <w:rFonts w:ascii="Times New Roman;Times;Serif" w:hAnsi="Times New Roman;Times;Serif"/>
          <w:b w:val="false"/>
          <w:i w:val="false"/>
          <w:caps w:val="false"/>
          <w:smallCaps w:val="false"/>
          <w:color w:val="000000"/>
          <w:sz w:val="20"/>
        </w:rPr>
        <w:t>. The Shares and the Warrants shall be issued free of legends.</w:t>
      </w:r>
    </w:p>
    <w:p>
      <w:pPr>
        <w:pStyle w:val="TextBody"/>
        <w:bidi w:val="0"/>
        <w:jc w:val="both"/>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4.2    </w:t>
      </w:r>
      <w:r>
        <w:rPr>
          <w:rFonts w:ascii="Times New Roman;Times;Serif" w:hAnsi="Times New Roman;Times;Serif"/>
          <w:b w:val="false"/>
          <w:i w:val="false"/>
          <w:caps w:val="false"/>
          <w:smallCaps w:val="false"/>
          <w:color w:val="000000"/>
          <w:sz w:val="20"/>
          <w:u w:val="single"/>
        </w:rPr>
        <w:t>Integration</w:t>
      </w:r>
      <w:r>
        <w:rPr>
          <w:rFonts w:ascii="Times New Roman;Times;Serif" w:hAnsi="Times New Roman;Times;Serif"/>
          <w:b w:val="false"/>
          <w:i w:val="false"/>
          <w:caps w:val="false"/>
          <w:smallCaps w:val="false"/>
          <w:color w:val="000000"/>
          <w:sz w:val="20"/>
        </w:rPr>
        <w:t>. Other than the Concurrent Placement,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 other than the Stockholder Approval.</w:t>
      </w:r>
    </w:p>
    <w:p>
      <w:pPr>
        <w:pStyle w:val="TextBody"/>
        <w:bidi w:val="0"/>
        <w:spacing w:before="0" w:after="283"/>
        <w:jc w:val="left"/>
        <w:rPr/>
      </w:pPr>
      <w:r>
        <w:rPr/>
        <w:t> </w:t>
      </w:r>
    </w:p>
    <w:p>
      <w:pPr>
        <w:pStyle w:val="TextBody"/>
        <w:bidi w:val="0"/>
        <w:spacing w:lineRule="auto" w:line="268"/>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4.3    </w:t>
      </w:r>
      <w:r>
        <w:rPr>
          <w:rFonts w:ascii="Times New Roman;Times;Serif" w:hAnsi="Times New Roman;Times;Serif"/>
          <w:b w:val="false"/>
          <w:i w:val="false"/>
          <w:caps w:val="false"/>
          <w:smallCaps w:val="false"/>
          <w:color w:val="000000"/>
          <w:sz w:val="20"/>
          <w:u w:val="single"/>
        </w:rPr>
        <w:t>Securities Laws Disclosure; Publicity</w:t>
      </w:r>
      <w:r>
        <w:rPr>
          <w:rFonts w:ascii="Times New Roman;Times;Serif" w:hAnsi="Times New Roman;Times;Serif"/>
          <w:b w:val="false"/>
          <w:i w:val="false"/>
          <w:caps w:val="false"/>
          <w:smallCaps w:val="false"/>
          <w:color w:val="000000"/>
          <w:sz w:val="20"/>
        </w:rPr>
        <w:t xml:space="preserve">. The Company shall file a Current Report on Form 8-K, including the Transaction Documents as exhibits thereto, with the Commission within the time required by the Exchange Act. </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4.4    </w:t>
      </w:r>
      <w:r>
        <w:rPr>
          <w:rFonts w:ascii="Times New Roman;Times;Serif" w:hAnsi="Times New Roman;Times;Serif"/>
          <w:b w:val="false"/>
          <w:i w:val="false"/>
          <w:caps w:val="false"/>
          <w:smallCaps w:val="false"/>
          <w:color w:val="000000"/>
          <w:sz w:val="20"/>
          <w:u w:val="single"/>
        </w:rPr>
        <w:t>Use of Proceeds</w:t>
      </w:r>
      <w:r>
        <w:rPr>
          <w:rFonts w:ascii="Times New Roman;Times;Serif" w:hAnsi="Times New Roman;Times;Serif"/>
          <w:b w:val="false"/>
          <w:i w:val="false"/>
          <w:caps w:val="false"/>
          <w:smallCaps w:val="false"/>
          <w:color w:val="000000"/>
          <w:sz w:val="20"/>
        </w:rPr>
        <w:t>. The Company shall use the net proceeds from the sale of the Securities hereunder for working capital and other general corporate purposes but shall not use such proceeds: (a) for the redemption of any Common Stock or Common Stock Equivalents or (b) in violation of FCPA or OFAC regulations.</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4.5    </w:t>
      </w:r>
      <w:r>
        <w:rPr>
          <w:rFonts w:ascii="Times New Roman;Times;Serif" w:hAnsi="Times New Roman;Times;Serif"/>
          <w:b w:val="false"/>
          <w:i w:val="false"/>
          <w:caps w:val="false"/>
          <w:smallCaps w:val="false"/>
          <w:color w:val="000000"/>
          <w:sz w:val="20"/>
          <w:u w:val="single"/>
        </w:rPr>
        <w:t>Indemnification of the Purchaser</w:t>
      </w:r>
      <w:r>
        <w:rPr>
          <w:rFonts w:ascii="Times New Roman;Times;Serif" w:hAnsi="Times New Roman;Times;Serif"/>
          <w:b w:val="false"/>
          <w:i w:val="false"/>
          <w:caps w:val="false"/>
          <w:smallCaps w:val="false"/>
          <w:color w:val="000000"/>
          <w:sz w:val="20"/>
        </w:rPr>
        <w:t>. Subject to the provisions of this Section 4.5, the Company will indemnify and hold the Purchaser and its directors, officers, employees and Affiliates (and any other Persons with a functionally equivalent role of a Person holding such titles notwithstanding a lack of such title or any other title), each Person who controls the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color w:val="000000"/>
          <w:sz w:val="20"/>
          <w:u w:val="single"/>
        </w:rPr>
        <w:t>Purchaser Party</w:t>
      </w:r>
      <w:r>
        <w:rPr>
          <w:rFonts w:ascii="Times New Roman;Times;Serif" w:hAnsi="Times New Roman;Times;Serif"/>
          <w:b w:val="false"/>
          <w:i w:val="false"/>
          <w:caps w:val="false"/>
          <w:smallCaps w:val="false"/>
          <w:color w:val="000000"/>
          <w:sz w:val="20"/>
        </w:rPr>
        <w:t>”) harmless from any and all losses, liabilities, obligations, claims, contingencies, damages, costs and expenses, including all judgments, amounts paid in settlements, court costs and reasonable and documented out-of-pocket attorneys’ fees and costs of investigation that any such Purchaser Party may suffer or incur as a result of or relating to (a) any material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a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4.5 shall be made by periodic payments of the amount thereof during the course of the investigation or defense, as and when bills are received or are incurred; provided, however, that if it is subsequently determined by a final, non-appealable judgment of a court of competent jurisdiction that the Purchaser was not entitled to receive such payments, the Purchaser shall promptly (but in no event later than five (5) Business Days) return such payments to the Company.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4.6    </w:t>
      </w:r>
      <w:r>
        <w:rPr>
          <w:rFonts w:ascii="Times New Roman;Times;Serif" w:hAnsi="Times New Roman;Times;Serif"/>
          <w:b w:val="false"/>
          <w:i w:val="false"/>
          <w:caps w:val="false"/>
          <w:smallCaps w:val="false"/>
          <w:color w:val="000000"/>
          <w:sz w:val="20"/>
          <w:u w:val="single"/>
        </w:rPr>
        <w:t>Reservation of Common Stock</w:t>
      </w:r>
      <w:r>
        <w:rPr>
          <w:rFonts w:ascii="Times New Roman;Times;Serif" w:hAnsi="Times New Roman;Times;Serif"/>
          <w:b w:val="false"/>
          <w:i w:val="false"/>
          <w:caps w:val="false"/>
          <w:smallCaps w:val="false"/>
          <w:color w:val="000000"/>
          <w:sz w:val="20"/>
        </w:rPr>
        <w:t>. Prior to or in connection with the Initial Closing, the Company will reserve and the Company shall continue to reserve and keep available at all times, free of preemptive rights, a sufficient number of shares of Common Stock for the purpose of enabling the Company to issue Shares pursuant to this Agreement and the Warrant Shares pursuant to any exercise of the Warrants.</w:t>
      </w:r>
    </w:p>
    <w:p>
      <w:pPr>
        <w:pStyle w:val="TextBody"/>
        <w:bidi w:val="0"/>
        <w:spacing w:before="0" w:after="283"/>
        <w:jc w:val="left"/>
        <w:rPr/>
      </w:pPr>
      <w:r>
        <w:rPr/>
        <w:t> </w:t>
      </w:r>
    </w:p>
    <w:p>
      <w:pPr>
        <w:pStyle w:val="TextBody"/>
        <w:bidi w:val="0"/>
        <w:spacing w:lineRule="auto" w:line="268"/>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4.7    </w:t>
      </w:r>
      <w:r>
        <w:rPr>
          <w:rFonts w:ascii="Times New Roman;Times;Serif" w:hAnsi="Times New Roman;Times;Serif"/>
          <w:b w:val="false"/>
          <w:i w:val="false"/>
          <w:caps w:val="false"/>
          <w:smallCaps w:val="false"/>
          <w:color w:val="000000"/>
          <w:sz w:val="20"/>
          <w:u w:val="single"/>
        </w:rPr>
        <w:t>Listing of Common Stock</w:t>
      </w:r>
      <w:r>
        <w:rPr>
          <w:rFonts w:ascii="Times New Roman;Times;Serif" w:hAnsi="Times New Roman;Times;Serif"/>
          <w:b w:val="false"/>
          <w:i w:val="false"/>
          <w:caps w:val="false"/>
          <w:smallCaps w:val="false"/>
          <w:color w:val="000000"/>
          <w:sz w:val="20"/>
        </w:rPr>
        <w:t xml:space="preserve">. Concurrently with the Initial Closing, the Company shall apply to list or quote all of the Shares and Warrant Shares on such Trading Market and promptly secure the listing of all of the Shares and Warrant Shares on such Trading Market, subject to the Company obtaining Stockholder Approval (solely with respect to the Warrant Shares relating to the alternative cashless exercise option in the Class 2 Warrants and certain of the Securities issuable hereunder).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For so long as the Company maintains a listing or quotation of the Common Stock on a Trading Market, and the Company agrees to comply in all material respects with the Company’s reporting, filing and other obligations under the bylaws or rules of the Trading Market, and to use commercially reasonable efforts to maintain the eligibility of the Common Stock for electronic transfer through the Depository Trust Company or another established clearing corporation, including, without limitation, by timely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payment of fees to the Depository Trust Company or such other established clearing corporation in connection with such electronic transfer.</w:t>
      </w:r>
    </w:p>
    <w:p>
      <w:pPr>
        <w:pStyle w:val="TextBody"/>
        <w:bidi w:val="0"/>
        <w:spacing w:before="0" w:after="283"/>
        <w:jc w:val="left"/>
        <w:rPr/>
      </w:pPr>
      <w:r>
        <w:rPr/>
        <w:t> </w:t>
      </w:r>
    </w:p>
    <w:p>
      <w:pPr>
        <w:pStyle w:val="TextBody"/>
        <w:bidi w:val="0"/>
        <w:spacing w:lineRule="auto" w:line="268"/>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4.8    </w:t>
      </w:r>
      <w:r>
        <w:rPr>
          <w:rFonts w:ascii="Times New Roman;Times;Serif" w:hAnsi="Times New Roman;Times;Serif"/>
          <w:b w:val="false"/>
          <w:i w:val="false"/>
          <w:caps w:val="false"/>
          <w:smallCaps w:val="false"/>
          <w:color w:val="000000"/>
          <w:sz w:val="20"/>
          <w:u w:val="single"/>
        </w:rPr>
        <w:t>Subsequent Equity Sales</w:t>
      </w:r>
      <w:r>
        <w:rPr>
          <w:rFonts w:ascii="Times New Roman;Times;Serif" w:hAnsi="Times New Roman;Times;Serif"/>
          <w:b w:val="false"/>
          <w:i w:val="false"/>
          <w:caps w:val="false"/>
          <w:smallCaps w:val="false"/>
          <w:color w:val="000000"/>
          <w:sz w:val="20"/>
        </w:rPr>
        <w:t>.</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From the date hereof until one hundred and twenty (120) days after the Initial Closing Date, neither the Company nor any Subsidiary shall (i) issue, enter into any agreement to issue or announce the issuance or proposed issuance of any shares of Common Stock or Common Stock Equivalents (each, a “</w:t>
      </w:r>
      <w:r>
        <w:rPr>
          <w:rFonts w:ascii="Times New Roman;Times;Serif" w:hAnsi="Times New Roman;Times;Serif"/>
          <w:b w:val="false"/>
          <w:i w:val="false"/>
          <w:caps w:val="false"/>
          <w:smallCaps w:val="false"/>
          <w:color w:val="000000"/>
          <w:sz w:val="20"/>
          <w:u w:val="single"/>
        </w:rPr>
        <w:t>Subsequent Placement</w:t>
      </w:r>
      <w:r>
        <w:rPr>
          <w:rFonts w:ascii="Times New Roman;Times;Serif" w:hAnsi="Times New Roman;Times;Serif"/>
          <w:b w:val="false"/>
          <w:i w:val="false"/>
          <w:caps w:val="false"/>
          <w:smallCaps w:val="false"/>
          <w:color w:val="000000"/>
          <w:sz w:val="20"/>
        </w:rPr>
        <w:t>”), or (ii) file any registration statement or amendment or supplement thereto, other than the Prospectus Supplement, filing a registration statement on Form S-8 in connection with any employee benefit plan, or filing a registration statement on Form S-4 in connection with any acquisition.</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From the date hereof until the eighteen (18) month anniversary of the Initial Closing Date, the Company shall be prohibited from effecting or entering into an agreement to effect any issuance by the Company or any of its subsidiaries of shares of Common Stock or Common Stock Equivalents (or a combination of units thereof) involving a Variable Rate Transaction. “</w:t>
      </w:r>
      <w:r>
        <w:rPr>
          <w:rFonts w:ascii="Times New Roman;Times;Serif" w:hAnsi="Times New Roman;Times;Serif"/>
          <w:b w:val="false"/>
          <w:i w:val="false"/>
          <w:caps w:val="false"/>
          <w:smallCaps w:val="false"/>
          <w:color w:val="000000"/>
          <w:sz w:val="20"/>
          <w:u w:val="single"/>
        </w:rPr>
        <w:t>Variable Rate Transaction</w:t>
      </w:r>
      <w:r>
        <w:rPr>
          <w:rFonts w:ascii="Times New Roman;Times;Serif" w:hAnsi="Times New Roman;Times;Serif"/>
          <w:b w:val="false"/>
          <w:i w:val="false"/>
          <w:caps w:val="false"/>
          <w:smallCaps w:val="false"/>
          <w:color w:val="000000"/>
          <w:sz w:val="20"/>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shares of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 </w:t>
      </w:r>
    </w:p>
    <w:p>
      <w:pPr>
        <w:pStyle w:val="TextBody"/>
        <w:bidi w:val="0"/>
        <w:jc w:val="both"/>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    Notwithstanding the foregoing, this Section 4.8 shall not apply in respect of, nor shall the definition of Subsequent Placement be deemed to include, an Exempt Issuance.</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4.9    [Reserved]</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4.10    </w:t>
      </w:r>
      <w:r>
        <w:rPr>
          <w:rFonts w:ascii="Times New Roman;Times;Serif" w:hAnsi="Times New Roman;Times;Serif"/>
          <w:b w:val="false"/>
          <w:i w:val="false"/>
          <w:caps w:val="false"/>
          <w:smallCaps w:val="false"/>
          <w:color w:val="000000"/>
          <w:sz w:val="20"/>
          <w:u w:val="single"/>
        </w:rPr>
        <w:t>Certain Transactions and Confidentiality</w:t>
      </w:r>
      <w:r>
        <w:rPr>
          <w:rFonts w:ascii="Times New Roman;Times;Serif" w:hAnsi="Times New Roman;Times;Serif"/>
          <w:b w:val="false"/>
          <w:i w:val="false"/>
          <w:caps w:val="false"/>
          <w:smallCaps w:val="false"/>
          <w:color w:val="000000"/>
          <w:sz w:val="20"/>
        </w:rPr>
        <w:t xml:space="preserve">. The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disclosed by the Company pursuant to Section 4.3. The Purchaser covenants that until such time as the transactions contemplated by this Agreement are publicly disclosed by the Company as described in Section 4.3, the Purchaser will maintain the confidentiality of the existence and terms of this transaction and the information included in the Disclosure Schedules (other than as disclosed to its legal and other representatives). </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4.11    </w:t>
      </w:r>
      <w:r>
        <w:rPr>
          <w:rFonts w:ascii="Times New Roman;Times;Serif" w:hAnsi="Times New Roman;Times;Serif"/>
          <w:b w:val="false"/>
          <w:i w:val="false"/>
          <w:caps w:val="false"/>
          <w:smallCaps w:val="false"/>
          <w:color w:val="000000"/>
          <w:sz w:val="20"/>
          <w:u w:val="single"/>
        </w:rPr>
        <w:t>Lock-Up Agreements</w:t>
      </w:r>
      <w:r>
        <w:rPr>
          <w:rFonts w:ascii="Times New Roman;Times;Serif" w:hAnsi="Times New Roman;Times;Serif"/>
          <w:b w:val="false"/>
          <w:i w:val="false"/>
          <w:caps w:val="false"/>
          <w:smallCaps w:val="false"/>
          <w:color w:val="000000"/>
          <w:sz w:val="20"/>
        </w:rPr>
        <w:t xml:space="preserve">. The Company shall not amend, modify, waive or terminate any provision of any of the Lock-Up Agreements </w:t>
      </w:r>
      <w:r>
        <w:rPr>
          <w:rFonts w:ascii="Times New Roman;Times;Serif" w:hAnsi="Times New Roman;Times;Serif"/>
          <w:b w:val="false"/>
          <w:i w:val="false"/>
          <w:caps w:val="false"/>
          <w:smallCaps w:val="false"/>
          <w:color w:val="000000"/>
          <w:sz w:val="20"/>
          <w:shd w:fill="FFFFFF" w:val="clear"/>
        </w:rPr>
        <w:t>(or any successor lock-up agreements signed by transferees of the initial parties to the Lock-Up Agreements)</w:t>
      </w:r>
      <w:r>
        <w:rPr>
          <w:rFonts w:ascii="Times New Roman;Times;Serif" w:hAnsi="Times New Roman;Times;Serif"/>
          <w:b w:val="false"/>
          <w:i w:val="false"/>
          <w:caps w:val="false"/>
          <w:smallCaps w:val="false"/>
          <w:color w:val="000000"/>
          <w:sz w:val="20"/>
        </w:rPr>
        <w:t xml:space="preserve">, except to extend the term of the lock-up period and shall enforce the provisions of each Lock-Up Agreement </w:t>
      </w:r>
      <w:r>
        <w:rPr>
          <w:rFonts w:ascii="Times New Roman;Times;Serif" w:hAnsi="Times New Roman;Times;Serif"/>
          <w:b w:val="false"/>
          <w:i w:val="false"/>
          <w:caps w:val="false"/>
          <w:smallCaps w:val="false"/>
          <w:color w:val="000000"/>
          <w:sz w:val="20"/>
          <w:shd w:fill="FFFFFF" w:val="clear"/>
        </w:rPr>
        <w:t xml:space="preserve">(or any successor lock-up agreements signed by transferees of the initial parties to the Lock-Up Agreements) </w:t>
      </w:r>
      <w:r>
        <w:rPr>
          <w:rFonts w:ascii="Times New Roman;Times;Serif" w:hAnsi="Times New Roman;Times;Serif"/>
          <w:b w:val="false"/>
          <w:i w:val="false"/>
          <w:caps w:val="false"/>
          <w:smallCaps w:val="false"/>
          <w:color w:val="000000"/>
          <w:sz w:val="20"/>
        </w:rPr>
        <w:t xml:space="preserve">in accordance with its terms. If any party to a Lock-Up Agreement </w:t>
      </w:r>
      <w:r>
        <w:rPr>
          <w:rFonts w:ascii="Times New Roman;Times;Serif" w:hAnsi="Times New Roman;Times;Serif"/>
          <w:b w:val="false"/>
          <w:i w:val="false"/>
          <w:caps w:val="false"/>
          <w:smallCaps w:val="false"/>
          <w:color w:val="000000"/>
          <w:sz w:val="20"/>
          <w:shd w:fill="FFFFFF" w:val="clear"/>
        </w:rPr>
        <w:t xml:space="preserve">(or any successor lock-up agreements signed by transferees of the initial parties to the Lock-Up Agreements) </w:t>
      </w:r>
      <w:r>
        <w:rPr>
          <w:rFonts w:ascii="Times New Roman;Times;Serif" w:hAnsi="Times New Roman;Times;Serif"/>
          <w:b w:val="false"/>
          <w:i w:val="false"/>
          <w:caps w:val="false"/>
          <w:smallCaps w:val="false"/>
          <w:color w:val="000000"/>
          <w:sz w:val="20"/>
        </w:rPr>
        <w:t xml:space="preserve">breaches any provision of a Lock-Up Agreement </w:t>
      </w:r>
      <w:r>
        <w:rPr>
          <w:rFonts w:ascii="Times New Roman;Times;Serif" w:hAnsi="Times New Roman;Times;Serif"/>
          <w:b w:val="false"/>
          <w:i w:val="false"/>
          <w:caps w:val="false"/>
          <w:smallCaps w:val="false"/>
          <w:color w:val="000000"/>
          <w:sz w:val="20"/>
          <w:shd w:fill="FFFFFF" w:val="clear"/>
        </w:rPr>
        <w:t>(or any successor lock-up agreements signed by transferees of the initial parties to the Lock-Up Agreements)</w:t>
      </w:r>
      <w:r>
        <w:rPr>
          <w:rFonts w:ascii="Times New Roman;Times;Serif" w:hAnsi="Times New Roman;Times;Serif"/>
          <w:b w:val="false"/>
          <w:i w:val="false"/>
          <w:caps w:val="false"/>
          <w:smallCaps w:val="false"/>
          <w:color w:val="000000"/>
          <w:sz w:val="20"/>
        </w:rPr>
        <w:t>, the Company shall promptly use its reasonable efforts to seek specific performance of the terms of such agreement.</w:t>
      </w:r>
    </w:p>
    <w:p>
      <w:pPr>
        <w:pStyle w:val="TextBody"/>
        <w:bidi w:val="0"/>
        <w:jc w:val="both"/>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4.12    </w:t>
      </w:r>
      <w:r>
        <w:rPr>
          <w:rFonts w:ascii="Times New Roman;Times;Serif" w:hAnsi="Times New Roman;Times;Serif"/>
          <w:b w:val="false"/>
          <w:i w:val="false"/>
          <w:caps w:val="false"/>
          <w:smallCaps w:val="false"/>
          <w:color w:val="000000"/>
          <w:sz w:val="20"/>
          <w:u w:val="single"/>
        </w:rPr>
        <w:t>Stockholder Approval</w:t>
      </w:r>
      <w:r>
        <w:rPr>
          <w:rFonts w:ascii="Times New Roman;Times;Serif" w:hAnsi="Times New Roman;Times;Serif"/>
          <w:b w:val="false"/>
          <w:i w:val="false"/>
          <w:caps w:val="false"/>
          <w:smallCaps w:val="false"/>
          <w:color w:val="000000"/>
          <w:sz w:val="20"/>
        </w:rPr>
        <w:t>. Within sixty (60) calendar days after the Initial Closing Date, the Company shall use commercially reasonable efforts to file with the Securities and Exchange Commission (the “</w:t>
      </w:r>
      <w:r>
        <w:rPr>
          <w:rFonts w:ascii="Times New Roman;Times;Serif" w:hAnsi="Times New Roman;Times;Serif"/>
          <w:b w:val="false"/>
          <w:i w:val="false"/>
          <w:caps w:val="false"/>
          <w:smallCaps w:val="false"/>
          <w:color w:val="000000"/>
          <w:sz w:val="20"/>
          <w:u w:val="single"/>
        </w:rPr>
        <w:t>SEC</w:t>
      </w:r>
      <w:r>
        <w:rPr>
          <w:rFonts w:ascii="Times New Roman;Times;Serif" w:hAnsi="Times New Roman;Times;Serif"/>
          <w:b w:val="false"/>
          <w:i w:val="false"/>
          <w:caps w:val="false"/>
          <w:smallCaps w:val="false"/>
          <w:color w:val="000000"/>
          <w:sz w:val="20"/>
        </w:rPr>
        <w:t xml:space="preserve">”) a definitive proxy statement, at the expense of the Company, for a meeting (special or otherwise) of holders of Common Stock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w:t>
      </w:r>
      <w:r>
        <w:rPr>
          <w:rFonts w:ascii="Times New Roman;Times;Serif" w:hAnsi="Times New Roman;Times;Serif"/>
          <w:b w:val="false"/>
          <w:i w:val="false"/>
          <w:caps w:val="false"/>
          <w:smallCaps w:val="false"/>
          <w:color w:val="000000"/>
          <w:sz w:val="20"/>
          <w:u w:val="single"/>
        </w:rPr>
        <w:t>Stockholder Meeting</w:t>
      </w:r>
      <w:r>
        <w:rPr>
          <w:rFonts w:ascii="Times New Roman;Times;Serif" w:hAnsi="Times New Roman;Times;Serif"/>
          <w:b w:val="false"/>
          <w:i w:val="false"/>
          <w:caps w:val="false"/>
          <w:smallCaps w:val="false"/>
          <w:color w:val="000000"/>
          <w:sz w:val="20"/>
        </w:rPr>
        <w:t>”) to be held within ninety (90) calendar days after the Initial Closing Date, soliciting each such stockholder’s affirmative vote at the Stockholder Meeting for approval of resolutions approving the issuance and listing of (i) the Securities to be issued to the Purchaser at the Subsequent Closing, pursuant to Section 312.03 and any other relevant limiting provisions of the LCM, and (ii) the shares of Common Stock issuable pursuant to the alternative cashless exercise provision in Section 2(d) of the Class 2 Warrants in accordance with applicable law and the rules and regulations of the Trading Market without giving effect to any limitation on the exercise of the Warrants and the Common Stock to be issued or that may be issuable under the purchase agreement and the related warrants in the Concurrent Placement (such affirmative approval being referred to herein collectively as the “</w:t>
      </w:r>
      <w:r>
        <w:rPr>
          <w:rFonts w:ascii="Times New Roman;Times;Serif" w:hAnsi="Times New Roman;Times;Serif"/>
          <w:b w:val="false"/>
          <w:i w:val="false"/>
          <w:caps w:val="false"/>
          <w:smallCaps w:val="false"/>
          <w:color w:val="000000"/>
          <w:sz w:val="20"/>
          <w:u w:val="single"/>
        </w:rPr>
        <w:t>Stockholder Approval</w:t>
      </w:r>
      <w:r>
        <w:rPr>
          <w:rFonts w:ascii="Times New Roman;Times;Serif" w:hAnsi="Times New Roman;Times;Serif"/>
          <w:b w:val="false"/>
          <w:i w:val="false"/>
          <w:caps w:val="false"/>
          <w:smallCaps w:val="false"/>
          <w:color w:val="000000"/>
          <w:sz w:val="20"/>
        </w:rPr>
        <w:t>”), and the Company shall use commercially reasonable efforts to solicit its stockholders’ approval of such resolutions in connection with the Stockholder Approval.</w:t>
      </w:r>
    </w:p>
    <w:p>
      <w:pPr>
        <w:pStyle w:val="TextBody"/>
        <w:bidi w:val="0"/>
        <w:jc w:val="both"/>
        <w:rPr/>
      </w:pPr>
      <w:r>
        <w:rPr/>
        <w:t> </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4.13    </w:t>
      </w:r>
      <w:r>
        <w:rPr>
          <w:rFonts w:ascii="Times New Roman;Times;Serif" w:hAnsi="Times New Roman;Times;Serif"/>
          <w:b w:val="false"/>
          <w:i w:val="false"/>
          <w:caps w:val="false"/>
          <w:smallCaps w:val="false"/>
          <w:color w:val="000000"/>
          <w:sz w:val="20"/>
          <w:u w:val="single"/>
        </w:rPr>
        <w:t>Participation Right</w:t>
      </w:r>
      <w:r>
        <w:rPr>
          <w:rFonts w:ascii="Times New Roman;Times;Serif" w:hAnsi="Times New Roman;Times;Serif"/>
          <w:b w:val="false"/>
          <w:i w:val="false"/>
          <w:caps w:val="false"/>
          <w:smallCaps w:val="false"/>
          <w:color w:val="000000"/>
          <w:sz w:val="20"/>
        </w:rPr>
        <w:t xml:space="preserve">. From the date hereof until the date that is 18 months after the Initial Closing Date, neither the Company nor any of its subsidiaries shall, directly or indirectly, effect any Subsequent Placement unless the Company shall have first complied with this Section 4.13.  </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    At least five (5) days prior to any proposed or intended Subsequent Placement, the Company shall deliver to the Purchaser a written notice of its proposal or intention to effect a Subsequent Placement (each such notice, a “</w:t>
      </w:r>
      <w:r>
        <w:rPr>
          <w:rFonts w:ascii="Times New Roman;Times;Serif" w:hAnsi="Times New Roman;Times;Serif"/>
          <w:b w:val="false"/>
          <w:i w:val="false"/>
          <w:caps w:val="false"/>
          <w:smallCaps w:val="false"/>
          <w:color w:val="000000"/>
          <w:sz w:val="20"/>
          <w:u w:val="single"/>
        </w:rPr>
        <w:t>Pre-Notice</w:t>
      </w:r>
      <w:r>
        <w:rPr>
          <w:rFonts w:ascii="Times New Roman;Times;Serif" w:hAnsi="Times New Roman;Times;Serif"/>
          <w:b w:val="false"/>
          <w:i w:val="false"/>
          <w:caps w:val="false"/>
          <w:smallCaps w:val="false"/>
          <w:color w:val="000000"/>
          <w:sz w:val="20"/>
        </w:rPr>
        <w:t>”), which Pre-Notice shall not contain any information (including, without limitation, material, non-public information) other than: (A) if the Company believes that the proposed Offer Notice (as defined below) constitutes or contains material, non-public information, a statement asking whether the Purchaser is willing to accept material non-public information or (B) if the Company believes that the proposed Offer Notice does not constitute or contain material, non-public information, (y) a statement that the Company proposes or intends to effect a Subsequent Placement and (z) a statement informing the Purchaser that it is entitled to receive an Offer Notice (as defined below) with respect to such Subsequent Placement upon its written request.  Upon the written request of a Purchaser within one (1) day after the Company’s delivery to the Purchaser of such Pre-Notice, and only upon a written request by the Purchaser, the Company shall promptly deliver to the Purchaser an irrevocable written notice (the “</w:t>
      </w:r>
      <w:r>
        <w:rPr>
          <w:rFonts w:ascii="Times New Roman;Times;Serif" w:hAnsi="Times New Roman;Times;Serif"/>
          <w:b w:val="false"/>
          <w:i w:val="false"/>
          <w:caps w:val="false"/>
          <w:smallCaps w:val="false"/>
          <w:color w:val="000000"/>
          <w:sz w:val="20"/>
          <w:u w:val="single"/>
        </w:rPr>
        <w:t>Offer Notice</w:t>
      </w:r>
      <w:r>
        <w:rPr>
          <w:rFonts w:ascii="Times New Roman;Times;Serif" w:hAnsi="Times New Roman;Times;Serif"/>
          <w:b w:val="false"/>
          <w:i w:val="false"/>
          <w:caps w:val="false"/>
          <w:smallCaps w:val="false"/>
          <w:color w:val="000000"/>
          <w:sz w:val="20"/>
        </w:rPr>
        <w:t>”) of any proposed or intended issuance or sale or exchange (the “</w:t>
      </w:r>
      <w:r>
        <w:rPr>
          <w:rFonts w:ascii="Times New Roman;Times;Serif" w:hAnsi="Times New Roman;Times;Serif"/>
          <w:b w:val="false"/>
          <w:i w:val="false"/>
          <w:caps w:val="false"/>
          <w:smallCaps w:val="false"/>
          <w:color w:val="000000"/>
          <w:sz w:val="20"/>
          <w:u w:val="single"/>
        </w:rPr>
        <w:t>Offer</w:t>
      </w:r>
      <w:r>
        <w:rPr>
          <w:rFonts w:ascii="Times New Roman;Times;Serif" w:hAnsi="Times New Roman;Times;Serif"/>
          <w:b w:val="false"/>
          <w:i w:val="false"/>
          <w:caps w:val="false"/>
          <w:smallCaps w:val="false"/>
          <w:color w:val="000000"/>
          <w:sz w:val="20"/>
        </w:rPr>
        <w:t>”) of the securities being offered (the “</w:t>
      </w:r>
      <w:r>
        <w:rPr>
          <w:rFonts w:ascii="Times New Roman;Times;Serif" w:hAnsi="Times New Roman;Times;Serif"/>
          <w:b w:val="false"/>
          <w:i w:val="false"/>
          <w:caps w:val="false"/>
          <w:smallCaps w:val="false"/>
          <w:color w:val="000000"/>
          <w:sz w:val="20"/>
          <w:u w:val="single"/>
        </w:rPr>
        <w:t>Offered Securities</w:t>
      </w:r>
      <w:r>
        <w:rPr>
          <w:rFonts w:ascii="Times New Roman;Times;Serif" w:hAnsi="Times New Roman;Times;Serif"/>
          <w:b w:val="false"/>
          <w:i w:val="false"/>
          <w:caps w:val="false"/>
          <w:smallCaps w:val="false"/>
          <w:color w:val="000000"/>
          <w:sz w:val="20"/>
        </w:rPr>
        <w:t>”) in a Subsequent Placement, which Offer Notice shall (A) identify and describe the Offered Securities, (B) describe the price and other terms upon which they are to be issued, sold or exchanged, and the number or amount of the Offered Securities to be issued, sold or exchanged, and (C) offer to issue and sell to or exchange with the Purchaser in accordance with the terms of the Offer 8.75% in total of the Offered Securities. The Company shall not be permitted to deliver more than one such Offer Notice to a Purchaser in any sixty (60) day period nor shall the Company be permitted to effect a Subsequent Placement within 18 months of the Initial Closing Date without providing such Purchaser with an Offer Notice.</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    The Company shall have fifteen (15) Business Days from the expiration of the Offer Period above (A) to offer, issue, sell or exchange all or any part of such Offered Securities as to which a Notice of Acceptance has not been given by the Purchaser (the “</w:t>
      </w:r>
      <w:r>
        <w:rPr>
          <w:rFonts w:ascii="Times New Roman;Times;Serif" w:hAnsi="Times New Roman;Times;Serif"/>
          <w:b w:val="false"/>
          <w:i w:val="false"/>
          <w:caps w:val="false"/>
          <w:smallCaps w:val="false"/>
          <w:color w:val="000000"/>
          <w:sz w:val="20"/>
          <w:u w:val="single"/>
        </w:rPr>
        <w:t>Refused Securities</w:t>
      </w:r>
      <w:r>
        <w:rPr>
          <w:rFonts w:ascii="Times New Roman;Times;Serif" w:hAnsi="Times New Roman;Times;Serif"/>
          <w:b w:val="false"/>
          <w:i w:val="false"/>
          <w:caps w:val="false"/>
          <w:smallCaps w:val="false"/>
          <w:color w:val="000000"/>
          <w:sz w:val="20"/>
        </w:rPr>
        <w:t>”) pursuant to a definitive agreement(s) (the “</w:t>
      </w:r>
      <w:r>
        <w:rPr>
          <w:rFonts w:ascii="Times New Roman;Times;Serif" w:hAnsi="Times New Roman;Times;Serif"/>
          <w:b w:val="false"/>
          <w:i w:val="false"/>
          <w:caps w:val="false"/>
          <w:smallCaps w:val="false"/>
          <w:color w:val="000000"/>
          <w:sz w:val="20"/>
          <w:u w:val="single"/>
        </w:rPr>
        <w:t>Subsequent Placement Agreement</w:t>
      </w:r>
      <w:r>
        <w:rPr>
          <w:rFonts w:ascii="Times New Roman;Times;Serif" w:hAnsi="Times New Roman;Times;Serif"/>
          <w:b w:val="false"/>
          <w:i w:val="false"/>
          <w:caps w:val="false"/>
          <w:smallCaps w:val="false"/>
          <w:color w:val="000000"/>
          <w:sz w:val="20"/>
        </w:rPr>
        <w:t xml:space="preserve">”) and (B) to publicly announce the execution of such Subsequent Placement Agreement. </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(c)    In the event the Company shall propose to sell less than all the Refused Securities (any such sale to be in the manner and on the terms specified in Section 4.13(b) above), then the Purchaser may, at its sole option and in its sole discretion, reduce the number or amount of the Offered Securities specified in its Notice of Acceptance to an amount that shall be not less than the number or amount of the Offered Securities that the Purchaser elected to purchase pursuant to Section 4.13(a) above multiplied by a fraction, (A) the numerator of which shall be the number or amount of Offered Securities the Company actually proposes to issue, sell or exchange and (B) the denominator of which shall be the original amount of the Offered Securities.  </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(d)    Upon the closing of the issuance, sale or exchange of all or less than all of the Refused Securities, the Purchaser shall acquire from the Company, and the Company shall issue to the Purchaser, the number or amount of Offered Securities specified in its Notice of Acceptance, as reduced pursuant to Section 4.13(c) above if the Purchaser has so elected, upon the terms and conditions specified in the Offer.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The purchase by the Purchaser of any Offered Securities is subject in all cases to the preparation, execution and delivery by the Company and the Purchaser of a separate purchase agreement relating to such Offered Securities reasonably satisfactory in form and substance to the Company and the Purchaser and its counsel. </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(e)    Notwithstanding anything to the contrary in this Section 4.13 and unless otherwise agreed to by the Purchaser, the Company shall either confirm in writing to the Purchaser that the transaction with respect to the Subsequent Placement has been abandoned or shall publicly disclose its intention to issue the Offered Securities, in either case, in such a manner such that the Purchaser will not be in possession of any material, non-public information, by the tenth (10th) business day following delivery of the Offer Notice.  If by such tenth (10th) business day, no public disclosure regarding a transaction with respect to the Offered Securities has been made, and no notice regarding the abandonment of such transaction has been received by the Purchaser, such transaction shall be deemed to have been abandoned and the Purchaser shall not be in possession of any material, non-public information with respect to the Company or any of its subsidiaries.  </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    The Company and each Purchaser agree that if any Purchaser elects to participate in the Subsequent Placement, the transaction documents related to the Subsequent Placement shall not include any term or provision whereby such Purchaser shall be required to consent to any amendment to or termination of, or grant any waiver, release or the like under or in connection with, this Agreement, without the prior written consent of such Purchaser.</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(g)    The restrictions contained in this Section 4.13 shall not apply in connection with any Exempt Issuance.  Furthermore, notwithstanding any provision in this Section 4.13, the Company shall not be obligated to take any action that would violate applicable securities laws.</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4.14    </w:t>
      </w:r>
      <w:r>
        <w:rPr>
          <w:rFonts w:ascii="Times New Roman;Times;Serif" w:hAnsi="Times New Roman;Times;Serif"/>
          <w:b w:val="false"/>
          <w:i w:val="false"/>
          <w:caps w:val="false"/>
          <w:smallCaps w:val="false"/>
          <w:color w:val="000000"/>
          <w:sz w:val="20"/>
          <w:u w:val="single"/>
        </w:rPr>
        <w:t>Registration Rights</w:t>
      </w:r>
      <w:r>
        <w:rPr>
          <w:rFonts w:ascii="Times New Roman;Times;Serif" w:hAnsi="Times New Roman;Times;Serif"/>
          <w:b w:val="false"/>
          <w:i w:val="false"/>
          <w:caps w:val="false"/>
          <w:smallCaps w:val="false"/>
          <w:color w:val="000000"/>
          <w:sz w:val="20"/>
        </w:rPr>
        <w:t>. The Company and the Purchaser are parties to a Registration Rights Agreement, dated as of October 15, 2021 (as amended from time to time, the “</w:t>
      </w:r>
      <w:r>
        <w:rPr>
          <w:rFonts w:ascii="Times New Roman;Times;Serif" w:hAnsi="Times New Roman;Times;Serif"/>
          <w:b w:val="false"/>
          <w:i w:val="false"/>
          <w:caps w:val="false"/>
          <w:smallCaps w:val="false"/>
          <w:color w:val="000000"/>
          <w:sz w:val="20"/>
          <w:u w:val="single"/>
        </w:rPr>
        <w:t>RRA</w:t>
      </w:r>
      <w:r>
        <w:rPr>
          <w:rFonts w:ascii="Times New Roman;Times;Serif" w:hAnsi="Times New Roman;Times;Serif"/>
          <w:b w:val="false"/>
          <w:i w:val="false"/>
          <w:caps w:val="false"/>
          <w:smallCaps w:val="false"/>
          <w:color w:val="000000"/>
          <w:sz w:val="20"/>
        </w:rPr>
        <w:t>”). In the event that the Purchaser (or its Affiliate) elects, after the date of this Agreement, to exercise any rights under the RRA in respect of Registrable Securities (as defined in the RRA) and desires to also include, in the transaction that is subject to such exercise, any shares of Common Stock acquired by the Purchaser (or its Affiliate) from the Company that are not Registrable Securities, the Company shall, upon the reasonable request of the Purchaser (or its Affiliate), cooperate in good faith with the Purchaser (or its Affiliate) and use commercially reasonable efforts (in each case, in a manner consistent with the terms of the RRA) to facilitate the inclusion of such shares in such transaction.</w:t>
      </w:r>
    </w:p>
    <w:p>
      <w:pPr>
        <w:pStyle w:val="TextBody"/>
        <w:bidi w:val="0"/>
        <w:spacing w:lineRule="auto" w:line="268" w:before="0" w:after="6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ARTICLE V.</w:t>
      </w:r>
    </w:p>
    <w:p>
      <w:pPr>
        <w:pStyle w:val="TextBody"/>
        <w:bidi w:val="0"/>
        <w:spacing w:lineRule="auto" w:line="268" w:before="0" w:after="3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MISCELLANEOUS</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5.1    </w:t>
      </w:r>
      <w:r>
        <w:rPr>
          <w:rFonts w:ascii="Times New Roman;Times;Serif" w:hAnsi="Times New Roman;Times;Serif"/>
          <w:b w:val="false"/>
          <w:i w:val="false"/>
          <w:caps w:val="false"/>
          <w:smallCaps w:val="false"/>
          <w:color w:val="000000"/>
          <w:sz w:val="20"/>
          <w:u w:val="single"/>
        </w:rPr>
        <w:t>Termination</w:t>
      </w:r>
      <w:r>
        <w:rPr>
          <w:rFonts w:ascii="Times New Roman;Times;Serif" w:hAnsi="Times New Roman;Times;Serif"/>
          <w:b w:val="false"/>
          <w:i w:val="false"/>
          <w:caps w:val="false"/>
          <w:smallCaps w:val="false"/>
          <w:color w:val="000000"/>
          <w:sz w:val="20"/>
        </w:rPr>
        <w:t>. This Agreement may be terminated by the Purchaser by written notice to the Company if (a) the Initial Closing has not been consummated on or before the fifth (5th) Trading Day following the date hereof or (b) the Subsequent Closing has not been consummated on or before the date that is the earlier of (i) the one-year anniversary of the date of this Agreement and (ii) 120 days after the Stockholder Meeting (if the requisite approvals are not received at such Stockholder Meeting held pursuant to Section 4.12); provided, however, that no such termination will affect the right of any party to sue for any breach by any other party (or parties).</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5.2    </w:t>
      </w:r>
      <w:r>
        <w:rPr>
          <w:rFonts w:ascii="Times New Roman;Times;Serif" w:hAnsi="Times New Roman;Times;Serif"/>
          <w:b w:val="false"/>
          <w:i w:val="false"/>
          <w:caps w:val="false"/>
          <w:smallCaps w:val="false"/>
          <w:color w:val="000000"/>
          <w:sz w:val="20"/>
          <w:u w:val="single"/>
        </w:rPr>
        <w:t>Fees and Expenses</w:t>
      </w:r>
      <w:r>
        <w:rPr>
          <w:rFonts w:ascii="Times New Roman;Times;Serif" w:hAnsi="Times New Roman;Times;Serif"/>
          <w:b w:val="false"/>
          <w:i w:val="false"/>
          <w:caps w:val="false"/>
          <w:smallCaps w:val="false"/>
          <w:color w:val="000000"/>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Securities to the Purchaser.</w:t>
      </w:r>
    </w:p>
    <w:p>
      <w:pPr>
        <w:pStyle w:val="TextBody"/>
        <w:bidi w:val="0"/>
        <w:spacing w:lineRule="auto" w:line="268" w:before="0" w:after="3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5.3    </w:t>
      </w:r>
      <w:r>
        <w:rPr>
          <w:rFonts w:ascii="Times New Roman;Times;Serif" w:hAnsi="Times New Roman;Times;Serif"/>
          <w:b w:val="false"/>
          <w:i w:val="false"/>
          <w:caps w:val="false"/>
          <w:smallCaps w:val="false"/>
          <w:color w:val="000000"/>
          <w:sz w:val="20"/>
          <w:u w:val="single"/>
        </w:rPr>
        <w:t>Entire Agreement</w:t>
      </w:r>
      <w:r>
        <w:rPr>
          <w:rFonts w:ascii="Times New Roman;Times;Serif" w:hAnsi="Times New Roman;Times;Serif"/>
          <w:b w:val="false"/>
          <w:i w:val="false"/>
          <w:caps w:val="false"/>
          <w:smallCaps w:val="false"/>
          <w:color w:val="000000"/>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5.4    </w:t>
      </w:r>
      <w:r>
        <w:rPr>
          <w:rFonts w:ascii="Times New Roman;Times;Serif" w:hAnsi="Times New Roman;Times;Serif"/>
          <w:b w:val="false"/>
          <w:i w:val="false"/>
          <w:caps w:val="false"/>
          <w:smallCaps w:val="false"/>
          <w:color w:val="000000"/>
          <w:sz w:val="20"/>
          <w:u w:val="single"/>
        </w:rPr>
        <w:t>Notices</w:t>
      </w:r>
      <w:r>
        <w:rPr>
          <w:rFonts w:ascii="Times New Roman;Times;Serif" w:hAnsi="Times New Roman;Times;Serif"/>
          <w:b w:val="false"/>
          <w:i w:val="false"/>
          <w:caps w:val="false"/>
          <w:smallCaps w:val="false"/>
          <w:color w:val="000000"/>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5.5    </w:t>
      </w:r>
      <w:r>
        <w:rPr>
          <w:rFonts w:ascii="Times New Roman;Times;Serif" w:hAnsi="Times New Roman;Times;Serif"/>
          <w:b w:val="false"/>
          <w:i w:val="false"/>
          <w:caps w:val="false"/>
          <w:smallCaps w:val="false"/>
          <w:color w:val="000000"/>
          <w:sz w:val="20"/>
          <w:u w:val="single"/>
        </w:rPr>
        <w:t>Amendments; Waivers</w:t>
      </w:r>
      <w:r>
        <w:rPr>
          <w:rFonts w:ascii="Times New Roman;Times;Serif" w:hAnsi="Times New Roman;Times;Serif"/>
          <w:b w:val="false"/>
          <w:i w:val="false"/>
          <w:caps w:val="false"/>
          <w:smallCaps w:val="false"/>
          <w:color w:val="000000"/>
          <w:sz w:val="20"/>
        </w:rPr>
        <w:t>. No provision of this Agreement may be waived, modified, supplemented or amended except in a written instrument signed, in the case of an amendment, by the Company and the Purchaser.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the Purchaser and holder of Securities and the Company.</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5.6    </w:t>
      </w:r>
      <w:r>
        <w:rPr>
          <w:rFonts w:ascii="Times New Roman;Times;Serif" w:hAnsi="Times New Roman;Times;Serif"/>
          <w:b w:val="false"/>
          <w:i w:val="false"/>
          <w:caps w:val="false"/>
          <w:smallCaps w:val="false"/>
          <w:color w:val="000000"/>
          <w:sz w:val="20"/>
          <w:u w:val="single"/>
        </w:rPr>
        <w:t>Headings</w:t>
      </w:r>
      <w:r>
        <w:rPr>
          <w:rFonts w:ascii="Times New Roman;Times;Serif" w:hAnsi="Times New Roman;Times;Serif"/>
          <w:b w:val="false"/>
          <w:i w:val="false"/>
          <w:caps w:val="false"/>
          <w:smallCaps w:val="false"/>
          <w:color w:val="000000"/>
          <w:sz w:val="20"/>
        </w:rPr>
        <w:t>. The headings herein are for convenience only, do not constitute a part of this Agreement and shall not be deemed to limit or affect any of the provisions hereof.</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5.7    </w:t>
      </w:r>
      <w:r>
        <w:rPr>
          <w:rFonts w:ascii="Times New Roman;Times;Serif" w:hAnsi="Times New Roman;Times;Serif"/>
          <w:b w:val="false"/>
          <w:i w:val="false"/>
          <w:caps w:val="false"/>
          <w:smallCaps w:val="false"/>
          <w:color w:val="000000"/>
          <w:sz w:val="20"/>
          <w:u w:val="single"/>
        </w:rPr>
        <w:t>Successors and Assigns</w:t>
      </w:r>
      <w:r>
        <w:rPr>
          <w:rFonts w:ascii="Times New Roman;Times;Serif" w:hAnsi="Times New Roman;Times;Serif"/>
          <w:b w:val="false"/>
          <w:i w:val="false"/>
          <w:caps w:val="false"/>
          <w:smallCaps w:val="false"/>
          <w:color w:val="000000"/>
          <w:sz w:val="20"/>
        </w:rPr>
        <w:t>. This Agreement shall be binding upon and inure to the benefit of the parties and their respective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the Purchaser assigns or transfers any Securities, provided that such transferee agrees in writing to be bound, with respect to the transferred Securities, by the provisions of the Transaction Documents that apply to the “Purchaser.”</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5.8    </w:t>
      </w:r>
      <w:r>
        <w:rPr>
          <w:rFonts w:ascii="Times New Roman;Times;Serif" w:hAnsi="Times New Roman;Times;Serif"/>
          <w:b w:val="false"/>
          <w:i w:val="false"/>
          <w:caps w:val="false"/>
          <w:smallCaps w:val="false"/>
          <w:color w:val="000000"/>
          <w:sz w:val="20"/>
          <w:u w:val="single"/>
        </w:rPr>
        <w:t>No Third-Party Beneficiaries</w:t>
      </w:r>
      <w:r>
        <w:rPr>
          <w:rFonts w:ascii="Times New Roman;Times;Serif" w:hAnsi="Times New Roman;Times;Serif"/>
          <w:b w:val="false"/>
          <w:i w:val="false"/>
          <w:caps w:val="false"/>
          <w:smallCaps w:val="false"/>
          <w:color w:val="000000"/>
          <w:sz w:val="20"/>
        </w:rPr>
        <w:t>. This Agreement is intended for the benefit of the parties hereto and their respective successors and permitted assigns and is not for the benefit of, nor may any provision hereof be enforced by, any other Person, except as otherwise set forth in Section 4.5.</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5.9    </w:t>
      </w:r>
      <w:r>
        <w:rPr>
          <w:rFonts w:ascii="Times New Roman;Times;Serif" w:hAnsi="Times New Roman;Times;Serif"/>
          <w:b w:val="false"/>
          <w:i w:val="false"/>
          <w:caps w:val="false"/>
          <w:smallCaps w:val="false"/>
          <w:color w:val="000000"/>
          <w:sz w:val="20"/>
          <w:u w:val="single"/>
        </w:rPr>
        <w:t>Governing Law</w:t>
      </w:r>
      <w:r>
        <w:rPr>
          <w:rFonts w:ascii="Times New Roman;Times;Serif" w:hAnsi="Times New Roman;Times;Serif"/>
          <w:b w:val="false"/>
          <w:i w:val="false"/>
          <w:caps w:val="false"/>
          <w:smallCaps w:val="false"/>
          <w:color w:val="000000"/>
          <w:sz w:val="20"/>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w:t>
      </w:r>
    </w:p>
    <w:p>
      <w:pPr>
        <w:pStyle w:val="TextBody"/>
        <w:bidi w:val="0"/>
        <w:jc w:val="both"/>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5.10    </w:t>
      </w:r>
      <w:r>
        <w:rPr>
          <w:rFonts w:ascii="Times New Roman;Times;Serif" w:hAnsi="Times New Roman;Times;Serif"/>
          <w:b w:val="false"/>
          <w:i w:val="false"/>
          <w:caps w:val="false"/>
          <w:smallCaps w:val="false"/>
          <w:color w:val="000000"/>
          <w:sz w:val="20"/>
          <w:u w:val="single"/>
        </w:rPr>
        <w:t>Survival</w:t>
      </w:r>
      <w:r>
        <w:rPr>
          <w:rFonts w:ascii="Times New Roman;Times;Serif" w:hAnsi="Times New Roman;Times;Serif"/>
          <w:b w:val="false"/>
          <w:i w:val="false"/>
          <w:caps w:val="false"/>
          <w:smallCaps w:val="false"/>
          <w:color w:val="000000"/>
          <w:sz w:val="20"/>
        </w:rPr>
        <w:t>. The representations and warranties contained herein shall survive the Initial Closing for a period of six (6) years.</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5.11    </w:t>
      </w:r>
      <w:r>
        <w:rPr>
          <w:rFonts w:ascii="Times New Roman;Times;Serif" w:hAnsi="Times New Roman;Times;Serif"/>
          <w:b w:val="false"/>
          <w:i w:val="false"/>
          <w:caps w:val="false"/>
          <w:smallCaps w:val="false"/>
          <w:color w:val="000000"/>
          <w:sz w:val="20"/>
          <w:u w:val="single"/>
        </w:rPr>
        <w:t>Execution</w:t>
      </w:r>
      <w:r>
        <w:rPr>
          <w:rFonts w:ascii="Times New Roman;Times;Serif" w:hAnsi="Times New Roman;Times;Serif"/>
          <w:b w:val="false"/>
          <w:i w:val="false"/>
          <w:caps w:val="false"/>
          <w:smallCaps w:val="false"/>
          <w:color w:val="000000"/>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or any electronic signature complying with the U.S. federal ESIGN Act of 2000, the Uniform Electronic Transactions Act, or other applicable law (e.g., www.docusign.com), such signature shall create a valid and binding obligation of the party executing (or on whose behalf such signature is executed) with the same force and effect as if such facsimile or “.pdf” signature page were an original thereof. Notwithstanding anything to the contrary contained herein, upon the request of any Purchaser, the Company shall deliver “wet ink” originals of each Warrant, which shall not contain any electronic signatures.</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5.12    </w:t>
      </w:r>
      <w:r>
        <w:rPr>
          <w:rFonts w:ascii="Times New Roman;Times;Serif" w:hAnsi="Times New Roman;Times;Serif"/>
          <w:b w:val="false"/>
          <w:i w:val="false"/>
          <w:caps w:val="false"/>
          <w:smallCaps w:val="false"/>
          <w:color w:val="000000"/>
          <w:sz w:val="20"/>
          <w:u w:val="single"/>
        </w:rPr>
        <w:t>Severability</w:t>
      </w:r>
      <w:r>
        <w:rPr>
          <w:rFonts w:ascii="Times New Roman;Times;Serif" w:hAnsi="Times New Roman;Times;Serif"/>
          <w:b w:val="false"/>
          <w:i w:val="false"/>
          <w:caps w:val="false"/>
          <w:smallCaps w:val="false"/>
          <w:color w:val="000000"/>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5.13    </w:t>
      </w:r>
      <w:r>
        <w:rPr>
          <w:rFonts w:ascii="Times New Roman;Times;Serif" w:hAnsi="Times New Roman;Times;Serif"/>
          <w:b w:val="false"/>
          <w:i w:val="false"/>
          <w:caps w:val="false"/>
          <w:smallCaps w:val="false"/>
          <w:color w:val="000000"/>
          <w:sz w:val="20"/>
          <w:u w:val="single"/>
        </w:rPr>
        <w:t>Replacement of Securities</w:t>
      </w:r>
      <w:r>
        <w:rPr>
          <w:rFonts w:ascii="Times New Roman;Times;Serif" w:hAnsi="Times New Roman;Times;Serif"/>
          <w:b w:val="false"/>
          <w:i w:val="false"/>
          <w:caps w:val="false"/>
          <w:smallCaps w:val="false"/>
          <w:color w:val="000000"/>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5.14    </w:t>
      </w:r>
      <w:r>
        <w:rPr>
          <w:rFonts w:ascii="Times New Roman;Times;Serif" w:hAnsi="Times New Roman;Times;Serif"/>
          <w:b w:val="false"/>
          <w:i w:val="false"/>
          <w:caps w:val="false"/>
          <w:smallCaps w:val="false"/>
          <w:color w:val="000000"/>
          <w:sz w:val="20"/>
          <w:u w:val="single"/>
        </w:rPr>
        <w:t>Remedies</w:t>
      </w:r>
      <w:r>
        <w:rPr>
          <w:rFonts w:ascii="Times New Roman;Times;Serif" w:hAnsi="Times New Roman;Times;Serif"/>
          <w:b w:val="false"/>
          <w:i w:val="false"/>
          <w:caps w:val="false"/>
          <w:smallCaps w:val="false"/>
          <w:color w:val="000000"/>
          <w:sz w:val="20"/>
        </w:rPr>
        <w:t>. In addition to being entitled to exercise all rights provided herein or granted by law, including recovery of damages,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5.15    </w:t>
      </w:r>
      <w:r>
        <w:rPr>
          <w:rFonts w:ascii="Times New Roman;Times;Serif" w:hAnsi="Times New Roman;Times;Serif"/>
          <w:b w:val="false"/>
          <w:i w:val="false"/>
          <w:caps w:val="false"/>
          <w:smallCaps w:val="false"/>
          <w:color w:val="000000"/>
          <w:sz w:val="20"/>
          <w:u w:val="single"/>
        </w:rPr>
        <w:t>Liquidated Damages</w:t>
      </w:r>
      <w:r>
        <w:rPr>
          <w:rFonts w:ascii="Times New Roman;Times;Serif" w:hAnsi="Times New Roman;Times;Serif"/>
          <w:b w:val="false"/>
          <w:i w:val="false"/>
          <w:caps w:val="false"/>
          <w:smallCaps w:val="false"/>
          <w:color w:val="000000"/>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5.16    </w:t>
      </w:r>
      <w:r>
        <w:rPr>
          <w:rFonts w:ascii="Times New Roman;Times;Serif" w:hAnsi="Times New Roman;Times;Serif"/>
          <w:b w:val="false"/>
          <w:i w:val="false"/>
          <w:caps w:val="false"/>
          <w:smallCaps w:val="false"/>
          <w:color w:val="000000"/>
          <w:sz w:val="20"/>
          <w:u w:val="single"/>
        </w:rPr>
        <w:t>Construction</w:t>
      </w:r>
      <w:r>
        <w:rPr>
          <w:rFonts w:ascii="Times New Roman;Times;Serif" w:hAnsi="Times New Roman;Times;Serif"/>
          <w:b w:val="false"/>
          <w:i w:val="false"/>
          <w:caps w:val="false"/>
          <w:smallCaps w:val="false"/>
          <w:color w:val="000000"/>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283"/>
        <w:jc w:val="left"/>
        <w:rPr/>
      </w:pPr>
      <w:r>
        <w:rPr/>
        <w:t> </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5.17    </w:t>
      </w:r>
      <w:r>
        <w:rPr>
          <w:rFonts w:ascii="Times New Roman;Times;Serif" w:hAnsi="Times New Roman;Times;Serif"/>
          <w:b/>
          <w:i w:val="false"/>
          <w:caps w:val="false"/>
          <w:smallCaps w:val="false"/>
          <w:color w:val="000000"/>
          <w:sz w:val="20"/>
          <w:u w:val="single"/>
        </w:rPr>
        <w:t>WAIVER OF JURY TRIAL</w:t>
      </w:r>
      <w:r>
        <w:rPr>
          <w:rFonts w:ascii="Times New Roman;Times;Serif" w:hAnsi="Times New Roman;Times;Serif"/>
          <w:b/>
          <w:i w:val="false"/>
          <w:caps w:val="false"/>
          <w:smallCaps w:val="false"/>
          <w:color w:val="000000"/>
          <w:sz w:val="20"/>
        </w:rPr>
        <w:t xml:space="preserve">. </w:t>
      </w:r>
      <w:r>
        <w:rPr>
          <w:rFonts w:ascii="Times New Roman;Times;Serif" w:hAnsi="Times New Roman;Times;Serif"/>
          <w:b/>
          <w:i w:val="false"/>
          <w:caps w:val="false"/>
          <w:smallCaps w:val="false"/>
          <w:color w:val="000000"/>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jc w:val="both"/>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(Signature Pages Follow)</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ind w:left="0" w:right="0" w:firstLine="1296"/>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WITNESS WHEREOF, the undersigned has caused this Securities Purchase Agreement to be duly executed by its authorized signatory as of the date first indicated above.</w:t>
      </w:r>
    </w:p>
    <w:p>
      <w:pPr>
        <w:pStyle w:val="TextBody"/>
        <w:bidi w:val="0"/>
        <w:spacing w:before="0" w:after="283"/>
        <w:jc w:val="left"/>
        <w:rPr/>
      </w:pPr>
      <w:r>
        <w:rPr/>
        <w:t> </w:t>
      </w:r>
    </w:p>
    <w:p>
      <w:pPr>
        <w:pStyle w:val="TextBody"/>
        <w:bidi w:val="0"/>
        <w:ind w:left="0" w:right="0" w:firstLine="720"/>
        <w:jc w:val="both"/>
        <w:rPr/>
      </w:pPr>
      <w:r>
        <w:rPr/>
        <w:t> </w:t>
      </w:r>
    </w:p>
    <w:tbl>
      <w:tblPr>
        <w:tblW w:w="7353" w:type="dxa"/>
        <w:jc w:val="left"/>
        <w:tblInd w:w="0" w:type="dxa"/>
        <w:tblLayout w:type="fixed"/>
        <w:tblCellMar>
          <w:top w:w="28" w:type="dxa"/>
          <w:left w:w="28" w:type="dxa"/>
          <w:bottom w:w="28" w:type="dxa"/>
          <w:right w:w="28" w:type="dxa"/>
        </w:tblCellMar>
      </w:tblPr>
      <w:tblGrid>
        <w:gridCol w:w="417"/>
        <w:gridCol w:w="378"/>
        <w:gridCol w:w="378"/>
        <w:gridCol w:w="1860"/>
        <w:gridCol w:w="1860"/>
        <w:gridCol w:w="2460"/>
      </w:tblGrid>
      <w:tr>
        <w:trPr/>
        <w:tc>
          <w:tcPr>
            <w:tcW w:w="417"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1860" w:type="dxa"/>
            <w:tcBorders/>
            <w:vAlign w:val="center"/>
          </w:tcPr>
          <w:p>
            <w:pPr>
              <w:pStyle w:val="TableContents"/>
              <w:bidi w:val="0"/>
              <w:spacing w:before="0" w:after="283"/>
              <w:jc w:val="left"/>
              <w:rPr/>
            </w:pPr>
            <w:r>
              <w:rPr/>
              <w:t> </w:t>
            </w:r>
          </w:p>
        </w:tc>
        <w:tc>
          <w:tcPr>
            <w:tcW w:w="1860" w:type="dxa"/>
            <w:tcBorders/>
            <w:vAlign w:val="center"/>
          </w:tcPr>
          <w:p>
            <w:pPr>
              <w:pStyle w:val="TableContents"/>
              <w:bidi w:val="0"/>
              <w:spacing w:before="0" w:after="283"/>
              <w:jc w:val="left"/>
              <w:rPr/>
            </w:pPr>
            <w:r>
              <w:rPr/>
              <w:t> </w:t>
            </w:r>
          </w:p>
        </w:tc>
        <w:tc>
          <w:tcPr>
            <w:tcW w:w="2460" w:type="dxa"/>
            <w:tcBorders/>
            <w:vAlign w:val="center"/>
          </w:tcPr>
          <w:p>
            <w:pPr>
              <w:pStyle w:val="TableContents"/>
              <w:bidi w:val="0"/>
              <w:spacing w:before="0" w:after="283"/>
              <w:jc w:val="left"/>
              <w:rPr/>
            </w:pPr>
            <w:r>
              <w:rPr/>
              <w:t> </w:t>
            </w:r>
          </w:p>
        </w:tc>
      </w:tr>
      <w:tr>
        <w:trPr/>
        <w:tc>
          <w:tcPr>
            <w:tcW w:w="73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color w:val="000000"/>
                <w:sz w:val="20"/>
              </w:rPr>
            </w:pPr>
            <w:r>
              <w:rPr>
                <w:rFonts w:ascii="Times New Roman;Times;Serif" w:hAnsi="Times New Roman;Times;Serif"/>
                <w:b/>
                <w:color w:val="000000"/>
                <w:sz w:val="20"/>
              </w:rPr>
              <w:t>BAKKT HOLDINGS, INC.</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18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By:</w:t>
            </w:r>
          </w:p>
        </w:tc>
        <w:tc>
          <w:tcPr>
            <w:tcW w:w="6180" w:type="dxa"/>
            <w:gridSpan w:val="3"/>
            <w:tcBorders/>
            <w:tcMar>
              <w:top w:w="0" w:type="dxa"/>
              <w:left w:w="0" w:type="dxa"/>
              <w:bottom w:w="0" w:type="dxa"/>
              <w:right w:w="0" w:type="dxa"/>
            </w:tcMar>
            <w:vAlign w:val="center"/>
          </w:tcPr>
          <w:p>
            <w:pPr>
              <w:pStyle w:val="TableContents"/>
              <w:bidi w:val="0"/>
              <w:spacing w:before="0" w:after="283"/>
              <w:jc w:val="left"/>
              <w:rPr/>
            </w:pPr>
            <w:r>
              <w:rPr/>
              <w:t>/s/ Gavin Michael</w:t>
            </w:r>
          </w:p>
        </w:tc>
      </w:tr>
      <w:tr>
        <w:trPr/>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Name:</w:t>
            </w:r>
          </w:p>
        </w:tc>
        <w:tc>
          <w:tcPr>
            <w:tcW w:w="6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Gavin Michael</w:t>
            </w:r>
          </w:p>
        </w:tc>
      </w:tr>
      <w:tr>
        <w:trPr/>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Title:</w:t>
            </w:r>
          </w:p>
        </w:tc>
        <w:tc>
          <w:tcPr>
            <w:tcW w:w="618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CEO</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18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18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180" w:type="dxa"/>
            <w:gridSpan w:val="3"/>
            <w:tcBorders/>
            <w:tcMar>
              <w:top w:w="0" w:type="dxa"/>
              <w:left w:w="0" w:type="dxa"/>
              <w:bottom w:w="0" w:type="dxa"/>
              <w:right w:w="0" w:type="dxa"/>
            </w:tcMar>
            <w:vAlign w:val="center"/>
          </w:tcPr>
          <w:p>
            <w:pPr>
              <w:pStyle w:val="TableContents"/>
              <w:bidi w:val="0"/>
              <w:spacing w:before="0" w:after="283"/>
              <w:jc w:val="left"/>
              <w:rPr>
                <w:u w:val="single"/>
              </w:rPr>
            </w:pPr>
            <w:r>
              <w:rPr>
                <w:u w:val="single"/>
              </w:rPr>
              <w:t>Address for Notice:</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18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180" w:type="dxa"/>
            <w:gridSpan w:val="3"/>
            <w:tcBorders/>
            <w:tcMar>
              <w:top w:w="0" w:type="dxa"/>
              <w:left w:w="0" w:type="dxa"/>
              <w:bottom w:w="0" w:type="dxa"/>
              <w:right w:w="0" w:type="dxa"/>
            </w:tcMar>
            <w:vAlign w:val="center"/>
          </w:tcPr>
          <w:p>
            <w:pPr>
              <w:pStyle w:val="TableContents"/>
              <w:bidi w:val="0"/>
              <w:jc w:val="left"/>
              <w:rPr/>
            </w:pPr>
            <w:r>
              <w:rPr/>
              <w:t>1000 Avalon Boulevard, Suite 1000 Alpharetta, Georgia 30009</w:t>
            </w:r>
          </w:p>
          <w:p>
            <w:pPr>
              <w:pStyle w:val="TableContents"/>
              <w:bidi w:val="0"/>
              <w:spacing w:before="0" w:after="283"/>
              <w:jc w:val="left"/>
              <w:rPr/>
            </w:pPr>
            <w:r>
              <w:rPr/>
              <w:t>E-mail: legal-notices@bakkt.com</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18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18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180" w:type="dxa"/>
            <w:gridSpan w:val="3"/>
            <w:tcBorders/>
            <w:tcMar>
              <w:top w:w="0" w:type="dxa"/>
              <w:left w:w="0" w:type="dxa"/>
              <w:bottom w:w="0" w:type="dxa"/>
              <w:right w:w="0" w:type="dxa"/>
            </w:tcMar>
            <w:vAlign w:val="center"/>
          </w:tcPr>
          <w:p>
            <w:pPr>
              <w:pStyle w:val="TableContents"/>
              <w:bidi w:val="0"/>
              <w:spacing w:before="0" w:after="283"/>
              <w:jc w:val="left"/>
              <w:rPr>
                <w:u w:val="single"/>
              </w:rPr>
            </w:pPr>
            <w:r>
              <w:rPr>
                <w:u w:val="single"/>
              </w:rPr>
              <w:t>With a copy to (which shall not constitute notice):</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18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180" w:type="dxa"/>
            <w:gridSpan w:val="3"/>
            <w:tcBorders/>
            <w:tcMar>
              <w:top w:w="0" w:type="dxa"/>
              <w:left w:w="0" w:type="dxa"/>
              <w:bottom w:w="0" w:type="dxa"/>
              <w:right w:w="0" w:type="dxa"/>
            </w:tcMar>
            <w:vAlign w:val="center"/>
          </w:tcPr>
          <w:p>
            <w:pPr>
              <w:pStyle w:val="TableContents"/>
              <w:bidi w:val="0"/>
              <w:jc w:val="left"/>
              <w:rPr/>
            </w:pPr>
            <w:r>
              <w:rPr/>
              <w:t>Wilson Sonsini Goodrich &amp; Rosati,</w:t>
            </w:r>
          </w:p>
          <w:p>
            <w:pPr>
              <w:pStyle w:val="TableContents"/>
              <w:bidi w:val="0"/>
              <w:jc w:val="left"/>
              <w:rPr/>
            </w:pPr>
            <w:r>
              <w:rPr/>
              <w:t>Professional Corporation</w:t>
            </w:r>
          </w:p>
          <w:p>
            <w:pPr>
              <w:pStyle w:val="TableContents"/>
              <w:bidi w:val="0"/>
              <w:jc w:val="left"/>
              <w:rPr/>
            </w:pPr>
            <w:r>
              <w:rPr/>
              <w:t>650 Page Mill Road</w:t>
            </w:r>
          </w:p>
          <w:p>
            <w:pPr>
              <w:pStyle w:val="TableContents"/>
              <w:bidi w:val="0"/>
              <w:jc w:val="left"/>
              <w:rPr/>
            </w:pPr>
            <w:r>
              <w:rPr/>
              <w:t>Palo Alto, CA 94304</w:t>
            </w:r>
          </w:p>
          <w:p>
            <w:pPr>
              <w:pStyle w:val="TableContents"/>
              <w:bidi w:val="0"/>
              <w:jc w:val="left"/>
              <w:rPr/>
            </w:pPr>
            <w:r>
              <w:rPr/>
              <w:t>Attn: J. Matthew Lyons</w:t>
            </w:r>
          </w:p>
          <w:p>
            <w:pPr>
              <w:pStyle w:val="TableContents"/>
              <w:bidi w:val="0"/>
              <w:spacing w:before="0" w:after="283"/>
              <w:jc w:val="left"/>
              <w:rPr/>
            </w:pPr>
            <w:r>
              <w:rPr/>
              <w:t>Email: mlyons@wsgr.com</w:t>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18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1296"/>
        <w:jc w:val="both"/>
        <w:rPr/>
      </w:pPr>
      <w:r>
        <w:rPr/>
        <w:t> </w:t>
      </w:r>
    </w:p>
    <w:p>
      <w:pPr>
        <w:pStyle w:val="TextBody"/>
        <w:bidi w:val="0"/>
        <w:jc w:val="both"/>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[REMAINDER OF PAGE INTENTIONALLY LEFT BLANK</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SIGNATURE PAGE FOR PURCHASER FOLLOWS]</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[PURCHASER SIGNATURE PAGE TO SECURITIES PURCHASE AGREEMENT]</w:t>
      </w:r>
    </w:p>
    <w:p>
      <w:pPr>
        <w:pStyle w:val="TextBody"/>
        <w:bidi w:val="0"/>
        <w:jc w:val="center"/>
        <w:rPr/>
      </w:pPr>
      <w:r>
        <w:rPr/>
        <w:t> </w:t>
      </w:r>
    </w:p>
    <w:p>
      <w:pPr>
        <w:pStyle w:val="TextBody"/>
        <w:bidi w:val="0"/>
        <w:spacing w:before="0" w:after="283"/>
        <w:jc w:val="left"/>
        <w:rPr/>
      </w:pPr>
      <w:r>
        <w:rPr/>
        <w:t> </w:t>
      </w:r>
    </w:p>
    <w:p>
      <w:pPr>
        <w:pStyle w:val="TextBody"/>
        <w:bidi w:val="0"/>
        <w:spacing w:lineRule="auto" w:line="240"/>
        <w:ind w:left="0" w:right="0" w:firstLine="64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WITNESS WHEREOF, the undersigned has caused this Securities Purchase Agreement to be duly executed by its authorized signatory as of the date first indicated above.</w:t>
      </w:r>
    </w:p>
    <w:p>
      <w:pPr>
        <w:pStyle w:val="TextBody"/>
        <w:bidi w:val="0"/>
        <w:ind w:left="0" w:right="0" w:firstLine="648"/>
        <w:jc w:val="both"/>
        <w:rPr/>
      </w:pPr>
      <w:r>
        <w:rPr/>
        <w:t> </w:t>
      </w:r>
    </w:p>
    <w:p>
      <w:pPr>
        <w:pStyle w:val="TextBody"/>
        <w:bidi w:val="0"/>
        <w:spacing w:before="0" w:after="283"/>
        <w:jc w:val="left"/>
        <w:rPr/>
      </w:pPr>
      <w:r>
        <w:rPr/>
        <w:t> </w:t>
      </w:r>
    </w:p>
    <w:tbl>
      <w:tblPr>
        <w:tblW w:w="8486" w:type="dxa"/>
        <w:jc w:val="left"/>
        <w:tblInd w:w="0" w:type="dxa"/>
        <w:tblLayout w:type="fixed"/>
        <w:tblCellMar>
          <w:top w:w="28" w:type="dxa"/>
          <w:left w:w="28" w:type="dxa"/>
          <w:bottom w:w="28" w:type="dxa"/>
          <w:right w:w="28" w:type="dxa"/>
        </w:tblCellMar>
      </w:tblPr>
      <w:tblGrid>
        <w:gridCol w:w="1603"/>
        <w:gridCol w:w="1453"/>
        <w:gridCol w:w="1455"/>
        <w:gridCol w:w="160"/>
        <w:gridCol w:w="160"/>
        <w:gridCol w:w="160"/>
        <w:gridCol w:w="1056"/>
        <w:gridCol w:w="1056"/>
        <w:gridCol w:w="1383"/>
      </w:tblGrid>
      <w:tr>
        <w:trPr/>
        <w:tc>
          <w:tcPr>
            <w:tcW w:w="1603" w:type="dxa"/>
            <w:tcBorders/>
            <w:vAlign w:val="center"/>
          </w:tcPr>
          <w:p>
            <w:pPr>
              <w:pStyle w:val="TableContents"/>
              <w:bidi w:val="0"/>
              <w:spacing w:before="0" w:after="283"/>
              <w:jc w:val="left"/>
              <w:rPr/>
            </w:pPr>
            <w:r>
              <w:rPr/>
              <w:t> </w:t>
            </w:r>
          </w:p>
        </w:tc>
        <w:tc>
          <w:tcPr>
            <w:tcW w:w="1453" w:type="dxa"/>
            <w:tcBorders/>
            <w:vAlign w:val="center"/>
          </w:tcPr>
          <w:p>
            <w:pPr>
              <w:pStyle w:val="TableContents"/>
              <w:bidi w:val="0"/>
              <w:spacing w:before="0" w:after="283"/>
              <w:jc w:val="left"/>
              <w:rPr/>
            </w:pPr>
            <w:r>
              <w:rPr/>
              <w:t> </w:t>
            </w:r>
          </w:p>
        </w:tc>
        <w:tc>
          <w:tcPr>
            <w:tcW w:w="145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1383" w:type="dxa"/>
            <w:tcBorders/>
            <w:vAlign w:val="center"/>
          </w:tcPr>
          <w:p>
            <w:pPr>
              <w:pStyle w:val="TableContents"/>
              <w:bidi w:val="0"/>
              <w:spacing w:before="0" w:after="283"/>
              <w:jc w:val="left"/>
              <w:rPr/>
            </w:pPr>
            <w:r>
              <w:rPr/>
              <w:t> </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Name of Purchaser:</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Intercontinental Exchange Holdings, Inc.</w:t>
            </w:r>
          </w:p>
        </w:tc>
      </w:tr>
      <w:tr>
        <w:trPr/>
        <w:tc>
          <w:tcPr>
            <w:tcW w:w="45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i/>
                <w:color w:val="000000"/>
                <w:sz w:val="20"/>
              </w:rPr>
            </w:pPr>
            <w:r>
              <w:rPr>
                <w:rFonts w:ascii="Times New Roman;Times;Serif" w:hAnsi="Times New Roman;Times;Serif"/>
                <w:b w:val="false"/>
                <w:i/>
                <w:color w:val="000000"/>
                <w:sz w:val="20"/>
              </w:rPr>
              <w:t>Signature of Authorized Signatory of Purchaser:</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cMar>
              <w:top w:w="0" w:type="dxa"/>
              <w:left w:w="0" w:type="dxa"/>
              <w:bottom w:w="0" w:type="dxa"/>
              <w:right w:w="0" w:type="dxa"/>
            </w:tcMar>
            <w:vAlign w:val="center"/>
          </w:tcPr>
          <w:p>
            <w:pPr>
              <w:pStyle w:val="TableContents"/>
              <w:bidi w:val="0"/>
              <w:spacing w:before="0" w:after="283"/>
              <w:jc w:val="left"/>
              <w:rPr/>
            </w:pPr>
            <w:r>
              <w:rPr/>
              <w:t>/s/ Andrew J. Surdykowski</w:t>
            </w:r>
          </w:p>
        </w:tc>
      </w:tr>
      <w:tr>
        <w:trPr/>
        <w:tc>
          <w:tcPr>
            <w:tcW w:w="45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Name of Authorized Signatory:</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cMar>
              <w:top w:w="0" w:type="dxa"/>
              <w:left w:w="0" w:type="dxa"/>
              <w:bottom w:w="0" w:type="dxa"/>
              <w:right w:w="0" w:type="dxa"/>
            </w:tcMar>
            <w:vAlign w:val="center"/>
          </w:tcPr>
          <w:p>
            <w:pPr>
              <w:pStyle w:val="TableContents"/>
              <w:bidi w:val="0"/>
              <w:spacing w:before="0" w:after="283"/>
              <w:jc w:val="left"/>
              <w:rPr/>
            </w:pPr>
            <w:r>
              <w:rPr/>
              <w:t>Andrew J. Surdykowski</w:t>
            </w:r>
          </w:p>
        </w:tc>
      </w:tr>
      <w:tr>
        <w:trPr/>
        <w:tc>
          <w:tcPr>
            <w:tcW w:w="45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Title of Authorized Signatory:</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cMar>
              <w:top w:w="0" w:type="dxa"/>
              <w:left w:w="0" w:type="dxa"/>
              <w:bottom w:w="0" w:type="dxa"/>
              <w:right w:w="0" w:type="dxa"/>
            </w:tcMar>
            <w:vAlign w:val="center"/>
          </w:tcPr>
          <w:p>
            <w:pPr>
              <w:pStyle w:val="TableContents"/>
              <w:bidi w:val="0"/>
              <w:spacing w:before="0" w:after="283"/>
              <w:jc w:val="left"/>
              <w:rPr/>
            </w:pPr>
            <w:r>
              <w:rPr/>
              <w:t>General Counsel</w:t>
            </w:r>
          </w:p>
        </w:tc>
      </w:tr>
      <w:tr>
        <w:trPr/>
        <w:tc>
          <w:tcPr>
            <w:tcW w:w="45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Email Address of Authorized Signatory:</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cMar>
              <w:top w:w="0" w:type="dxa"/>
              <w:left w:w="0" w:type="dxa"/>
              <w:bottom w:w="0" w:type="dxa"/>
              <w:right w:w="0" w:type="dxa"/>
            </w:tcMar>
            <w:vAlign w:val="center"/>
          </w:tcPr>
          <w:p>
            <w:pPr>
              <w:pStyle w:val="TableContents"/>
              <w:bidi w:val="0"/>
              <w:spacing w:before="0" w:after="283"/>
              <w:jc w:val="left"/>
              <w:rPr/>
            </w:pPr>
            <w:r>
              <w:rPr/>
              <w:t>Andrew.Surdykowski@ice.com</w:t>
            </w:r>
          </w:p>
        </w:tc>
      </w:tr>
      <w:tr>
        <w:trPr/>
        <w:tc>
          <w:tcPr>
            <w:tcW w:w="45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Address for Notice to Purchaser:</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cMar>
              <w:top w:w="0" w:type="dxa"/>
              <w:left w:w="0" w:type="dxa"/>
              <w:bottom w:w="0" w:type="dxa"/>
              <w:right w:w="0" w:type="dxa"/>
            </w:tcMar>
            <w:vAlign w:val="center"/>
          </w:tcPr>
          <w:p>
            <w:pPr>
              <w:pStyle w:val="TableContents"/>
              <w:bidi w:val="0"/>
              <w:jc w:val="left"/>
              <w:rPr/>
            </w:pPr>
            <w:r>
              <w:rPr/>
              <w:t>Intercontinental Exchange, Inc.</w:t>
            </w:r>
          </w:p>
          <w:p>
            <w:pPr>
              <w:pStyle w:val="TableContents"/>
              <w:bidi w:val="0"/>
              <w:jc w:val="left"/>
              <w:rPr/>
            </w:pPr>
            <w:r>
              <w:rPr/>
              <w:t>5560 New Northside Drive</w:t>
            </w:r>
          </w:p>
          <w:p>
            <w:pPr>
              <w:pStyle w:val="TableContents"/>
              <w:bidi w:val="0"/>
              <w:jc w:val="left"/>
              <w:rPr/>
            </w:pPr>
            <w:r>
              <w:rPr/>
              <w:t>Atlanta, GA 30328</w:t>
            </w:r>
          </w:p>
          <w:p>
            <w:pPr>
              <w:pStyle w:val="TableContents"/>
              <w:bidi w:val="0"/>
              <w:jc w:val="left"/>
              <w:rPr/>
            </w:pPr>
            <w:r>
              <w:rPr/>
              <w:t>Attention: General Counsel</w:t>
            </w:r>
          </w:p>
          <w:p>
            <w:pPr>
              <w:pStyle w:val="TableContents"/>
              <w:bidi w:val="0"/>
              <w:spacing w:before="0" w:after="283"/>
              <w:jc w:val="left"/>
              <w:rPr/>
            </w:pPr>
            <w:r>
              <w:rPr/>
              <w:t>Email: legal-notices@theice.com</w:t>
            </w:r>
          </w:p>
        </w:tc>
      </w:tr>
      <w:tr>
        <w:trPr/>
        <w:tc>
          <w:tcPr>
            <w:tcW w:w="45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99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Address for Delivery of Warrants to Purchaser (if not same as</w:t>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address for notice):</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Subscription Amount: $</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cMar>
              <w:top w:w="0" w:type="dxa"/>
              <w:left w:w="0" w:type="dxa"/>
              <w:bottom w:w="0" w:type="dxa"/>
              <w:right w:w="0" w:type="dxa"/>
            </w:tcMar>
            <w:vAlign w:val="center"/>
          </w:tcPr>
          <w:p>
            <w:pPr>
              <w:pStyle w:val="TableContents"/>
              <w:bidi w:val="0"/>
              <w:spacing w:before="0" w:after="283"/>
              <w:jc w:val="left"/>
              <w:rPr/>
            </w:pPr>
            <w:r>
              <w:rPr/>
              <w:t>$9,999,999.68</w:t>
            </w:r>
          </w:p>
        </w:tc>
      </w:tr>
      <w:tr>
        <w:trPr/>
        <w:tc>
          <w:tcPr>
            <w:tcW w:w="451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EIN Number:</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pPr>
            <w:r>
              <w:rPr/>
              <w:t>58-2555670</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jc w:val="both"/>
        <w:rPr>
          <w:color w:val="000000"/>
        </w:rPr>
      </w:pPr>
      <w:r>
        <w:rPr>
          <w:color w:val="000000"/>
        </w:rPr>
        <w:t xml:space="preserve">☐ </w:t>
      </w:r>
      <w:r>
        <w:rPr>
          <w:rFonts w:ascii="Times New Roman;Times;Serif" w:hAnsi="Times New Roman;Times;Serif"/>
          <w:b w:val="false"/>
          <w:color w:val="000000"/>
          <w:sz w:val="20"/>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Initial Closing shall occur by the second (2nd) Trading Day following the date of this Agreement, (iii) the Subsequent Closing shall occur promptly after Stockholder Approval, and (iv)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Initial Closing Date.</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Schedule 1</w:t>
      </w:r>
    </w:p>
    <w:p>
      <w:pPr>
        <w:pStyle w:val="TextBody"/>
        <w:bidi w:val="0"/>
        <w:jc w:val="center"/>
        <w:rPr/>
      </w:pPr>
      <w:r>
        <w:rPr/>
        <w:t> </w:t>
      </w:r>
    </w:p>
    <w:p>
      <w:pPr>
        <w:pStyle w:val="TextBody"/>
        <w:bidi w:val="0"/>
        <w:spacing w:lineRule="auto" w:line="240"/>
        <w:jc w:val="left"/>
        <w:rPr>
          <w:rFonts w:ascii="Times New Roman;Times;Serif" w:hAnsi="Times New Roman;Times;Serif"/>
          <w:b w:val="false"/>
          <w:i w:val="false"/>
          <w:caps w:val="false"/>
          <w:smallCaps w:val="false"/>
          <w:color w:val="000000"/>
          <w:sz w:val="20"/>
          <w:u w:val="single"/>
        </w:rPr>
      </w:pPr>
      <w:r>
        <w:rPr>
          <w:rFonts w:ascii="Times New Roman;Times;Serif" w:hAnsi="Times New Roman;Times;Serif"/>
          <w:b w:val="false"/>
          <w:i w:val="false"/>
          <w:caps w:val="false"/>
          <w:smallCaps w:val="false"/>
          <w:color w:val="000000"/>
          <w:sz w:val="20"/>
          <w:u w:val="single"/>
        </w:rPr>
        <w:t>Initial Closing</w:t>
      </w:r>
    </w:p>
    <w:p>
      <w:pPr>
        <w:pStyle w:val="TextBody"/>
        <w:bidi w:val="0"/>
        <w:spacing w:before="0" w:after="283"/>
        <w:jc w:val="left"/>
        <w:rPr/>
      </w:pPr>
      <w:r>
        <w:rPr/>
        <w:t> </w:t>
      </w:r>
    </w:p>
    <w:p>
      <w:pPr>
        <w:pStyle w:val="TextBody"/>
        <w:bidi w:val="0"/>
        <w:spacing w:before="0" w:after="283"/>
        <w:jc w:val="left"/>
        <w:rPr/>
      </w:pPr>
      <w:r>
        <w:rPr/>
        <w:t> </w:t>
      </w:r>
    </w:p>
    <w:tbl>
      <w:tblPr>
        <w:tblW w:w="3000" w:type="dxa"/>
        <w:jc w:val="left"/>
        <w:tblInd w:w="0" w:type="dxa"/>
        <w:tblLayout w:type="fixed"/>
        <w:tblCellMar>
          <w:top w:w="28" w:type="dxa"/>
          <w:left w:w="28" w:type="dxa"/>
          <w:bottom w:w="28" w:type="dxa"/>
          <w:right w:w="28" w:type="dxa"/>
        </w:tblCellMar>
      </w:tblPr>
      <w:tblGrid>
        <w:gridCol w:w="716"/>
        <w:gridCol w:w="650"/>
        <w:gridCol w:w="658"/>
        <w:gridCol w:w="295"/>
        <w:gridCol w:w="295"/>
        <w:gridCol w:w="386"/>
      </w:tblGrid>
      <w:tr>
        <w:trPr/>
        <w:tc>
          <w:tcPr>
            <w:tcW w:w="716"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Shares: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Times;Serif" w:hAnsi="Times New Roman;Times;Serif"/>
                <w:b w:val="false"/>
                <w:color w:val="000000"/>
                <w:sz w:val="20"/>
              </w:rPr>
            </w:pPr>
            <w:r>
              <w:rPr>
                <w:rFonts w:ascii="Times New Roman;Times;Serif" w:hAnsi="Times New Roman;Times;Serif"/>
                <w:b w:val="false"/>
                <w:color w:val="000000"/>
                <w:sz w:val="20"/>
              </w:rPr>
              <w:t>2,762,009</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Class 1 Warrant Shares: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Times;Serif" w:hAnsi="Times New Roman;Times;Serif"/>
                <w:b w:val="false"/>
                <w:color w:val="000000"/>
                <w:sz w:val="20"/>
              </w:rPr>
            </w:pPr>
            <w:r>
              <w:rPr>
                <w:rFonts w:ascii="Times New Roman;Times;Serif" w:hAnsi="Times New Roman;Times;Serif"/>
                <w:b w:val="false"/>
                <w:color w:val="000000"/>
                <w:sz w:val="20"/>
              </w:rPr>
              <w:t>1,381,004</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Class 2 Warrant Shares:</w:t>
            </w:r>
          </w:p>
        </w:tc>
        <w:tc>
          <w:tcPr>
            <w:tcW w:w="976"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Times;Serif" w:hAnsi="Times New Roman;Times;Serif"/>
                <w:b w:val="false"/>
                <w:color w:val="000000"/>
                <w:sz w:val="20"/>
              </w:rPr>
            </w:pPr>
            <w:r>
              <w:rPr>
                <w:rFonts w:ascii="Times New Roman;Times;Serif" w:hAnsi="Times New Roman;Times;Serif"/>
                <w:b w:val="false"/>
                <w:color w:val="000000"/>
                <w:sz w:val="20"/>
              </w:rPr>
              <w:t>1,381,004</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left"/>
        <w:rPr>
          <w:rFonts w:ascii="Times New Roman;Times;Serif" w:hAnsi="Times New Roman;Times;Serif"/>
          <w:b w:val="false"/>
          <w:i w:val="false"/>
          <w:caps w:val="false"/>
          <w:smallCaps w:val="false"/>
          <w:color w:val="000000"/>
          <w:sz w:val="20"/>
          <w:u w:val="single"/>
        </w:rPr>
      </w:pPr>
      <w:r>
        <w:rPr>
          <w:rFonts w:ascii="Times New Roman;Times;Serif" w:hAnsi="Times New Roman;Times;Serif"/>
          <w:b w:val="false"/>
          <w:i w:val="false"/>
          <w:caps w:val="false"/>
          <w:smallCaps w:val="false"/>
          <w:color w:val="000000"/>
          <w:sz w:val="20"/>
          <w:u w:val="single"/>
        </w:rPr>
        <w:t>Subsequent Closing</w:t>
      </w:r>
    </w:p>
    <w:p>
      <w:pPr>
        <w:pStyle w:val="TextBody"/>
        <w:bidi w:val="0"/>
        <w:spacing w:before="0" w:after="283"/>
        <w:jc w:val="left"/>
        <w:rPr/>
      </w:pPr>
      <w:r>
        <w:rPr/>
        <w:t> </w:t>
      </w:r>
    </w:p>
    <w:p>
      <w:pPr>
        <w:pStyle w:val="TextBody"/>
        <w:bidi w:val="0"/>
        <w:spacing w:before="0" w:after="283"/>
        <w:jc w:val="left"/>
        <w:rPr/>
      </w:pPr>
      <w:r>
        <w:rPr/>
        <w:t> </w:t>
      </w:r>
    </w:p>
    <w:tbl>
      <w:tblPr>
        <w:tblW w:w="3000" w:type="dxa"/>
        <w:jc w:val="left"/>
        <w:tblInd w:w="0" w:type="dxa"/>
        <w:tblLayout w:type="fixed"/>
        <w:tblCellMar>
          <w:top w:w="28" w:type="dxa"/>
          <w:left w:w="28" w:type="dxa"/>
          <w:bottom w:w="28" w:type="dxa"/>
          <w:right w:w="28" w:type="dxa"/>
        </w:tblCellMar>
      </w:tblPr>
      <w:tblGrid>
        <w:gridCol w:w="716"/>
        <w:gridCol w:w="650"/>
        <w:gridCol w:w="658"/>
        <w:gridCol w:w="295"/>
        <w:gridCol w:w="295"/>
        <w:gridCol w:w="386"/>
      </w:tblGrid>
      <w:tr>
        <w:trPr/>
        <w:tc>
          <w:tcPr>
            <w:tcW w:w="716"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Shares: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Times;Serif" w:hAnsi="Times New Roman;Times;Serif"/>
                <w:b w:val="false"/>
                <w:color w:val="000000"/>
                <w:sz w:val="20"/>
              </w:rPr>
            </w:pPr>
            <w:r>
              <w:rPr>
                <w:rFonts w:ascii="Times New Roman;Times;Serif" w:hAnsi="Times New Roman;Times;Serif"/>
                <w:b w:val="false"/>
                <w:color w:val="000000"/>
                <w:sz w:val="20"/>
              </w:rPr>
              <w:t>8,772,016</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Class 1 Warrant Shares: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Times;Serif" w:hAnsi="Times New Roman;Times;Serif"/>
                <w:b w:val="false"/>
                <w:color w:val="000000"/>
                <w:sz w:val="20"/>
              </w:rPr>
            </w:pPr>
            <w:r>
              <w:rPr>
                <w:rFonts w:ascii="Times New Roman;Times;Serif" w:hAnsi="Times New Roman;Times;Serif"/>
                <w:b w:val="false"/>
                <w:color w:val="000000"/>
                <w:sz w:val="20"/>
              </w:rPr>
              <w:t>4,386,008</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Class 2 Warrant Shares:</w:t>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Times;Serif" w:hAnsi="Times New Roman;Times;Serif"/>
                <w:b w:val="false"/>
                <w:color w:val="000000"/>
                <w:sz w:val="20"/>
              </w:rPr>
            </w:pPr>
            <w:r>
              <w:rPr>
                <w:rFonts w:ascii="Times New Roman;Times;Serif" w:hAnsi="Times New Roman;Times;Serif"/>
                <w:b w:val="false"/>
                <w:color w:val="000000"/>
                <w:sz w:val="20"/>
              </w:rPr>
              <w:t>4,386,008</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Exhibit A</w:t>
      </w:r>
    </w:p>
    <w:p>
      <w:pPr>
        <w:pStyle w:val="TextBody"/>
        <w:bidi w:val="0"/>
        <w:spacing w:lineRule="auto" w:line="240"/>
        <w:jc w:val="left"/>
        <w:rPr>
          <w:caps w:val="false"/>
          <w:smallCaps w:val="false"/>
          <w:color w:val="000000"/>
        </w:rPr>
      </w:pPr>
      <w:r>
        <w:rPr>
          <w:caps w:val="false"/>
          <w:smallCaps w:val="false"/>
          <w:color w:val="000000"/>
        </w:rPr>
        <w:t> </w:t>
      </w:r>
    </w:p>
    <w:p>
      <w:pPr>
        <w:pStyle w:val="TextBody"/>
        <w:bidi w:val="0"/>
        <w:spacing w:lineRule="auto" w:line="240"/>
        <w:jc w:val="center"/>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Form of Lock-Up Agreement</w:t>
      </w:r>
    </w:p>
    <w:p>
      <w:pPr>
        <w:pStyle w:val="TextBody"/>
        <w:bidi w:val="0"/>
        <w:spacing w:lineRule="auto" w:line="240"/>
        <w:jc w:val="center"/>
        <w:rPr>
          <w:caps w:val="false"/>
          <w:smallCaps w:val="false"/>
          <w:color w:val="000000"/>
        </w:rPr>
      </w:pPr>
      <w:r>
        <w:rPr>
          <w:caps w:val="false"/>
          <w:smallCaps w:val="false"/>
          <w:color w:val="000000"/>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(See attached)</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Exhibit B-1</w:t>
      </w:r>
    </w:p>
    <w:p>
      <w:pPr>
        <w:pStyle w:val="TextBody"/>
        <w:bidi w:val="0"/>
        <w:spacing w:lineRule="auto" w:line="240"/>
        <w:jc w:val="left"/>
        <w:rPr>
          <w:caps w:val="false"/>
          <w:smallCaps w:val="false"/>
          <w:color w:val="000000"/>
        </w:rPr>
      </w:pPr>
      <w:r>
        <w:rPr>
          <w:caps w:val="false"/>
          <w:smallCaps w:val="false"/>
          <w:color w:val="000000"/>
        </w:rPr>
        <w:t> </w:t>
      </w:r>
    </w:p>
    <w:p>
      <w:pPr>
        <w:pStyle w:val="TextBody"/>
        <w:bidi w:val="0"/>
        <w:spacing w:lineRule="auto" w:line="240"/>
        <w:jc w:val="center"/>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Form of Class 1 Warrant</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(See attached)</w:t>
      </w:r>
    </w:p>
    <w:p>
      <w:pPr>
        <w:pStyle w:val="TextBody"/>
        <w:bidi w:val="0"/>
        <w:jc w:val="center"/>
        <w:rPr/>
      </w:pPr>
      <w:r>
        <w:rPr/>
        <w:t> </w:t>
      </w:r>
    </w:p>
    <w:p>
      <w:pPr>
        <w:pStyle w:val="TextBody"/>
        <w:bidi w:val="0"/>
        <w:jc w:val="center"/>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 </w:t>
      </w:r>
    </w:p>
    <w:p>
      <w:pPr>
        <w:pStyle w:val="TextBody"/>
        <w:bidi w:val="0"/>
        <w:spacing w:lineRule="auto" w:line="24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Exhibit B-2</w:t>
      </w:r>
    </w:p>
    <w:p>
      <w:pPr>
        <w:pStyle w:val="TextBody"/>
        <w:bidi w:val="0"/>
        <w:spacing w:lineRule="auto" w:line="240"/>
        <w:jc w:val="left"/>
        <w:rPr>
          <w:caps w:val="false"/>
          <w:smallCaps w:val="false"/>
          <w:color w:val="000000"/>
        </w:rPr>
      </w:pPr>
      <w:r>
        <w:rPr>
          <w:caps w:val="false"/>
          <w:smallCaps w:val="false"/>
          <w:color w:val="000000"/>
        </w:rPr>
        <w:t> </w:t>
      </w:r>
    </w:p>
    <w:p>
      <w:pPr>
        <w:pStyle w:val="TextBody"/>
        <w:bidi w:val="0"/>
        <w:spacing w:lineRule="auto" w:line="240"/>
        <w:jc w:val="center"/>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Form of Class 2 Warrant</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(See attached)</w:t>
      </w:r>
    </w:p>
    <w:p>
      <w:pPr>
        <w:pStyle w:val="TextBody"/>
        <w:bidi w:val="0"/>
        <w:jc w:val="center"/>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shd w:fill="FFFFFF" w:val="clear"/>
        <w:bidi w:val="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pPr>
      <w:r>
        <w:rPr/>
        <w:t> </w:t>
      </w:r>
    </w:p>
    <w:p>
      <w:pPr>
        <w:pStyle w:val="TextBody"/>
        <w:bidi w:val="0"/>
        <w:spacing w:lineRule="auto" w:line="24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Exhibit C</w:t>
      </w:r>
    </w:p>
    <w:p>
      <w:pPr>
        <w:pStyle w:val="TextBody"/>
        <w:bidi w:val="0"/>
        <w:spacing w:lineRule="auto" w:line="240"/>
        <w:jc w:val="left"/>
        <w:rPr>
          <w:caps w:val="false"/>
          <w:smallCaps w:val="false"/>
          <w:color w:val="000000"/>
        </w:rPr>
      </w:pPr>
      <w:r>
        <w:rPr>
          <w:caps w:val="false"/>
          <w:smallCaps w:val="false"/>
          <w:color w:val="000000"/>
        </w:rPr>
        <w:t> </w:t>
      </w:r>
    </w:p>
    <w:p>
      <w:pPr>
        <w:pStyle w:val="TextBody"/>
        <w:bidi w:val="0"/>
        <w:spacing w:lineRule="auto" w:line="240"/>
        <w:jc w:val="center"/>
        <w:rPr>
          <w:rFonts w:ascii="Times New Roman;Times;Serif" w:hAnsi="Times New Roman;Times;Serif"/>
          <w:b/>
          <w:i w:val="false"/>
          <w:caps w:val="false"/>
          <w:smallCaps w:val="false"/>
          <w:color w:val="000000"/>
          <w:sz w:val="20"/>
          <w:u w:val="single"/>
        </w:rPr>
      </w:pPr>
      <w:r>
        <w:rPr>
          <w:rFonts w:ascii="Times New Roman;Times;Serif" w:hAnsi="Times New Roman;Times;Serif"/>
          <w:b/>
          <w:i w:val="false"/>
          <w:caps w:val="false"/>
          <w:smallCaps w:val="false"/>
          <w:color w:val="000000"/>
          <w:sz w:val="20"/>
          <w:u w:val="single"/>
        </w:rPr>
        <w:t>Form of Voting Support Agreement</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(See attached)</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pPr>
      <w:bookmarkStart w:id="4" w:name="ss3098627_ex9916.htm"/>
      <w:bookmarkStart w:id="5" w:name="ksss3098627_ex9916"/>
      <w:bookmarkEnd w:id="4"/>
      <w:bookmarkEnd w:id="5"/>
      <w:r>
        <w:rPr/>
        <w:t> </w:t>
      </w:r>
      <w:r>
        <w:br w:type="page"/>
      </w:r>
    </w:p>
    <w:p>
      <w:pPr>
        <w:pStyle w:val="TextBody"/>
        <w:bidi w:val="0"/>
        <w:spacing w:before="0" w:after="283"/>
        <w:jc w:val="left"/>
        <w:rPr/>
      </w:pPr>
      <w:r>
        <w:rPr/>
        <w:t> </w:t>
      </w:r>
    </w:p>
    <w:p>
      <w:pPr>
        <w:pStyle w:val="TextBody"/>
        <w:bidi w:val="0"/>
        <w:spacing w:lineRule="auto" w:line="24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Exhibit 99.16</w:t>
      </w:r>
    </w:p>
    <w:p>
      <w:pPr>
        <w:pStyle w:val="TextBody"/>
        <w:bidi w:val="0"/>
        <w:spacing w:lineRule="auto" w:line="24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VOTING SUPPORT AGREEMENT</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Voting Support Agreement (this “</w:t>
      </w:r>
      <w:r>
        <w:rPr>
          <w:rFonts w:ascii="Times New Roman;Times;Serif" w:hAnsi="Times New Roman;Times;Serif"/>
          <w:b/>
          <w:i w:val="false"/>
          <w:caps w:val="false"/>
          <w:smallCaps w:val="false"/>
          <w:color w:val="000000"/>
          <w:sz w:val="20"/>
        </w:rPr>
        <w:t>Agreement</w:t>
      </w:r>
      <w:r>
        <w:rPr>
          <w:rFonts w:ascii="Times New Roman;Times;Serif" w:hAnsi="Times New Roman;Times;Serif"/>
          <w:b w:val="false"/>
          <w:i w:val="false"/>
          <w:caps w:val="false"/>
          <w:smallCaps w:val="false"/>
          <w:color w:val="000000"/>
          <w:sz w:val="20"/>
        </w:rPr>
        <w:t>”), dated as of February 29, 2024, is entered into by and between Bakkt Holdings, Inc., a Delaware corporation (the “</w:t>
      </w:r>
      <w:r>
        <w:rPr>
          <w:rFonts w:ascii="Times New Roman;Times;Serif" w:hAnsi="Times New Roman;Times;Serif"/>
          <w:b/>
          <w:i w:val="false"/>
          <w:caps w:val="false"/>
          <w:smallCaps w:val="false"/>
          <w:color w:val="000000"/>
          <w:sz w:val="20"/>
        </w:rPr>
        <w:t>Company</w:t>
      </w:r>
      <w:r>
        <w:rPr>
          <w:rFonts w:ascii="Times New Roman;Times;Serif" w:hAnsi="Times New Roman;Times;Serif"/>
          <w:b w:val="false"/>
          <w:i w:val="false"/>
          <w:caps w:val="false"/>
          <w:smallCaps w:val="false"/>
          <w:color w:val="000000"/>
          <w:sz w:val="20"/>
        </w:rPr>
        <w:t>”), and Intercontinental Exchange Holdings, Inc. (the “</w:t>
      </w:r>
      <w:r>
        <w:rPr>
          <w:rFonts w:ascii="Times New Roman;Times;Serif" w:hAnsi="Times New Roman;Times;Serif"/>
          <w:b/>
          <w:i w:val="false"/>
          <w:caps w:val="false"/>
          <w:smallCaps w:val="false"/>
          <w:color w:val="000000"/>
          <w:sz w:val="20"/>
        </w:rPr>
        <w:t>Supporting Stockholder</w:t>
      </w:r>
      <w:r>
        <w:rPr>
          <w:rFonts w:ascii="Times New Roman;Times;Serif" w:hAnsi="Times New Roman;Times;Serif"/>
          <w:b w:val="false"/>
          <w:i w:val="false"/>
          <w:caps w:val="false"/>
          <w:smallCaps w:val="false"/>
          <w:color w:val="000000"/>
          <w:sz w:val="20"/>
        </w:rPr>
        <w:t>”). Capitalized terms used but not otherwise defined in this Agreement shall have the meanings ascribed to them in the Securities Purchase Agreements (as defined below).</w:t>
      </w:r>
    </w:p>
    <w:p>
      <w:pPr>
        <w:pStyle w:val="TextBody"/>
        <w:bidi w:val="0"/>
        <w:spacing w:lineRule="auto" w:line="268" w:before="240" w:after="24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RECITALS</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the Company is entering into, or has entered into two Securities Purchase Agreements (together, the “</w:t>
      </w:r>
      <w:r>
        <w:rPr>
          <w:rFonts w:ascii="Times New Roman;Times;Serif" w:hAnsi="Times New Roman;Times;Serif"/>
          <w:b/>
          <w:i w:val="false"/>
          <w:caps w:val="false"/>
          <w:smallCaps w:val="false"/>
          <w:color w:val="000000"/>
          <w:sz w:val="20"/>
        </w:rPr>
        <w:t>Securities Purchase Agreements</w:t>
      </w:r>
      <w:r>
        <w:rPr>
          <w:rFonts w:ascii="Times New Roman;Times;Serif" w:hAnsi="Times New Roman;Times;Serif"/>
          <w:b w:val="false"/>
          <w:i w:val="false"/>
          <w:caps w:val="false"/>
          <w:smallCaps w:val="false"/>
          <w:color w:val="000000"/>
          <w:sz w:val="20"/>
        </w:rPr>
        <w:t>”) with certain investors identified on the signature pages thereto (together, the “</w:t>
      </w:r>
      <w:r>
        <w:rPr>
          <w:rFonts w:ascii="Times New Roman;Times;Serif" w:hAnsi="Times New Roman;Times;Serif"/>
          <w:b/>
          <w:i w:val="false"/>
          <w:caps w:val="false"/>
          <w:smallCaps w:val="false"/>
          <w:color w:val="000000"/>
          <w:sz w:val="20"/>
        </w:rPr>
        <w:t>Investors</w:t>
      </w:r>
      <w:r>
        <w:rPr>
          <w:rFonts w:ascii="Times New Roman;Times;Serif" w:hAnsi="Times New Roman;Times;Serif"/>
          <w:b w:val="false"/>
          <w:i w:val="false"/>
          <w:caps w:val="false"/>
          <w:smallCaps w:val="false"/>
          <w:color w:val="000000"/>
          <w:sz w:val="20"/>
        </w:rPr>
        <w:t>”), pursuant to which (and subject to the terms and conditions set forth therein) the Company will issue and sell to the Investors, and the Investors will purchase from the Company, certain shares of the Company’s Class A common stock (or, in lieu of such shares, pre-funded warrants to purchase shares of the Company’s Class A common stock) and warrants (the “</w:t>
      </w:r>
      <w:r>
        <w:rPr>
          <w:rFonts w:ascii="Times New Roman;Times;Serif" w:hAnsi="Times New Roman;Times;Serif"/>
          <w:b/>
          <w:i w:val="false"/>
          <w:caps w:val="false"/>
          <w:smallCaps w:val="false"/>
          <w:color w:val="000000"/>
          <w:sz w:val="20"/>
        </w:rPr>
        <w:t>Warrants</w:t>
      </w:r>
      <w:r>
        <w:rPr>
          <w:rFonts w:ascii="Times New Roman;Times;Serif" w:hAnsi="Times New Roman;Times;Serif"/>
          <w:b w:val="false"/>
          <w:i w:val="false"/>
          <w:caps w:val="false"/>
          <w:smallCaps w:val="false"/>
          <w:color w:val="000000"/>
          <w:sz w:val="20"/>
        </w:rPr>
        <w:t>”) to purchase the Company’s Class A common stock;</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as of the date hereof, the Supporting Stockholder is the record and/or “beneficial owner” (within the meaning of Rule 13d-3 under the Securities Exchange Act of 1934, as amended (together with the rules and regulations promulgated thereunder, the “</w:t>
      </w:r>
      <w:r>
        <w:rPr>
          <w:rFonts w:ascii="Times New Roman;Times;Serif" w:hAnsi="Times New Roman;Times;Serif"/>
          <w:b/>
          <w:i w:val="false"/>
          <w:caps w:val="false"/>
          <w:smallCaps w:val="false"/>
          <w:color w:val="000000"/>
          <w:sz w:val="20"/>
        </w:rPr>
        <w:t>Exchange Act</w:t>
      </w:r>
      <w:r>
        <w:rPr>
          <w:rFonts w:ascii="Times New Roman;Times;Serif" w:hAnsi="Times New Roman;Times;Serif"/>
          <w:b w:val="false"/>
          <w:i w:val="false"/>
          <w:caps w:val="false"/>
          <w:smallCaps w:val="false"/>
          <w:color w:val="000000"/>
          <w:sz w:val="20"/>
        </w:rPr>
        <w:t>”)), of and is entitled to dispose of, or to direct the disposition of, and vote, or to direct the voting of, the shares of the Company’s Class A common stock or Class V common stock indicated, the currently owned amount of which is on the Supporting Stockholder’s signature page below (the “</w:t>
      </w:r>
      <w:r>
        <w:rPr>
          <w:rFonts w:ascii="Times New Roman;Times;Serif" w:hAnsi="Times New Roman;Times;Serif"/>
          <w:b/>
          <w:i w:val="false"/>
          <w:caps w:val="false"/>
          <w:smallCaps w:val="false"/>
          <w:color w:val="000000"/>
          <w:sz w:val="20"/>
        </w:rPr>
        <w:t>Owned Shares</w:t>
      </w:r>
      <w:r>
        <w:rPr>
          <w:rFonts w:ascii="Times New Roman;Times;Serif" w:hAnsi="Times New Roman;Times;Serif"/>
          <w:b w:val="false"/>
          <w:i w:val="false"/>
          <w:caps w:val="false"/>
          <w:smallCaps w:val="false"/>
          <w:color w:val="000000"/>
          <w:sz w:val="20"/>
        </w:rPr>
        <w:t>”; the Owned Shares and any additional securities of the Company (or any securities convertible into or exercisable or exchangeable for shares of the Company’s Class A common stock or Class V common stock) in which the Supporting Stockholder acquires record and/or beneficial ownership after the date hereof, including, without limitation, by purchase, as a result of a stock dividend, stock split, recapitalization, combination, reclassification, exchange or change of such securities, or upon exercise or conversion of any securities, the “</w:t>
      </w:r>
      <w:r>
        <w:rPr>
          <w:rFonts w:ascii="Times New Roman;Times;Serif" w:hAnsi="Times New Roman;Times;Serif"/>
          <w:b/>
          <w:i w:val="false"/>
          <w:caps w:val="false"/>
          <w:smallCaps w:val="false"/>
          <w:color w:val="000000"/>
          <w:sz w:val="20"/>
        </w:rPr>
        <w:t>Covered Shares</w:t>
      </w:r>
      <w:r>
        <w:rPr>
          <w:rFonts w:ascii="Times New Roman;Times;Serif" w:hAnsi="Times New Roman;Times;Serif"/>
          <w:b w:val="false"/>
          <w:i w:val="false"/>
          <w:caps w:val="false"/>
          <w:smallCaps w:val="false"/>
          <w:color w:val="000000"/>
          <w:sz w:val="20"/>
        </w:rPr>
        <w:t>”); and</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WHEREAS, as a condition and inducement to the willingness of the Investors (other than the Supporting Stockholder) to enter into the applicable Securities Purchase Agreement, the Company agreed to deliver this Agreement executed by the Supporting Stockholder to such Investors at or prior to the closing of the consummation of the transactions contemplated by the Securities Purchase Agreements.</w:t>
      </w:r>
    </w:p>
    <w:p>
      <w:pPr>
        <w:pStyle w:val="TextBody"/>
        <w:bidi w:val="0"/>
        <w:spacing w:lineRule="auto" w:line="268" w:before="240" w:after="24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AGREEMENT</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NOW, THEREFORE, in consideration of the foregoing and the mutual covenants and agreements herein contained, and for other good and valuable consideration, the receipt and sufficiency of which are hereby acknowledged, and intending to be legally bound hereby, the Company and the Supporting Stockholder hereby agree as follows:</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w:t>
      </w:r>
      <w:r>
        <w:rPr>
          <w:rFonts w:ascii="Times New Roman;Times;Serif" w:hAnsi="Times New Roman;Times;Serif"/>
          <w:b w:val="false"/>
          <w:i w:val="false"/>
          <w:caps w:val="false"/>
          <w:smallCaps w:val="false"/>
          <w:color w:val="000000"/>
          <w:sz w:val="20"/>
          <w:u w:val="single"/>
        </w:rPr>
        <w:t>Agreement to Vote</w:t>
      </w:r>
      <w:r>
        <w:rPr>
          <w:rFonts w:ascii="Times New Roman;Times;Serif" w:hAnsi="Times New Roman;Times;Serif"/>
          <w:b w:val="false"/>
          <w:i w:val="false"/>
          <w:caps w:val="false"/>
          <w:smallCaps w:val="false"/>
          <w:color w:val="000000"/>
          <w:sz w:val="20"/>
        </w:rPr>
        <w:t>. Subject to the earlier termination of this Agreement in accordance with Section 2, and, as applicable, except to the extent limited by the terms of the Voting Agreement, dated October 15, 2021, by and between the Company and Intercontinental Exchange Holdings, Inc. (the “</w:t>
      </w:r>
      <w:r>
        <w:rPr>
          <w:rFonts w:ascii="Times New Roman;Times;Serif" w:hAnsi="Times New Roman;Times;Serif"/>
          <w:b/>
          <w:i w:val="false"/>
          <w:caps w:val="false"/>
          <w:smallCaps w:val="false"/>
          <w:color w:val="000000"/>
          <w:sz w:val="20"/>
        </w:rPr>
        <w:t>ICE Voting Amendment</w:t>
      </w:r>
      <w:r>
        <w:rPr>
          <w:rFonts w:ascii="Times New Roman;Times;Serif" w:hAnsi="Times New Roman;Times;Serif"/>
          <w:b w:val="false"/>
          <w:i w:val="false"/>
          <w:caps w:val="false"/>
          <w:smallCaps w:val="false"/>
          <w:color w:val="000000"/>
          <w:sz w:val="20"/>
        </w:rPr>
        <w:t>”), the Supporting Stockholder, in its direct or indirect capacity as a stockholder of the Company, irrevocably and unconditionally agrees that, at any meeting of the Company’s Stockholders (whether annual or special and whether or not an adjourned or postponed meeting, however called and including any adjournment or postponement thereof) convened pursuant to Section 4.12 of the Securities Purchase Agreement to which the Supporting Stockholder is a party (the “</w:t>
      </w:r>
      <w:r>
        <w:rPr>
          <w:rFonts w:ascii="Times New Roman;Times;Serif" w:hAnsi="Times New Roman;Times;Serif"/>
          <w:b/>
          <w:i w:val="false"/>
          <w:caps w:val="false"/>
          <w:smallCaps w:val="false"/>
          <w:color w:val="000000"/>
          <w:sz w:val="20"/>
        </w:rPr>
        <w:t>ICE SPA</w:t>
      </w:r>
      <w:r>
        <w:rPr>
          <w:rFonts w:ascii="Times New Roman;Times;Serif" w:hAnsi="Times New Roman;Times;Serif"/>
          <w:b w:val="false"/>
          <w:i w:val="false"/>
          <w:caps w:val="false"/>
          <w:smallCaps w:val="false"/>
          <w:color w:val="000000"/>
          <w:sz w:val="20"/>
        </w:rPr>
        <w:t>”), the Supporting Stockholder shall, and shall cause any other holder of record of any of the Supporting Stockholder’s Covered Shares to:</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r>
        <w:rPr>
          <w:rFonts w:ascii="Times New Roman;Times;Serif" w:hAnsi="Times New Roman;Times;Serif"/>
          <w:b w:val="false"/>
          <w:i w:val="false"/>
          <w:caps w:val="false"/>
          <w:smallCaps w:val="false"/>
          <w:color w:val="000000"/>
          <w:sz w:val="20"/>
        </w:rPr>
        <w:t xml:space="preserve">if and when such meeting is held, appear at such meeting (and at every adjournment or postponement thereof) or otherwise cause the Covered Shares to be counted as present thereat for the purpose of establishing a quorum; </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r>
        <w:rPr>
          <w:rFonts w:ascii="Times New Roman;Times;Serif" w:hAnsi="Times New Roman;Times;Serif"/>
          <w:b w:val="false"/>
          <w:i w:val="false"/>
          <w:caps w:val="false"/>
          <w:smallCaps w:val="false"/>
          <w:color w:val="000000"/>
          <w:sz w:val="20"/>
        </w:rPr>
        <w:t xml:space="preserve">vote, or cause to be voted (including via proxy), at such meeting all of the Covered Shares owned as of the record date for such meeting to approve any matters necessary or reasonably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4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requested by the Company to enable the Company to issue any shares of Class A common stock and the shares of Class A common stock underlying the related Warrants (as defined in the Securities Purchase Agreements) that may not be issued pursuant the Securities Purchase Agreements without first obtaining stockholder approval under the rules and regulations of the New York Stock Exchange and to enable the Company to issue the shares of Class A common stock under the alternative cashless exercise provision of the Class 2 Warrants (as defined in the Securities Purchase Agreements); and</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w:t>
      </w:r>
      <w:r>
        <w:rPr>
          <w:rFonts w:ascii="Times New Roman;Times;Serif" w:hAnsi="Times New Roman;Times;Serif"/>
          <w:b w:val="false"/>
          <w:i w:val="false"/>
          <w:caps w:val="false"/>
          <w:smallCaps w:val="false"/>
          <w:color w:val="000000"/>
          <w:sz w:val="20"/>
        </w:rPr>
        <w:t>the Supporting Stockholder hereby revokes any and all previous proxies granted or has caused the holder(s) of record of any Covered Shares to revoke any and all previous proxies granted with respect to the Covered Shares, other than the ICE Voting Agreement, as applicable.</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clarity, any vote cast pursuant to this Section (1) will (i) give effect to the ICE Voting Agreement and (ii) be calculated consistent with the Listed Company Manual of the New York Stock Exchange, in each case, as applicable.</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r>
        <w:rPr>
          <w:rFonts w:ascii="Times New Roman;Times;Serif" w:hAnsi="Times New Roman;Times;Serif"/>
          <w:b w:val="false"/>
          <w:i w:val="false"/>
          <w:caps w:val="false"/>
          <w:smallCaps w:val="false"/>
          <w:color w:val="000000"/>
          <w:sz w:val="20"/>
          <w:u w:val="single"/>
        </w:rPr>
        <w:t>Termination</w:t>
      </w:r>
      <w:r>
        <w:rPr>
          <w:rFonts w:ascii="Times New Roman;Times;Serif" w:hAnsi="Times New Roman;Times;Serif"/>
          <w:b w:val="false"/>
          <w:i w:val="false"/>
          <w:caps w:val="false"/>
          <w:smallCaps w:val="false"/>
          <w:color w:val="000000"/>
          <w:sz w:val="20"/>
        </w:rPr>
        <w:t xml:space="preserve">. This Agreement shall automatically terminate, without any notice or other action by any parties hereto, be void </w:t>
      </w:r>
      <w:r>
        <w:rPr>
          <w:rFonts w:ascii="Times New Roman;Times;Serif" w:hAnsi="Times New Roman;Times;Serif"/>
          <w:b w:val="false"/>
          <w:i/>
          <w:caps w:val="false"/>
          <w:smallCaps w:val="false"/>
          <w:color w:val="000000"/>
          <w:sz w:val="20"/>
        </w:rPr>
        <w:t>ab initio</w:t>
      </w:r>
      <w:r>
        <w:rPr>
          <w:rFonts w:ascii="Times New Roman;Times;Serif" w:hAnsi="Times New Roman;Times;Serif"/>
          <w:b w:val="false"/>
          <w:i w:val="false"/>
          <w:caps w:val="false"/>
          <w:smallCaps w:val="false"/>
          <w:color w:val="000000"/>
          <w:sz w:val="20"/>
        </w:rPr>
        <w:t xml:space="preserve"> and no parties hereto shall have any further obligations or liabilities under this Agreement, upon the earliest of (a) the Company obtaining Stockholder Approval and (b) the termination of the ICE SPA (the earliest such date under clause (a) or (b) being referred to herein as the “</w:t>
      </w:r>
      <w:r>
        <w:rPr>
          <w:rFonts w:ascii="Times New Roman;Times;Serif" w:hAnsi="Times New Roman;Times;Serif"/>
          <w:b/>
          <w:i w:val="false"/>
          <w:caps w:val="false"/>
          <w:smallCaps w:val="false"/>
          <w:color w:val="000000"/>
          <w:sz w:val="20"/>
        </w:rPr>
        <w:t>Termination Date</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that termination of this Agreement shall not relieve any parties hereto from any liability for any breach of, or actual and intentional fraud in connection with, this Agreement prior to such termination.</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r>
        <w:rPr>
          <w:rFonts w:ascii="Times New Roman;Times;Serif" w:hAnsi="Times New Roman;Times;Serif"/>
          <w:b w:val="false"/>
          <w:i w:val="false"/>
          <w:caps w:val="false"/>
          <w:smallCaps w:val="false"/>
          <w:color w:val="000000"/>
          <w:sz w:val="20"/>
          <w:u w:val="single"/>
        </w:rPr>
        <w:t>Representations and Warranties of the Supporting Stockholder</w:t>
      </w:r>
      <w:r>
        <w:rPr>
          <w:rFonts w:ascii="Times New Roman;Times;Serif" w:hAnsi="Times New Roman;Times;Serif"/>
          <w:b w:val="false"/>
          <w:i w:val="false"/>
          <w:caps w:val="false"/>
          <w:smallCaps w:val="false"/>
          <w:color w:val="000000"/>
          <w:sz w:val="20"/>
        </w:rPr>
        <w:t>. The Supporting Stockholder hereby represents and warrants as follows:</w:t>
      </w:r>
    </w:p>
    <w:p>
      <w:pPr>
        <w:pStyle w:val="TextBody"/>
        <w:bidi w:val="0"/>
        <w:spacing w:lineRule="auto" w:line="268" w:before="240" w:after="24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(a)</w:t>
      </w:r>
      <w:r>
        <w:rPr>
          <w:rFonts w:ascii="Times New Roman;Times;Serif" w:hAnsi="Times New Roman;Times;Serif"/>
          <w:b w:val="false"/>
          <w:i w:val="false"/>
          <w:caps w:val="false"/>
          <w:smallCaps w:val="false"/>
          <w:color w:val="000000"/>
          <w:sz w:val="20"/>
        </w:rPr>
        <w:t>The Supporting Stockholder is the beneficial owner (within the meaning of Rule 13d-3 under the Exchange Act) and/or record owner of, and, directly or indirectly, has good, valid and marketable title to, the Owned Shares, free and clear of liens (other than as created by this Agreement or the organizational documents of the Company or arising under applicable securities laws). As of the date hereof, other than the Owned Shares, the Supporting Stockholder does not own beneficially or of record any shares of capital stock of the Company (or any securities convertible into shares of capital stock of the Company).</w:t>
      </w:r>
    </w:p>
    <w:p>
      <w:pPr>
        <w:pStyle w:val="TextBody"/>
        <w:bidi w:val="0"/>
        <w:spacing w:lineRule="auto" w:line="268" w:before="240" w:after="24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w:t>
      </w:r>
      <w:r>
        <w:rPr>
          <w:rFonts w:ascii="Times New Roman;Times;Serif" w:hAnsi="Times New Roman;Times;Serif"/>
          <w:b w:val="false"/>
          <w:i w:val="false"/>
          <w:caps w:val="false"/>
          <w:smallCaps w:val="false"/>
          <w:color w:val="000000"/>
          <w:sz w:val="20"/>
        </w:rPr>
        <w:t>The Supporting Stockholder, other than as set forth in the ICE Voting Agreement, (i) except as provided in this Agreement, has full or, with an Affiliate of the Supporting Stockholder, shared voting power, full power of disposition and full power to issue instructions with respect to the matters set forth herein, in each case, with respect to the Supporting Stockholder’s Covered Shares, (ii) has not entered into or caused or permitted any Affiliate to enter into any voting agreement or voting trust with respect to any of the Supporting Stockholder’s Covered Shares that is inconsistent with the Supporting Stockholder’s obligations pursuant to this Agreement, (iii) has not granted or caused or permitted any Affiliate to grant a proxy or power of attorney with respect to any of the Supporting Stockholder’s Covered Shares that is inconsistent with the Supporting Stockholder’s obligations pursuant to this Agreement and (iv) has not entered into or caused or permitted any Affiliate to enter into any agreement or undertaking that is otherwise inconsistent with, or would interfere with, or prohibit or prevent it from satisfying, its obligations pursuant to this Agreement.</w:t>
      </w:r>
    </w:p>
    <w:p>
      <w:pPr>
        <w:pStyle w:val="TextBody"/>
        <w:bidi w:val="0"/>
        <w:spacing w:lineRule="auto" w:line="268" w:before="240" w:after="24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w:t>
      </w:r>
      <w:r>
        <w:rPr>
          <w:rFonts w:ascii="Times New Roman;Times;Serif" w:hAnsi="Times New Roman;Times;Serif"/>
          <w:b w:val="false"/>
          <w:i w:val="false"/>
          <w:caps w:val="false"/>
          <w:smallCaps w:val="false"/>
          <w:color w:val="000000"/>
          <w:sz w:val="20"/>
        </w:rPr>
        <w:t>The Supporting Stockholder, (i) if a legal entity, is duly organized, validly existing and, to the extent such concept is applicable, in good standing under the laws of the jurisdiction of its organization and has all requisite corporate or other power and authority and has taken all corporate or other action necessary in order to, execute, deliver and perform its obligations under this Agreement and to consummate the transactions contemplated hereby or, (ii) if an individual, has legal competence and capacity to enter into this Agreement and all necessary authority to execute, deliver and perform its obligations under this Agreement and to consummate the transactions contemplated hereby. This Agreement has been duly executed and delivered by the Supporting Stockholder and constitutes a valid and binding agreement of the Supporting Stockholder enforceable against the Supporting Stockholder in accordance with its terms, subject to the exceptions set forth in the last sentence of Section 3.2(a) of the ICE SPA.</w:t>
      </w:r>
    </w:p>
    <w:p>
      <w:pPr>
        <w:pStyle w:val="TextBody"/>
        <w:bidi w:val="0"/>
        <w:spacing w:lineRule="auto" w:line="268" w:before="240" w:after="24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w:t>
      </w:r>
      <w:r>
        <w:rPr>
          <w:rFonts w:ascii="Times New Roman;Times;Serif" w:hAnsi="Times New Roman;Times;Serif"/>
          <w:b w:val="false"/>
          <w:i w:val="false"/>
          <w:caps w:val="false"/>
          <w:smallCaps w:val="false"/>
          <w:color w:val="000000"/>
          <w:sz w:val="20"/>
        </w:rPr>
        <w:t xml:space="preserve">The execution, delivery and performance of this Agreement by the Supporting Stockholder do not, and the consummation of the transactions contemplated hereby, will not, constitute or result in,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4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 if the Supporting Stockholder is a legal entity, a breach or violation of, or a default under, the certificate of incorporation, bylaws, limited liability company agreement or similar governing documents of the Supporting Stockholder, (ii) with or without notice, lapse of time or both, a breach or violation of, a termination (or right of termination) of or a default under, the loss of any benefit under, the creation, modification or acceleration of any obligations under or the creation of a lien (other than as created by this Agreement or the organizational documents of the Company or arising under applicable securities laws) on the Covered Shares pursuant to any contract binding upon the Supporting Stockholder or under any applicable law to which the Supporting Stockholder is subject, (iii) a conflict with, or constitute breach, violation, or default (or an event which with notice or lapse of time or both would become a default) in any respect under, or give to others any rights of termination, amendment, acceleration or cancellation of, any contract, agreement, indenture or instrument to which the Supporting Stockholder is a party, or (iv) any change in the rights or obligations of any parties hereto under any contract legally binding upon the Supporting Stockholder, except, in the case of clauses (ii) through (iv) directly above, for any such breach, violation, termination, default, creation, loss, acceleration, lien or change that would not, individually or in the aggregate, reasonably be expected to prevent or materially delay or impair the Supporting Stockholder’s ability to perform its obligations hereunder or to consummate the transactions contemplated hereby.</w:t>
      </w:r>
    </w:p>
    <w:p>
      <w:pPr>
        <w:pStyle w:val="TextBody"/>
        <w:bidi w:val="0"/>
        <w:spacing w:lineRule="auto" w:line="268" w:before="240" w:after="24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(e)</w:t>
      </w:r>
      <w:r>
        <w:rPr>
          <w:rFonts w:ascii="Times New Roman;Times;Serif" w:hAnsi="Times New Roman;Times;Serif"/>
          <w:b w:val="false"/>
          <w:i w:val="false"/>
          <w:caps w:val="false"/>
          <w:smallCaps w:val="false"/>
          <w:color w:val="000000"/>
          <w:sz w:val="20"/>
        </w:rPr>
        <w:t>As of the date of this Agreement, there is no action, proceeding or, to the Supporting Stockholder’s knowledge, investigation pending against the Supporting Stockholder or, to the knowledge of the Supporting Stockholder, threatened against the Supporting Stockholder that questions the beneficial or record ownership of the Supporting Stockholder’s Owned Shares, the validity of this Agreement or the performance by the Supporting Stockholder of its obligations under this Agreement.</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r>
        <w:rPr>
          <w:rFonts w:ascii="Times New Roman;Times;Serif" w:hAnsi="Times New Roman;Times;Serif"/>
          <w:b w:val="false"/>
          <w:i w:val="false"/>
          <w:caps w:val="false"/>
          <w:smallCaps w:val="false"/>
          <w:color w:val="000000"/>
          <w:sz w:val="20"/>
          <w:u w:val="single"/>
        </w:rPr>
        <w:t>Certain Covenants of the Supporting Stockholder</w:t>
      </w:r>
      <w:r>
        <w:rPr>
          <w:rFonts w:ascii="Times New Roman;Times;Serif" w:hAnsi="Times New Roman;Times;Serif"/>
          <w:b w:val="false"/>
          <w:i w:val="false"/>
          <w:caps w:val="false"/>
          <w:smallCaps w:val="false"/>
          <w:color w:val="000000"/>
          <w:sz w:val="20"/>
        </w:rPr>
        <w:t>. Except in accordance with the terms of this Agreement, the Supporting Stockholder shall not, and shall cause each of its Affiliates not to, at any time prior to the Termination Date, (i) enter into any voting agreement or voting trust with respect to any of the Supporting Stockholder’s Covered Shares that is inconsistent with the Supporting Stockholder’s obligations pursuant to this Agreement, (ii) grant a proxy or power of attorney with respect to any of the Supporting Stockholder’s Covered Shares that is inconsistent with the Supporting Stockholder’s obligations pursuant to this Agreement, or (iii) enter into any agreement or undertaking that is otherwise inconsistent with, or would interfere with, or prohibit or prevent it from satisfying, its obligations pursuant to this Agreement. Such covenant shall in no way impact the Supporting Stockholder’s obligations under and its ability to comply with the terms of the ICE Voting Agreement, as applicable.</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r>
        <w:rPr>
          <w:rFonts w:ascii="Times New Roman;Times;Serif" w:hAnsi="Times New Roman;Times;Serif"/>
          <w:b w:val="false"/>
          <w:i w:val="false"/>
          <w:caps w:val="false"/>
          <w:smallCaps w:val="false"/>
          <w:color w:val="000000"/>
          <w:sz w:val="20"/>
          <w:u w:val="single"/>
        </w:rPr>
        <w:t>Definitions</w:t>
      </w:r>
      <w:r>
        <w:rPr>
          <w:rFonts w:ascii="Times New Roman;Times;Serif" w:hAnsi="Times New Roman;Times;Serif"/>
          <w:b w:val="false"/>
          <w:i w:val="false"/>
          <w:caps w:val="false"/>
          <w:smallCaps w:val="false"/>
          <w:color w:val="000000"/>
          <w:sz w:val="20"/>
        </w:rPr>
        <w:t xml:space="preserve">. When used in this Agreement, the following terms shall have the meanings assigned to them in this </w:t>
      </w:r>
      <w:r>
        <w:rPr>
          <w:rFonts w:ascii="Times New Roman;Times;Serif" w:hAnsi="Times New Roman;Times;Serif"/>
          <w:b w:val="false"/>
          <w:i w:val="false"/>
          <w:caps w:val="false"/>
          <w:smallCaps w:val="false"/>
          <w:color w:val="000000"/>
          <w:sz w:val="20"/>
          <w:u w:val="single"/>
        </w:rPr>
        <w:t>Section 5</w:t>
      </w:r>
      <w:r>
        <w:rPr>
          <w:rFonts w:ascii="Times New Roman;Times;Serif" w:hAnsi="Times New Roman;Times;Serif"/>
          <w:b w:val="false"/>
          <w:i w:val="false"/>
          <w:caps w:val="false"/>
          <w:smallCaps w:val="false"/>
          <w:color w:val="000000"/>
          <w:sz w:val="20"/>
        </w:rPr>
        <w:t>.</w:t>
      </w:r>
    </w:p>
    <w:p>
      <w:pPr>
        <w:pStyle w:val="TextBody"/>
        <w:bidi w:val="0"/>
        <w:spacing w:lineRule="auto" w:line="268" w:before="240" w:after="240"/>
        <w:ind w:left="0" w:right="0" w:firstLine="720"/>
        <w:jc w:val="both"/>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Affiliate</w:t>
      </w:r>
      <w:r>
        <w:rPr>
          <w:rFonts w:ascii="Times New Roman;Times;Serif" w:hAnsi="Times New Roman;Times;Serif"/>
          <w:b w:val="false"/>
          <w:i w:val="false"/>
          <w:caps w:val="false"/>
          <w:smallCaps w:val="false"/>
          <w:color w:val="000000"/>
          <w:sz w:val="20"/>
        </w:rPr>
        <w:t xml:space="preserve">” shall mean with respect to any Person, any other Person that,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(1) or more general partners, managing members or investment adviser of, or shares the same management company or investment adviser with, such Person; </w:t>
      </w:r>
      <w:r>
        <w:rPr>
          <w:rFonts w:ascii="Times New Roman;Times;Serif" w:hAnsi="Times New Roman;Times;Serif"/>
          <w:b w:val="false"/>
          <w:i w:val="false"/>
          <w:caps w:val="false"/>
          <w:smallCaps w:val="false"/>
          <w:color w:val="000000"/>
          <w:sz w:val="20"/>
          <w:u w:val="single"/>
        </w:rPr>
        <w:t>provided, however</w:t>
      </w:r>
      <w:r>
        <w:rPr>
          <w:rFonts w:ascii="Times New Roman;Times;Serif" w:hAnsi="Times New Roman;Times;Serif"/>
          <w:b w:val="false"/>
          <w:i w:val="false"/>
          <w:caps w:val="false"/>
          <w:smallCaps w:val="false"/>
          <w:color w:val="000000"/>
          <w:sz w:val="20"/>
        </w:rPr>
        <w:t>, that in no case shall the Company or any of its Subsidiaries be deemed to be an Affiliate of the Supporting Stockholder. For purposes of this definition, the term “</w:t>
      </w:r>
      <w:r>
        <w:rPr>
          <w:rFonts w:ascii="Times New Roman;Times;Serif" w:hAnsi="Times New Roman;Times;Serif"/>
          <w:b/>
          <w:i w:val="false"/>
          <w:caps w:val="false"/>
          <w:smallCaps w:val="false"/>
          <w:color w:val="000000"/>
          <w:sz w:val="20"/>
        </w:rPr>
        <w:t>control</w:t>
      </w:r>
      <w:r>
        <w:rPr>
          <w:rFonts w:ascii="Times New Roman;Times;Serif" w:hAnsi="Times New Roman;Times;Serif"/>
          <w:b w:val="false"/>
          <w:i w:val="false"/>
          <w:caps w:val="false"/>
          <w:smallCaps w:val="false"/>
          <w:color w:val="000000"/>
          <w:sz w:val="20"/>
        </w:rPr>
        <w:t>” (including, with correlative meanings, the terms “controlling,” “controlled by” and “under common control with”), as used with respect to any Person, means the possession, directly or indirectly, of the power to direct or cause the direction of the management and policies of that Person, whether through the ownership of voting securities, by contract or otherwise.</w:t>
      </w:r>
    </w:p>
    <w:p>
      <w:pPr>
        <w:pStyle w:val="TextBody"/>
        <w:bidi w:val="0"/>
        <w:spacing w:lineRule="auto" w:line="268" w:before="240" w:after="240"/>
        <w:ind w:left="0" w:right="0" w:firstLine="720"/>
        <w:jc w:val="both"/>
        <w:rPr>
          <w:caps w:val="false"/>
          <w:smallCaps w:val="false"/>
          <w:color w:val="000000"/>
        </w:rPr>
      </w:pPr>
      <w:r>
        <w:rPr>
          <w:caps w:val="false"/>
          <w:smallCaps w:val="false"/>
          <w:color w:val="000000"/>
        </w:rPr>
        <w:t>“</w:t>
      </w:r>
      <w:r>
        <w:rPr>
          <w:rFonts w:ascii="Times New Roman;Times;Serif" w:hAnsi="Times New Roman;Times;Serif"/>
          <w:b/>
          <w:i w:val="false"/>
          <w:caps w:val="false"/>
          <w:smallCaps w:val="false"/>
          <w:color w:val="000000"/>
          <w:sz w:val="20"/>
        </w:rPr>
        <w:t>Person</w:t>
      </w:r>
      <w:r>
        <w:rPr>
          <w:rFonts w:ascii="Times New Roman;Times;Serif" w:hAnsi="Times New Roman;Times;Serif"/>
          <w:b w:val="false"/>
          <w:i w:val="false"/>
          <w:caps w:val="false"/>
          <w:smallCaps w:val="false"/>
          <w:color w:val="000000"/>
          <w:sz w:val="20"/>
        </w:rPr>
        <w:t>” means an individual, a limited liability company, a partnership, a joint venture, a corporation, a trust, an unincorporated organization, any other entity and any governmental entity or any department or agency thereof.</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r>
        <w:rPr>
          <w:rFonts w:ascii="Times New Roman;Times;Serif" w:hAnsi="Times New Roman;Times;Serif"/>
          <w:b w:val="false"/>
          <w:i w:val="false"/>
          <w:caps w:val="false"/>
          <w:smallCaps w:val="false"/>
          <w:color w:val="000000"/>
          <w:sz w:val="20"/>
          <w:u w:val="single"/>
        </w:rPr>
        <w:t>Further Assurances</w:t>
      </w:r>
      <w:r>
        <w:rPr>
          <w:rFonts w:ascii="Times New Roman;Times;Serif" w:hAnsi="Times New Roman;Times;Serif"/>
          <w:b w:val="false"/>
          <w:i w:val="false"/>
          <w:caps w:val="false"/>
          <w:smallCaps w:val="false"/>
          <w:color w:val="000000"/>
          <w:sz w:val="20"/>
        </w:rPr>
        <w:t>. From time to time, at the Company’s request and without further consideration, the Supporting Stockholder shall execute and deliver such additional documents and take all such further action as may be reasonably necessary or reasonably requested to effect the actions and consummate the transactions contemplated by this Agreement.</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r>
        <w:rPr>
          <w:rFonts w:ascii="Times New Roman;Times;Serif" w:hAnsi="Times New Roman;Times;Serif"/>
          <w:b w:val="false"/>
          <w:i w:val="false"/>
          <w:caps w:val="false"/>
          <w:smallCaps w:val="false"/>
          <w:color w:val="000000"/>
          <w:sz w:val="20"/>
          <w:u w:val="single"/>
        </w:rPr>
        <w:t>Amendment and Modification</w:t>
      </w:r>
      <w:r>
        <w:rPr>
          <w:rFonts w:ascii="Times New Roman;Times;Serif" w:hAnsi="Times New Roman;Times;Serif"/>
          <w:b w:val="false"/>
          <w:i w:val="false"/>
          <w:caps w:val="false"/>
          <w:smallCaps w:val="false"/>
          <w:color w:val="000000"/>
          <w:sz w:val="20"/>
        </w:rPr>
        <w:t>. This Agreement may not be amended, modified or supplemented in any manner, whether by course of conduct or otherwise, except by an instrument in writing signed the Company and the Supporting Stockholder.</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r>
        <w:rPr>
          <w:rFonts w:ascii="Times New Roman;Times;Serif" w:hAnsi="Times New Roman;Times;Serif"/>
          <w:b w:val="false"/>
          <w:i w:val="false"/>
          <w:caps w:val="false"/>
          <w:smallCaps w:val="false"/>
          <w:color w:val="000000"/>
          <w:sz w:val="20"/>
          <w:u w:val="single"/>
        </w:rPr>
        <w:t>Notices.</w:t>
      </w:r>
      <w:r>
        <w:rPr>
          <w:rFonts w:ascii="Times New Roman;Times;Serif" w:hAnsi="Times New Roman;Times;Serif"/>
          <w:b w:val="false"/>
          <w:i w:val="false"/>
          <w:caps w:val="false"/>
          <w:smallCaps w:val="false"/>
          <w:color w:val="000000"/>
          <w:sz w:val="20"/>
        </w:rPr>
        <w:t xml:space="preserve"> All notices, requests and other communications to any of the parties hereto shall be in writing (including email transmission, so long as a receipt of such email is requested and received) and shall be given,</w:t>
      </w:r>
    </w:p>
    <w:p>
      <w:pPr>
        <w:pStyle w:val="TextBody"/>
        <w:bidi w:val="0"/>
        <w:spacing w:lineRule="auto" w:line="240" w:before="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 </w:t>
      </w:r>
      <w:r>
        <w:rPr>
          <w:rFonts w:ascii="Times New Roman;Times;Serif" w:hAnsi="Times New Roman;Times;Serif"/>
          <w:b w:val="false"/>
          <w:i w:val="false"/>
          <w:caps w:val="false"/>
          <w:smallCaps w:val="false"/>
          <w:color w:val="000000"/>
          <w:sz w:val="20"/>
        </w:rPr>
        <w:t>if to the Company:</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Bakkt Holdings, Inc.</w:t>
        <w:br/>
        <w:t>1000 Avalon Boulevard, Suite 1000</w:t>
        <w:br/>
        <w:t>Alpharetta, Georgia 30009</w:t>
        <w:br/>
        <w:t>Telephone: 678-534-5849</w:t>
        <w:br/>
        <w:t>Attention: General Counsel</w:t>
        <w:br/>
        <w:t xml:space="preserve">Email: </w:t>
      </w:r>
      <w:r>
        <w:rPr>
          <w:rFonts w:ascii="Times New Roman;Times;Serif" w:hAnsi="Times New Roman;Times;Serif"/>
          <w:b w:val="false"/>
          <w:i w:val="false"/>
          <w:caps w:val="false"/>
          <w:smallCaps w:val="false"/>
          <w:color w:val="0000FF"/>
          <w:sz w:val="20"/>
          <w:u w:val="single"/>
        </w:rPr>
        <w:t>legal-notices@bakkt.com</w:t>
      </w:r>
    </w:p>
    <w:p>
      <w:pPr>
        <w:pStyle w:val="TextBody"/>
        <w:bidi w:val="0"/>
        <w:spacing w:lineRule="auto" w:line="268" w:before="0" w:after="2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with a copy (for informational purposes only) to:</w:t>
      </w:r>
    </w:p>
    <w:p>
      <w:pPr>
        <w:pStyle w:val="TextBody"/>
        <w:bidi w:val="0"/>
        <w:spacing w:lineRule="auto" w:line="268"/>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Wilson Sonsini Goodrich &amp; Rosati,</w:t>
        <w:br/>
        <w:t>Professional Corporation</w:t>
        <w:br/>
        <w:t>900 South Capital of Texas Highway</w:t>
        <w:br/>
        <w:t>Las Cimas IV, Fifth Floor</w:t>
        <w:br/>
        <w:t>Austin, Texas 78746</w:t>
        <w:br/>
        <w:t>Attention: J. Matthew Lyons</w:t>
        <w:br/>
        <w:t>Email: mlyons@wsgr.com</w:t>
      </w:r>
    </w:p>
    <w:p>
      <w:pPr>
        <w:pStyle w:val="TextBody"/>
        <w:bidi w:val="0"/>
        <w:spacing w:lineRule="auto" w:line="268" w:before="240" w:after="2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(b) </w:t>
      </w:r>
      <w:r>
        <w:rPr>
          <w:rFonts w:ascii="Times New Roman;Times;Serif" w:hAnsi="Times New Roman;Times;Serif"/>
          <w:b w:val="false"/>
          <w:i w:val="false"/>
          <w:caps w:val="false"/>
          <w:smallCaps w:val="false"/>
          <w:color w:val="000000"/>
          <w:sz w:val="20"/>
        </w:rPr>
        <w:t>if to the Supporting Stockholder, to such address indicated on the Company’s records with respect to the Supporting Stockholder or to such other address or addresses as the Supporting Stockholder may from time to time designate in writing.</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 xml:space="preserve">All such notices, requests and other communications will be deemed to have been delivered: (i) upon receipt, when delivered personally; (iii) upon delivery, when sent by electronic mail; or (iii) two (2) Business Days after deposit with a  U.S. nationally recognized overnight courier service, in each case properly addressed to the party to receive the same. </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r>
        <w:rPr>
          <w:rFonts w:ascii="Times New Roman;Times;Serif" w:hAnsi="Times New Roman;Times;Serif"/>
          <w:b w:val="false"/>
          <w:i w:val="false"/>
          <w:caps w:val="false"/>
          <w:smallCaps w:val="false"/>
          <w:color w:val="000000"/>
          <w:sz w:val="20"/>
          <w:u w:val="single"/>
        </w:rPr>
        <w:t>Entire Agreement</w:t>
      </w:r>
      <w:r>
        <w:rPr>
          <w:rFonts w:ascii="Times New Roman;Times;Serif" w:hAnsi="Times New Roman;Times;Serif"/>
          <w:b w:val="false"/>
          <w:i w:val="false"/>
          <w:caps w:val="false"/>
          <w:smallCaps w:val="false"/>
          <w:color w:val="000000"/>
          <w:sz w:val="20"/>
        </w:rPr>
        <w:t>. This Agreement and the documents and instruments and other agreements among the parties hereto as contemplated by or referred to herein constitute the entire agreement among the parties hereto with respect to the subject matter hereof and supersede all prior agreements and understandings, both written and oral, among the parties hereto with respect to the subject matter hereof.</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r>
        <w:rPr>
          <w:rFonts w:ascii="Times New Roman;Times;Serif" w:hAnsi="Times New Roman;Times;Serif"/>
          <w:b w:val="false"/>
          <w:i w:val="false"/>
          <w:caps w:val="false"/>
          <w:smallCaps w:val="false"/>
          <w:color w:val="000000"/>
          <w:sz w:val="20"/>
          <w:u w:val="single"/>
        </w:rPr>
        <w:t>Third-Party Beneficiaries</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shd w:fill="FFFFFF" w:val="clear"/>
        </w:rPr>
        <w:t xml:space="preserve">Each of the Supporting Stockholder and the Company acknowledges and agrees that this Agreement is being entered into in order to induce the Investors (other than the Supporting Stockholder) to execute and deliver the Securities Purchase Agreements, and without the representations, warranties, covenants and agreements of the Supporting Stockholder set forth herein, the Investors would not enter into the Securities Purchase Agreements. </w:t>
      </w:r>
      <w:r>
        <w:rPr>
          <w:rFonts w:ascii="Times New Roman;Times;Serif" w:hAnsi="Times New Roman;Times;Serif"/>
          <w:b w:val="false"/>
          <w:i w:val="false"/>
          <w:caps w:val="false"/>
          <w:smallCaps w:val="false"/>
          <w:color w:val="000000"/>
          <w:sz w:val="20"/>
        </w:rPr>
        <w:t>Notwithstanding the foregoing, this Agreement is intended only for the benefit of the parties hereto and their respective permitted successors and assigns, and is not for the benefit of, nor may any provision hereof be enforced by, any other Person.</w:t>
      </w:r>
    </w:p>
    <w:p>
      <w:pPr>
        <w:pStyle w:val="TextBody"/>
        <w:bidi w:val="0"/>
        <w:spacing w:lineRule="auto" w:line="268" w:before="240" w:after="240"/>
        <w:ind w:left="0" w:right="0" w:firstLine="72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r>
        <w:rPr>
          <w:rFonts w:ascii="Times New Roman;Times;Serif" w:hAnsi="Times New Roman;Times;Serif"/>
          <w:b w:val="false"/>
          <w:i w:val="false"/>
          <w:caps w:val="false"/>
          <w:smallCaps w:val="false"/>
          <w:color w:val="000000"/>
          <w:sz w:val="20"/>
          <w:u w:val="single"/>
        </w:rPr>
        <w:t>Governing Law and Venue; Service of Process; Waiver of Jury Trial</w:t>
      </w:r>
      <w:r>
        <w:rPr>
          <w:rFonts w:ascii="Times New Roman;Times;Serif" w:hAnsi="Times New Roman;Times;Serif"/>
          <w:b w:val="false"/>
          <w:i w:val="false"/>
          <w:caps w:val="false"/>
          <w:smallCaps w:val="false"/>
          <w:color w:val="000000"/>
          <w:sz w:val="20"/>
        </w:rPr>
        <w:t xml:space="preserve">. All questions concerning the construction, validity, enforcement and interpretation of this Agreement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Each of the parties hereto irrevocably consents to the exclusive jurisdiction and venue of the Court of Chancery of the State of Delaware,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if subject matter jurisdiction over the matter that is the subject of the legal proceeding is vested exclusively in the U.S. federal courts, such legal proceeding shall be heard in the U.S. District Court for the District of Delaware (together with the Court of Chancery of the State of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40" w:after="24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Delaware “</w:t>
      </w:r>
      <w:r>
        <w:rPr>
          <w:rFonts w:ascii="Times New Roman;Times;Serif" w:hAnsi="Times New Roman;Times;Serif"/>
          <w:b/>
          <w:i w:val="false"/>
          <w:caps w:val="false"/>
          <w:smallCaps w:val="false"/>
          <w:color w:val="000000"/>
          <w:sz w:val="20"/>
        </w:rPr>
        <w:t>Chosen Courts</w:t>
      </w:r>
      <w:r>
        <w:rPr>
          <w:rFonts w:ascii="Times New Roman;Times;Serif" w:hAnsi="Times New Roman;Times;Serif"/>
          <w:b w:val="false"/>
          <w:i w:val="false"/>
          <w:caps w:val="false"/>
          <w:smallCaps w:val="false"/>
          <w:color w:val="000000"/>
          <w:sz w:val="20"/>
        </w:rPr>
        <w:t xml:space="preserve">”), in connection with any matter based upon or arising out of this Agreement. Each party hereto hereby waives, and shall not assert as a defense in any legal dispute, that (a) such Person is not personally subject to the jurisdiction of the Chosen Courts for any reason, (b) such legal proceeding may not be brought or is not maintainable in the Chosen Courts, (c) such Person’s property is exempt or immune from execution, (d) such legal proceeding is brought in an inconvenient forum or (e) the venue of such legal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Times;Serif" w:hAnsi="Times New Roman;Times;Serif"/>
          <w:b/>
          <w:i w:val="false"/>
          <w:caps w:val="false"/>
          <w:smallCaps w:val="false"/>
          <w:color w:val="000000"/>
          <w:sz w:val="20"/>
        </w:rPr>
        <w:t xml:space="preserve">EACH PARTY HEREBY IRREVOCABLY WAIVES ANY RIGHT IT MAY HAVE, AND AGREES NOT TO REQUEST, A JURY TRIAL FOR THE ADJUDICATION OF ANY DISPUTE HEREUNDER OR IN CONNECTION WITH OR ARISING OUT OF THIS AGREEMENT OR </w:t>
      </w:r>
      <w:r>
        <w:rPr>
          <w:rFonts w:ascii="Times New Roman;Times;Serif" w:hAnsi="Times New Roman;Times;Serif"/>
          <w:b w:val="false"/>
          <w:i w:val="false"/>
          <w:caps w:val="false"/>
          <w:smallCaps w:val="false"/>
          <w:color w:val="000000"/>
          <w:sz w:val="20"/>
        </w:rPr>
        <w:t xml:space="preserve">ANY </w:t>
      </w:r>
      <w:r>
        <w:rPr>
          <w:rFonts w:ascii="Times New Roman;Times;Serif" w:hAnsi="Times New Roman;Times;Serif"/>
          <w:b/>
          <w:i w:val="false"/>
          <w:caps w:val="false"/>
          <w:smallCaps w:val="false"/>
          <w:color w:val="000000"/>
          <w:sz w:val="20"/>
        </w:rPr>
        <w:t>TRANSACTION CONTEMPLATED HEREBY.</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r>
        <w:rPr>
          <w:rFonts w:ascii="Times New Roman;Times;Serif" w:hAnsi="Times New Roman;Times;Serif"/>
          <w:b w:val="false"/>
          <w:i w:val="false"/>
          <w:caps w:val="false"/>
          <w:smallCaps w:val="false"/>
          <w:color w:val="000000"/>
          <w:sz w:val="20"/>
          <w:u w:val="single"/>
        </w:rPr>
        <w:t>Assignment; Successors</w:t>
      </w:r>
      <w:r>
        <w:rPr>
          <w:rFonts w:ascii="Times New Roman;Times;Serif" w:hAnsi="Times New Roman;Times;Serif"/>
          <w:b w:val="false"/>
          <w:i w:val="false"/>
          <w:caps w:val="false"/>
          <w:smallCaps w:val="false"/>
          <w:color w:val="000000"/>
          <w:sz w:val="20"/>
        </w:rPr>
        <w:t>. No party hereto may assign either this Agreement or any of its rights, interests, or obligations hereunder, by operation of law or otherwise, without the prior written approval of the other party hereto and, in the case of assignment by the Supporting Stockholder, without the prior written approval of the Investors representing a majority of the Class A common stock being purchased under each of the Securities Purchase Agreements. Subject to the preceding sentence, this Agreement will be binding upon and will inure to the benefit of, and be enforceable by, the parties hereto and their respective successors and permitted assigns. Any purported assignment of this Agreement without the consent required by this Section 12 is null and void.</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r>
        <w:rPr>
          <w:rFonts w:ascii="Times New Roman;Times;Serif" w:hAnsi="Times New Roman;Times;Serif"/>
          <w:b w:val="false"/>
          <w:i w:val="false"/>
          <w:caps w:val="false"/>
          <w:smallCaps w:val="false"/>
          <w:color w:val="000000"/>
          <w:sz w:val="20"/>
          <w:u w:val="single"/>
        </w:rPr>
        <w:t>Remedies</w:t>
      </w:r>
      <w:r>
        <w:rPr>
          <w:rFonts w:ascii="Times New Roman;Times;Serif" w:hAnsi="Times New Roman;Times;Serif"/>
          <w:b w:val="false"/>
          <w:i w:val="false"/>
          <w:caps w:val="false"/>
          <w:smallCaps w:val="false"/>
          <w:color w:val="000000"/>
          <w:sz w:val="20"/>
        </w:rPr>
        <w:t>. In addition to being entitled to exercise all rights provided herein or granted by law, including recovery of damages, the Company will be entitled to specific performance hereunder.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r>
        <w:rPr>
          <w:rFonts w:ascii="Times New Roman;Times;Serif" w:hAnsi="Times New Roman;Times;Serif"/>
          <w:b w:val="false"/>
          <w:i w:val="false"/>
          <w:caps w:val="false"/>
          <w:smallCaps w:val="false"/>
          <w:color w:val="000000"/>
          <w:sz w:val="20"/>
          <w:u w:val="single"/>
        </w:rPr>
        <w:t>Severability</w:t>
      </w:r>
      <w:r>
        <w:rPr>
          <w:rFonts w:ascii="Times New Roman;Times;Serif" w:hAnsi="Times New Roman;Times;Serif"/>
          <w:b w:val="false"/>
          <w:i w:val="false"/>
          <w:caps w:val="false"/>
          <w:smallCaps w:val="false"/>
          <w:color w:val="000000"/>
          <w:sz w:val="20"/>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lineRule="auto" w:line="268" w:before="240" w:after="240"/>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r>
        <w:rPr>
          <w:rFonts w:ascii="Times New Roman;Times;Serif" w:hAnsi="Times New Roman;Times;Serif"/>
          <w:b w:val="false"/>
          <w:i w:val="false"/>
          <w:caps w:val="false"/>
          <w:smallCaps w:val="false"/>
          <w:color w:val="000000"/>
          <w:sz w:val="20"/>
          <w:u w:val="single"/>
        </w:rPr>
        <w:t>Counterparts</w:t>
      </w:r>
      <w:r>
        <w:rPr>
          <w:rFonts w:ascii="Times New Roman;Times;Serif" w:hAnsi="Times New Roman;Times;Serif"/>
          <w:b w:val="false"/>
          <w:i w:val="false"/>
          <w:caps w:val="false"/>
          <w:smallCaps w:val="false"/>
          <w:color w:val="000000"/>
          <w:sz w:val="20"/>
        </w:rPr>
        <w:t xml:space="preserve">. This Agreement may be executed in two or more identical counterparts, all of which shall be considered one and the same agreement (it being understood that the parties need not sign the same counterpart) and shall become effective when counterparts have been signed by each party and delivered to the other party; </w:t>
      </w:r>
      <w:r>
        <w:rPr>
          <w:rFonts w:ascii="Times New Roman;Times;Serif" w:hAnsi="Times New Roman;Times;Serif"/>
          <w:b w:val="false"/>
          <w:i w:val="false"/>
          <w:caps w:val="false"/>
          <w:smallCaps w:val="false"/>
          <w:color w:val="000000"/>
          <w:sz w:val="20"/>
          <w:u w:val="single"/>
        </w:rPr>
        <w:t>provided</w:t>
      </w:r>
      <w:r>
        <w:rPr>
          <w:rFonts w:ascii="Times New Roman;Times;Serif" w:hAnsi="Times New Roman;Times;Serif"/>
          <w:b w:val="false"/>
          <w:i w:val="false"/>
          <w:caps w:val="false"/>
          <w:smallCaps w:val="false"/>
          <w:color w:val="000000"/>
          <w:sz w:val="20"/>
        </w:rPr>
        <w:t xml:space="preserve"> that a facsimile, .pdf signature or </w:t>
      </w:r>
      <w:r>
        <w:rPr>
          <w:rFonts w:ascii="Times New Roman;Times;Serif" w:hAnsi="Times New Roman;Times;Serif"/>
          <w:b w:val="false"/>
          <w:i w:val="false"/>
          <w:caps w:val="false"/>
          <w:smallCaps w:val="false"/>
          <w:color w:val="000000"/>
          <w:sz w:val="20"/>
          <w:shd w:fill="FFFFFF" w:val="clear"/>
        </w:rPr>
        <w:t>any electronic signature complying with the U.S. federal ESIGN Act of 2000 (e.g., www.docusign.com)</w:t>
      </w:r>
      <w:r>
        <w:rPr>
          <w:rFonts w:ascii="Times New Roman;Times;Serif" w:hAnsi="Times New Roman;Times;Serif"/>
          <w:b w:val="false"/>
          <w:i w:val="false"/>
          <w:caps w:val="false"/>
          <w:smallCaps w:val="false"/>
          <w:color w:val="000000"/>
          <w:sz w:val="20"/>
        </w:rPr>
        <w:t xml:space="preserve"> shall be considered due execution and shall be binding upon the signatory thereto with the same force and effect as if the signature were an original, not a facsimile or ..pdf signature.</w:t>
      </w:r>
    </w:p>
    <w:p>
      <w:pPr>
        <w:pStyle w:val="TextBody"/>
        <w:bidi w:val="0"/>
        <w:spacing w:lineRule="auto" w:line="268"/>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caps w:val="false"/>
          <w:smallCaps w:val="false"/>
          <w:color w:val="000000"/>
          <w:sz w:val="20"/>
        </w:rPr>
        <w:t>The remainder of this page is intentionally left blank.</w:t>
      </w:r>
      <w:r>
        <w:rPr>
          <w:rFonts w:ascii="Times New Roman;Times;Serif" w:hAnsi="Times New Roman;Times;Serif"/>
          <w:b w:val="false"/>
          <w:i w:val="false"/>
          <w:caps w:val="false"/>
          <w:smallCaps w:val="false"/>
          <w:color w:val="000000"/>
          <w:sz w:val="20"/>
        </w:rPr>
        <w:t>]</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40" w:after="283"/>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WITNESS WHEREOF, the parties hereto have caused this Agreement to be executed (where applicable, by their respective officers or other authorized Persons thereunto duly authorized) as of the date first written above.</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3106" w:type="dxa"/>
        <w:jc w:val="left"/>
        <w:tblInd w:w="0" w:type="dxa"/>
        <w:tblLayout w:type="fixed"/>
        <w:tblCellMar>
          <w:top w:w="28" w:type="dxa"/>
          <w:left w:w="28" w:type="dxa"/>
          <w:bottom w:w="28" w:type="dxa"/>
          <w:right w:w="28" w:type="dxa"/>
        </w:tblCellMar>
      </w:tblPr>
      <w:tblGrid>
        <w:gridCol w:w="415"/>
        <w:gridCol w:w="378"/>
        <w:gridCol w:w="378"/>
        <w:gridCol w:w="582"/>
        <w:gridCol w:w="582"/>
        <w:gridCol w:w="771"/>
      </w:tblGrid>
      <w:tr>
        <w:trPr/>
        <w:tc>
          <w:tcPr>
            <w:tcW w:w="415"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r>
      <w:tr>
        <w:trPr/>
        <w:tc>
          <w:tcPr>
            <w:tcW w:w="31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color w:val="000000"/>
                <w:sz w:val="20"/>
              </w:rPr>
            </w:pPr>
            <w:r>
              <w:rPr>
                <w:rFonts w:ascii="Times New Roman;Times;Serif" w:hAnsi="Times New Roman;Times;Serif"/>
                <w:b/>
                <w:color w:val="000000"/>
                <w:sz w:val="20"/>
              </w:rPr>
              <w:t>COMPANY: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color w:val="000000"/>
                <w:sz w:val="20"/>
              </w:rPr>
            </w:pPr>
            <w:r>
              <w:rPr>
                <w:rFonts w:ascii="Times New Roman;Times;Serif" w:hAnsi="Times New Roman;Times;Serif"/>
                <w:b/>
                <w:color w:val="000000"/>
                <w:sz w:val="20"/>
              </w:rPr>
              <w:t>BAKKT HOLDINGS, INC.</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By:</w:t>
            </w:r>
          </w:p>
        </w:tc>
        <w:tc>
          <w:tcPr>
            <w:tcW w:w="1935" w:type="dxa"/>
            <w:gridSpan w:val="3"/>
            <w:tcBorders/>
            <w:tcMar>
              <w:top w:w="0" w:type="dxa"/>
              <w:left w:w="0" w:type="dxa"/>
              <w:bottom w:w="0" w:type="dxa"/>
              <w:right w:w="0" w:type="dxa"/>
            </w:tcMar>
            <w:vAlign w:val="center"/>
          </w:tcPr>
          <w:p>
            <w:pPr>
              <w:pStyle w:val="TableContents"/>
              <w:bidi w:val="0"/>
              <w:spacing w:before="0" w:after="283"/>
              <w:jc w:val="left"/>
              <w:rPr/>
            </w:pPr>
            <w:r>
              <w:rPr/>
              <w:t>/s/ Gavin Michael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Name: Gavin Michael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Title: CEO</w:t>
            </w:r>
          </w:p>
        </w:tc>
      </w:tr>
    </w:tbl>
    <w:p>
      <w:pPr>
        <w:pStyle w:val="TextBody"/>
        <w:bidi w:val="0"/>
        <w:jc w:val="both"/>
        <w:rPr/>
      </w:pPr>
      <w:r>
        <w:rPr/>
        <w:t> </w:t>
      </w:r>
    </w:p>
    <w:p>
      <w:pPr>
        <w:pStyle w:val="TextBody"/>
        <w:bidi w:val="0"/>
        <w:jc w:val="both"/>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Signature Page to Voting Support Agreement</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68" w:before="240" w:after="283"/>
        <w:ind w:left="0" w:right="0" w:firstLine="72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IN WITNESS WHEREOF, the parties hereto have caused this Agreement to be executed (where applicable, by their respective officers or other authorized Persons thereunto duly authorized) as of the date first written above.</w:t>
      </w:r>
    </w:p>
    <w:p>
      <w:pPr>
        <w:pStyle w:val="TextBody"/>
        <w:bidi w:val="0"/>
        <w:spacing w:before="0" w:after="240"/>
        <w:jc w:val="left"/>
        <w:rPr/>
      </w:pPr>
      <w:r>
        <w:rPr/>
        <w:t> </w:t>
      </w:r>
    </w:p>
    <w:p>
      <w:pPr>
        <w:pStyle w:val="TextBody"/>
        <w:bidi w:val="0"/>
        <w:jc w:val="both"/>
        <w:rPr/>
      </w:pPr>
      <w:r>
        <w:rPr/>
        <w:t> </w:t>
      </w:r>
    </w:p>
    <w:tbl>
      <w:tblPr>
        <w:tblW w:w="5916" w:type="dxa"/>
        <w:jc w:val="left"/>
        <w:tblInd w:w="0" w:type="dxa"/>
        <w:tblLayout w:type="fixed"/>
        <w:tblCellMar>
          <w:top w:w="28" w:type="dxa"/>
          <w:left w:w="28" w:type="dxa"/>
          <w:bottom w:w="28" w:type="dxa"/>
          <w:right w:w="28" w:type="dxa"/>
        </w:tblCellMar>
      </w:tblPr>
      <w:tblGrid>
        <w:gridCol w:w="576"/>
        <w:gridCol w:w="522"/>
        <w:gridCol w:w="522"/>
        <w:gridCol w:w="522"/>
        <w:gridCol w:w="522"/>
        <w:gridCol w:w="522"/>
        <w:gridCol w:w="816"/>
        <w:gridCol w:w="816"/>
        <w:gridCol w:w="1098"/>
      </w:tblGrid>
      <w:tr>
        <w:trPr/>
        <w:tc>
          <w:tcPr>
            <w:tcW w:w="576"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r>
      <w:tr>
        <w:trPr/>
        <w:tc>
          <w:tcPr>
            <w:tcW w:w="5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color w:val="000000"/>
                <w:sz w:val="20"/>
              </w:rPr>
            </w:pPr>
            <w:r>
              <w:rPr>
                <w:rFonts w:ascii="Times New Roman;Times;Serif" w:hAnsi="Times New Roman;Times;Serif"/>
                <w:b/>
                <w:color w:val="000000"/>
                <w:sz w:val="20"/>
              </w:rPr>
              <w:t>SUPPORTING STOCKHOLDER: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color w:val="000000"/>
                <w:sz w:val="20"/>
              </w:rPr>
            </w:pPr>
            <w:r>
              <w:rPr>
                <w:rFonts w:ascii="Times New Roman;Times;Serif" w:hAnsi="Times New Roman;Times;Serif"/>
                <w:b/>
                <w:color w:val="000000"/>
                <w:sz w:val="20"/>
              </w:rPr>
              <w:t>INTERCONTINENTAL EXCHANGE HOLDINGS, INC.</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By:</w:t>
            </w:r>
          </w:p>
        </w:tc>
        <w:tc>
          <w:tcPr>
            <w:tcW w:w="2730" w:type="dxa"/>
            <w:gridSpan w:val="3"/>
            <w:tcBorders/>
            <w:tcMar>
              <w:top w:w="0" w:type="dxa"/>
              <w:left w:w="0" w:type="dxa"/>
              <w:bottom w:w="0" w:type="dxa"/>
              <w:right w:w="0" w:type="dxa"/>
            </w:tcMar>
            <w:vAlign w:val="center"/>
          </w:tcPr>
          <w:p>
            <w:pPr>
              <w:pStyle w:val="TableContents"/>
              <w:bidi w:val="0"/>
              <w:spacing w:before="0" w:after="283"/>
              <w:jc w:val="left"/>
              <w:rPr/>
            </w:pPr>
            <w:r>
              <w:rPr/>
              <w:t>/s/ Andrew J. Surdykowski</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Name:</w:t>
            </w:r>
          </w:p>
        </w:tc>
        <w:tc>
          <w:tcPr>
            <w:tcW w:w="27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pPr>
            <w:r>
              <w:rPr/>
              <w:t>Andrew J. Surdykowski</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Times;Serif" w:hAnsi="Times New Roman;Times;Serif"/>
                <w:b w:val="false"/>
                <w:color w:val="000000"/>
                <w:sz w:val="20"/>
              </w:rPr>
            </w:pPr>
            <w:r>
              <w:rPr>
                <w:rFonts w:ascii="Times New Roman;Times;Serif" w:hAnsi="Times New Roman;Times;Serif"/>
                <w:b w:val="false"/>
                <w:color w:val="000000"/>
                <w:sz w:val="20"/>
              </w:rPr>
              <w:t>Title:</w:t>
            </w:r>
          </w:p>
        </w:tc>
        <w:tc>
          <w:tcPr>
            <w:tcW w:w="2730" w:type="dxa"/>
            <w:gridSpan w:val="3"/>
            <w:tcBorders/>
            <w:tcMar>
              <w:top w:w="0" w:type="dxa"/>
              <w:left w:w="0" w:type="dxa"/>
              <w:bottom w:w="0" w:type="dxa"/>
              <w:right w:w="0" w:type="dxa"/>
            </w:tcMar>
            <w:vAlign w:val="center"/>
          </w:tcPr>
          <w:p>
            <w:pPr>
              <w:pStyle w:val="TableContents"/>
              <w:bidi w:val="0"/>
              <w:spacing w:before="0" w:after="283"/>
              <w:jc w:val="left"/>
              <w:rPr/>
            </w:pPr>
            <w:r>
              <w:rPr/>
              <w:t>General Counsel</w:t>
            </w:r>
          </w:p>
        </w:tc>
      </w:tr>
    </w:tbl>
    <w:p>
      <w:pPr>
        <w:pStyle w:val="TextBody"/>
        <w:bidi w:val="0"/>
        <w:jc w:val="both"/>
        <w:rPr/>
      </w:pPr>
      <w:r>
        <w:rPr/>
        <w:t> </w:t>
      </w:r>
    </w:p>
    <w:p>
      <w:pPr>
        <w:pStyle w:val="TextBody"/>
        <w:bidi w:val="0"/>
        <w:spacing w:lineRule="auto" w:line="240"/>
        <w:ind w:left="0" w:right="0" w:firstLine="72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Owned Shares Held Directly:</w:t>
      </w:r>
    </w:p>
    <w:p>
      <w:pPr>
        <w:pStyle w:val="TextBody"/>
        <w:bidi w:val="0"/>
        <w:ind w:left="0" w:right="0" w:firstLine="720"/>
        <w:jc w:val="left"/>
        <w:rPr/>
      </w:pPr>
      <w:r>
        <w:rPr/>
        <w:t> </w:t>
      </w:r>
    </w:p>
    <w:p>
      <w:pPr>
        <w:pStyle w:val="TextBody"/>
        <w:bidi w:val="0"/>
        <w:spacing w:lineRule="auto" w:line="240"/>
        <w:ind w:left="0" w:right="0" w:firstLine="72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Common Stock: 174,793,798</w:t>
      </w:r>
    </w:p>
    <w:p>
      <w:pPr>
        <w:pStyle w:val="TextBody"/>
        <w:bidi w:val="0"/>
        <w:spacing w:lineRule="auto" w:line="240"/>
        <w:ind w:left="0" w:right="0" w:firstLine="72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z w:val="20"/>
        </w:rPr>
        <w:t>Comprised of</w:t>
      </w:r>
      <w:r>
        <w:rPr>
          <w:rFonts w:ascii="Times New Roman;Times;Serif" w:hAnsi="Times New Roman;Times;Serif"/>
          <w:b w:val="false"/>
          <w:i w:val="false"/>
          <w:caps w:val="false"/>
          <w:smallCaps w:val="false"/>
          <w:color w:val="000000"/>
          <w:sz w:val="20"/>
        </w:rPr>
        <w:t>:</w:t>
      </w:r>
    </w:p>
    <w:p>
      <w:pPr>
        <w:pStyle w:val="TextBody"/>
        <w:bidi w:val="0"/>
        <w:spacing w:lineRule="auto" w:line="240"/>
        <w:ind w:left="0" w:right="0" w:firstLine="72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Class A Common Stock: 4,714,336</w:t>
      </w:r>
    </w:p>
    <w:p>
      <w:pPr>
        <w:pStyle w:val="TextBody"/>
        <w:bidi w:val="0"/>
        <w:spacing w:lineRule="auto" w:line="240"/>
        <w:ind w:left="0" w:right="0" w:firstLine="72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Class V Common Stock: 170,079,462</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lineRule="auto" w:line="24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z w:val="20"/>
        </w:rPr>
        <w:t>Signature Page to Voting Support Agreement</w:t>
      </w:r>
    </w:p>
    <w:p>
      <w:pPr>
        <w:pStyle w:val="TextBody"/>
        <w:bidi w:val="0"/>
        <w:spacing w:before="60" w:after="60"/>
        <w:jc w:val="left"/>
        <w:rPr>
          <w:bdr w:val="single" w:sz="16" w:space="1" w:color="000000"/>
        </w:rPr>
      </w:pPr>
      <w:r>
        <w:rPr>
          <w:bdr w:val="single" w:sz="16" w:space="1" w:color="000000"/>
        </w:rPr>
        <w:t> </w:t>
      </w:r>
    </w:p>
    <w:p>
      <w:pPr>
        <w:pStyle w:val="TextBody"/>
        <w:bidi w:val="0"/>
        <w:jc w:val="center"/>
        <w:rPr>
          <w:rFonts w:ascii="Times New Roman;Times;Serif" w:hAnsi="Times New Roman;Times;Serif"/>
          <w:b/>
          <w:i w:val="false"/>
          <w:caps w:val="false"/>
          <w:smallCaps w:val="false"/>
          <w:sz w:val="20"/>
        </w:rPr>
      </w:pPr>
      <w:bookmarkStart w:id="6" w:name="ss3098627_ex9917.htm"/>
      <w:bookmarkStart w:id="7" w:name="ksss3098627_ex9917"/>
      <w:bookmarkEnd w:id="6"/>
      <w:bookmarkEnd w:id="7"/>
      <w:r>
        <w:rPr>
          <w:rFonts w:ascii="Times New Roman;Times;Serif" w:hAnsi="Times New Roman;Times;Serif"/>
          <w:b/>
          <w:i w:val="false"/>
          <w:caps w:val="false"/>
          <w:smallCaps w:val="false"/>
          <w:sz w:val="20"/>
        </w:rPr>
        <w:t>COMMON STOCK PURCHASE WARRANT</w:t>
      </w:r>
      <w:r>
        <w:br w:type="page"/>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BAKKT HOLDINGS, INC.</w:t>
      </w:r>
    </w:p>
    <w:p>
      <w:pPr>
        <w:pStyle w:val="TextBody"/>
        <w:bidi w:val="0"/>
        <w:jc w:val="center"/>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2330"/>
        <w:gridCol w:w="3395"/>
      </w:tblGrid>
      <w:tr>
        <w:trPr/>
        <w:tc>
          <w:tcPr>
            <w:tcW w:w="23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Shares: 1,381,004</w:t>
            </w:r>
          </w:p>
        </w:tc>
        <w:tc>
          <w:tcPr>
            <w:tcW w:w="33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Original Issuance Date</w:t>
            </w:r>
            <w:r>
              <w:rPr>
                <w:rFonts w:ascii="Times New Roman;Times;Serif" w:hAnsi="Times New Roman;Times;Serif"/>
                <w:b w:val="false"/>
                <w:i w:val="false"/>
                <w:caps w:val="false"/>
                <w:smallCaps w:val="false"/>
                <w:sz w:val="20"/>
              </w:rPr>
              <w:t>: March 4, 2024</w:t>
            </w:r>
          </w:p>
        </w:tc>
      </w:tr>
      <w:tr>
        <w:trPr/>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Initial Exercise Date</w:t>
            </w:r>
            <w:r>
              <w:rPr>
                <w:rFonts w:ascii="Times New Roman;Times;Serif" w:hAnsi="Times New Roman;Times;Serif"/>
                <w:b w:val="false"/>
                <w:i w:val="false"/>
                <w:caps w:val="false"/>
                <w:smallCaps w:val="false"/>
                <w:sz w:val="20"/>
              </w:rPr>
              <w:t>: September 4, 2024</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September 4, 2029</w:t>
            </w:r>
          </w:p>
        </w:tc>
      </w:tr>
    </w:tbl>
    <w:p>
      <w:pPr>
        <w:pStyle w:val="TextBody"/>
        <w:bidi w:val="0"/>
        <w:jc w:val="left"/>
        <w:rPr>
          <w:caps w:val="false"/>
          <w:smallCaps w:val="false"/>
        </w:rPr>
      </w:pPr>
      <w:r>
        <w:rPr>
          <w:caps w:val="false"/>
          <w:smallCaps w:val="false"/>
        </w:rPr>
        <w:t> </w:t>
      </w:r>
    </w:p>
    <w:p>
      <w:pPr>
        <w:pStyle w:val="TextBody"/>
        <w:bidi w:val="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(Class 1)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Intercontinental Exchange Holdings, Inc.,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September 4, 2024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September 4, 2029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BAKKT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1,381,004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the Company’s Class A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2(b).</w:t>
      </w:r>
    </w:p>
    <w:p>
      <w:pPr>
        <w:pStyle w:val="TextBody"/>
        <w:bidi w:val="0"/>
        <w:jc w:val="left"/>
        <w:rPr>
          <w:caps w:val="false"/>
          <w:smallCaps w:val="false"/>
        </w:rPr>
      </w:pPr>
      <w:r>
        <w:rPr>
          <w:caps w:val="false"/>
          <w:smallCaps w:val="false"/>
        </w:rPr>
        <w:t> </w:t>
      </w:r>
    </w:p>
    <w:p>
      <w:pPr>
        <w:pStyle w:val="TextBody"/>
        <w:bidi w:val="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February 29, 2024, among the Company and the purchaser signatory thereto.</w:t>
      </w:r>
    </w:p>
    <w:p>
      <w:pPr>
        <w:pStyle w:val="TextBody"/>
        <w:bidi w:val="0"/>
        <w:jc w:val="left"/>
        <w:rPr>
          <w:caps w:val="false"/>
          <w:smallCaps w:val="false"/>
        </w:rPr>
      </w:pPr>
      <w:r>
        <w:rPr>
          <w:caps w:val="false"/>
          <w:smallCaps w:val="false"/>
        </w:rPr>
        <w:t> </w:t>
      </w:r>
    </w:p>
    <w:p>
      <w:pPr>
        <w:pStyle w:val="TextBody"/>
        <w:bidi w:val="0"/>
        <w:spacing w:before="0" w:after="24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two (2) Trading Days (as defined in Section 2(c) herein) and (ii) the number of Trading Days comprising the Standard Settlement Period (as defined in Section 2(e)(i) herein) following the date of exercise as aforesaid, the Holder shall deliver the aggregate Exercise Price for the number of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$1.02,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This Warrant may also be exercised, in whole or in part, at any time or times on or after the Initial Exercise Date and on or before the Termination Date by means of a “cashless exercise” in which the Holder shall be entitled to receive a number of Warrant Shares equal to the quotient obtained by dividing [(A-B) (X)] by (A), where:</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24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648"/>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then not listed on a Trading Market and if the Shares are listed or quoted for trading on the OTC Market Group’s OTCQB exchange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OTCQX exchange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ind w:left="0" w:right="0" w:firstLine="648"/>
        <w:jc w:val="both"/>
        <w:rPr>
          <w:caps w:val="false"/>
          <w:smallCaps w:val="false"/>
        </w:rPr>
      </w:pPr>
      <w:r>
        <w:rPr>
          <w:caps w:val="false"/>
          <w:smallCaps w:val="false"/>
        </w:rPr>
        <w:t> </w:t>
      </w:r>
    </w:p>
    <w:p>
      <w:pPr>
        <w:pStyle w:val="TextBody"/>
        <w:bidi w:val="0"/>
        <w:spacing w:before="0" w:after="240"/>
        <w:ind w:left="45" w:right="45" w:firstLine="648"/>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Trading Market is open for trading, including any day on which the Trading Market is open for trading for a period of time less than the customary time.</w:t>
      </w:r>
    </w:p>
    <w:p>
      <w:pPr>
        <w:pStyle w:val="TextBody"/>
        <w:bidi w:val="0"/>
        <w:spacing w:before="0" w:after="240"/>
        <w:ind w:left="45" w:right="45"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ind w:left="0" w:right="0" w:firstLine="648"/>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then not listed or quoted on a Trading Market and if the Shares are listed or quoted for trading on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ind w:left="0" w:right="0" w:firstLine="648"/>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-2-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648"/>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tbl>
      <w:tblPr>
        <w:tblW w:w="5000" w:type="pct"/>
        <w:jc w:val="left"/>
        <w:tblInd w:w="0" w:type="dxa"/>
        <w:tblLayout w:type="fixed"/>
        <w:tblCellMar>
          <w:top w:w="0" w:type="dxa"/>
          <w:left w:w="0" w:type="dxa"/>
          <w:bottom w:w="0" w:type="dxa"/>
          <w:right w:w="0" w:type="dxa"/>
        </w:tblCellMar>
      </w:tblPr>
      <w:tblGrid>
        <w:gridCol w:w="157"/>
        <w:gridCol w:w="766"/>
        <w:gridCol w:w="9282"/>
      </w:tblGrid>
      <w:tr>
        <w:trPr/>
        <w:tc>
          <w:tcPr>
            <w:tcW w:w="1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pPr>
            <w:r>
              <w:rPr/>
              <w:t>e.</w:t>
            </w:r>
          </w:p>
        </w:tc>
        <w:tc>
          <w:tcPr>
            <w:tcW w:w="9282" w:type="dxa"/>
            <w:tcBorders/>
            <w:vAlign w:val="center"/>
          </w:tcPr>
          <w:p>
            <w:pPr>
              <w:pStyle w:val="TableContents"/>
              <w:bidi w:val="0"/>
              <w:spacing w:before="0" w:after="283"/>
              <w:jc w:val="both"/>
              <w:rPr/>
            </w:pPr>
            <w:r>
              <w:rPr>
                <w:u w:val="single"/>
              </w:rPr>
              <w:t>Mechanics of Exercise</w:t>
            </w:r>
            <w:r>
              <w:rPr/>
              <w:t>.</w:t>
            </w:r>
          </w:p>
        </w:tc>
      </w:tr>
    </w:tbl>
    <w:p>
      <w:pPr>
        <w:pStyle w:val="TextBody"/>
        <w:bidi w:val="0"/>
        <w:ind w:left="720" w:right="0" w:hanging="0"/>
        <w:jc w:val="left"/>
        <w:rPr>
          <w:caps w:val="false"/>
          <w:smallCaps w:val="false"/>
        </w:rPr>
      </w:pPr>
      <w:r>
        <w:rPr>
          <w:caps w:val="false"/>
          <w:smallCaps w:val="false"/>
        </w:rPr>
        <w:t> </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Holder rescinds such exercise. The Company agrees to maintain a transfer agent that is a participant in the Fast Automated Securities Transfer (“</w:t>
      </w:r>
      <w:r>
        <w:rPr>
          <w:rFonts w:ascii="Times New Roman;Times;Serif" w:hAnsi="Times New Roman;Times;Serif"/>
          <w:b w:val="false"/>
          <w:i w:val="false"/>
          <w:caps w:val="false"/>
          <w:smallCaps w:val="false"/>
          <w:sz w:val="20"/>
          <w:u w:val="single"/>
        </w:rPr>
        <w:t>FAST</w:t>
      </w:r>
      <w:r>
        <w:rPr>
          <w:rFonts w:ascii="Times New Roman;Times;Serif" w:hAnsi="Times New Roman;Times;Serif"/>
          <w:b w:val="false"/>
          <w:i w:val="false"/>
          <w:caps w:val="false"/>
          <w:smallCaps w:val="false"/>
          <w:sz w:val="20"/>
        </w:rPr>
        <w: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2(e)(i) by the Warrant Share Delivery Date, then the Holder will have the right to rescind such exercise.</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-3-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2(e)(i)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to purchase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-4-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For purposes of this Section 2(f),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at the election of the Holder prior to the issuance of this Warrant,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2(f),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2(f)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is owing to the Holder. For the avoidance of doubt, the restrictions on exercise of any portion of this Warrant in this Section 2(f), the restrictions on participation in any Purchase Right in Section 3(b) and the restrictions on participation in any Distribution in Section 3(c) shall not prevent or limit any such exercise or participation by the Holder if the number of shares of Common Stock beneficially owned by the Holder and its Affiliates and Attribution Parties immediately prior to giving effect to such exercise or participation exceeds 9.99% of the number of shares of the Common Stock outstanding immediately prior to giving effect to such exercise or participation.</w:t>
      </w:r>
    </w:p>
    <w:p>
      <w:pPr>
        <w:pStyle w:val="TextBody"/>
        <w:bidi w:val="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 Rights Offering</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-5-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If at any time this Warrant is outstanding the Company grants, issues or sells any Common Stock Equivalents or rights to purchase shares, warrants, securities or other property pro rata to all of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-6-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of the Company), directly or indirectly, effects any sale, lease, license, assignment, transfer, conveyance or other disposition of all or substantially all of the Company’s consolidated assets in one or a series of related transactions (provided that, for the avoidance of doubt, the sale by the Company of its loyalty and travel redemption business comprised of certain entities and any assets thereof shall not be deemed to be a sale or other disposition of all or substantially all of the Company’s assets),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2(f)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use commercially reasonable efforts to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board of directors of the Company,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For the avoidance of doubt, the Holder shall be entitled to the benefits of the provisions of this Section 3(d) regardless of whether the Company has sufficient authorized shares of Common Stock for the issuance of the Warrant Shares.</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-7-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shares of Common Stock rights or warrants to subscribe for or purchase any shares of capital stock of any class or any rights, (D) the approval of any stockholders of the Company shall be required in connection with a Fundamental Transaction,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while this Warrant is outstanding, reduce (temporarily or permanently) the then-current Exercise Price to any amount and for any period of time deemed appropriate by the board of directors of the Company in its sole discretion.</w:t>
      </w:r>
    </w:p>
    <w:p>
      <w:pPr>
        <w:pStyle w:val="TextBody"/>
        <w:bidi w:val="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-8-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maintain the Original Issuance Date of this Warrant and shall be identical with this Warrant except as to the number of Warrant Shares issuable pursuant thereto.</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2(e)(i), except as expressly set forth in Section 3. Without limiting the rights of a Holder to receive Warrant Shares on a “cashless exercise” and to receive the cash payments contemplated pursuant to Sections 2(e)(i) and 2(e)(iv), in no event will the Company be required to net cash settle an exercise of this Warrant.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and in case of loss, theft or destruction, of indemnity or security reasonably satisfactory to it (which shall not include the posting of any bond), and upon surrender and cancellation of such Warrant, if mutilated, the Company will make and deliver a new Warrant of like tenor and dated as of such cancellation, in lieu of such Warrant. The applicant for a new certificate or instrument under such circumstances shall pay any reasonable third-party costs (including customary indemnity) associated with the issuance of such replacement warrant.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that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-9-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For the avoidance of doubt, the foregoing shall in no way modify or qualify the right to exercise this Warrant terminating on the Termination Date. Without limiting any other provision of this Warrant, if the Company willfully and knowingly fails to comply with any provision of this Warrant or the Purchase Agreement,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the Holder of this Warrant, on the other hand.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-10-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-11-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1296"/>
        <w:jc w:val="both"/>
        <w:rPr>
          <w:caps w:val="false"/>
          <w:smallCaps w:val="false"/>
        </w:rPr>
      </w:pPr>
      <w:r>
        <w:rPr>
          <w:caps w:val="false"/>
          <w:smallCaps w:val="false"/>
        </w:rPr>
        <w:t> </w:t>
      </w:r>
    </w:p>
    <w:p>
      <w:pPr>
        <w:pStyle w:val="TextBody"/>
        <w:bidi w:val="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ind w:left="0" w:right="0" w:firstLine="1296"/>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sz w:val="4"/>
                <w:szCs w:val="4"/>
              </w:rPr>
            </w:pPr>
            <w:r>
              <w:rPr>
                <w:sz w:val="4"/>
                <w:szCs w:val="4"/>
              </w:rPr>
            </w:r>
          </w:p>
        </w:tc>
        <w:tc>
          <w:tcPr>
            <w:tcW w:w="2950" w:type="dxa"/>
            <w:gridSpan w:val="2"/>
            <w:tcBorders/>
            <w:vAlign w:val="center"/>
          </w:tcPr>
          <w:p>
            <w:pPr>
              <w:pStyle w:val="TableContents"/>
              <w:bidi w:val="0"/>
              <w:spacing w:before="0" w:after="283"/>
              <w:jc w:val="left"/>
              <w:rPr/>
            </w:pPr>
            <w:r>
              <w:rPr>
                <w:b/>
                <w:sz w:val="20"/>
              </w:rPr>
              <w:t>BAKKT HOLDINGS, INC</w:t>
            </w:r>
            <w:r>
              <w:rPr>
                <w:b/>
              </w:rPr>
              <w: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Gavin Michael</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bottom w:val="single" w:sz="8" w:space="0" w:color="000000"/>
            </w:tcBorders>
            <w:tcMar>
              <w:bottom w:w="28" w:type="dxa"/>
            </w:tcMar>
            <w:vAlign w:val="center"/>
          </w:tcPr>
          <w:p>
            <w:pPr>
              <w:pStyle w:val="TableContents"/>
              <w:bidi w:val="0"/>
              <w:spacing w:before="0" w:after="283"/>
              <w:jc w:val="left"/>
              <w:rPr/>
            </w:pPr>
            <w:r>
              <w:rPr/>
              <w:t>Gavin Michael</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bottom w:val="single" w:sz="8" w:space="0" w:color="000000"/>
            </w:tcBorders>
            <w:tcMar>
              <w:bottom w:w="28" w:type="dxa"/>
            </w:tcMar>
            <w:vAlign w:val="center"/>
          </w:tcPr>
          <w:p>
            <w:pPr>
              <w:pStyle w:val="TableContents"/>
              <w:bidi w:val="0"/>
              <w:spacing w:before="0" w:after="283"/>
              <w:jc w:val="left"/>
              <w:rPr/>
            </w:pPr>
            <w:r>
              <w:rPr/>
              <w:t>Chief Executive Officer</w:t>
            </w:r>
          </w:p>
        </w:tc>
      </w:tr>
    </w:tbl>
    <w:p>
      <w:pPr>
        <w:pStyle w:val="TextBody"/>
        <w:bidi w:val="0"/>
        <w:ind w:left="4320" w:right="0" w:firstLine="720"/>
        <w:jc w:val="both"/>
        <w:rPr>
          <w:caps w:val="false"/>
          <w:smallCaps w:val="false"/>
        </w:rPr>
      </w:pPr>
      <w:r>
        <w:rPr>
          <w:caps w:val="false"/>
          <w:smallCaps w:val="false"/>
        </w:rPr>
        <w:t> </w:t>
      </w:r>
    </w:p>
    <w:p>
      <w:pPr>
        <w:pStyle w:val="TextBody"/>
        <w:bidi w:val="0"/>
        <w:ind w:left="0" w:right="0" w:firstLine="504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6305" w:type="dxa"/>
        <w:jc w:val="left"/>
        <w:tblInd w:w="0" w:type="dxa"/>
        <w:tblLayout w:type="fixed"/>
        <w:tblCellMar>
          <w:top w:w="0" w:type="dxa"/>
          <w:left w:w="0" w:type="dxa"/>
          <w:bottom w:w="0" w:type="dxa"/>
          <w:right w:w="0" w:type="dxa"/>
        </w:tblCellMar>
      </w:tblPr>
      <w:tblGrid>
        <w:gridCol w:w="75"/>
        <w:gridCol w:w="6155"/>
        <w:gridCol w:w="75"/>
      </w:tblGrid>
      <w:tr>
        <w:trPr/>
        <w:tc>
          <w:tcPr>
            <w:tcW w:w="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center"/>
              <w:rPr/>
            </w:pPr>
            <w:r>
              <w:rPr>
                <w:i/>
              </w:rPr>
              <w:t>[Signature Page to Common Stock Purchase Warrant</w:t>
            </w:r>
            <w:r>
              <w:rPr/>
              <w:t xml:space="preserve"> </w:t>
            </w:r>
            <w:r>
              <w:rPr>
                <w:i/>
              </w:rPr>
              <w:t>(Class 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350"/>
        <w:gridCol w:w="2300"/>
      </w:tblGrid>
      <w:tr>
        <w:trPr/>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2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BAKKT HOLDINGS, INC.</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w:t>
        <w:tab/>
        <w:t>in lawful money of the United States; or</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w:t>
        <w:tab/>
        <w:t>if permitted the cancellation of such number of Warrant Shares as is necessary, in accordance with the formula set forth in Section 2(c), to exercise this Warrant with respect to the maximum number of Warrant Shares purchasable pursuant to the cashless exercise procedure set forth in Section 2(c).</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ind w:left="0" w:right="0" w:firstLine="72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tbl>
      <w:tblPr>
        <w:tblW w:w="2360" w:type="dxa"/>
        <w:jc w:val="left"/>
        <w:tblInd w:w="0" w:type="dxa"/>
        <w:tblLayout w:type="fixed"/>
        <w:tblCellMar>
          <w:top w:w="0" w:type="dxa"/>
          <w:left w:w="0" w:type="dxa"/>
          <w:bottom w:w="0" w:type="dxa"/>
          <w:right w:w="0" w:type="dxa"/>
        </w:tblCellMar>
      </w:tblPr>
      <w:tblGrid>
        <w:gridCol w:w="2360"/>
      </w:tblGrid>
      <w:tr>
        <w:trPr/>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tc>
      </w:tr>
      <w:tr>
        <w:trPr/>
        <w:tc>
          <w:tcPr>
            <w:tcW w:w="236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4505"/>
        <w:gridCol w:w="75"/>
      </w:tblGrid>
      <w:tr>
        <w:trPr/>
        <w:tc>
          <w:tcPr>
            <w:tcW w:w="45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Investing Entity: </w:t>
            </w:r>
          </w:p>
        </w:tc>
      </w:tr>
      <w:tr>
        <w:trPr/>
        <w:tc>
          <w:tcPr>
            <w:tcW w:w="4505" w:type="dxa"/>
            <w:tcBorders>
              <w:bottom w:val="single" w:sz="12" w:space="0" w:color="000000"/>
            </w:tcBorders>
            <w:tcMar>
              <w:bottom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2690" w:type="dxa"/>
        <w:jc w:val="left"/>
        <w:tblInd w:w="0" w:type="dxa"/>
        <w:tblLayout w:type="fixed"/>
        <w:tblCellMar>
          <w:top w:w="0" w:type="dxa"/>
          <w:left w:w="0" w:type="dxa"/>
          <w:bottom w:w="28" w:type="dxa"/>
          <w:right w:w="0" w:type="dxa"/>
        </w:tblCellMar>
      </w:tblPr>
      <w:tblGrid>
        <w:gridCol w:w="2615"/>
        <w:gridCol w:w="75"/>
      </w:tblGrid>
      <w:tr>
        <w:trPr/>
        <w:tc>
          <w:tcPr>
            <w:tcW w:w="2615" w:type="dxa"/>
            <w:tcBorders>
              <w:bottom w:val="single" w:sz="12" w:space="0" w:color="000000"/>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Authorized Signatory: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2615" w:type="dxa"/>
        <w:jc w:val="left"/>
        <w:tblInd w:w="0" w:type="dxa"/>
        <w:tblLayout w:type="fixed"/>
        <w:tblCellMar>
          <w:top w:w="0" w:type="dxa"/>
          <w:left w:w="0" w:type="dxa"/>
          <w:bottom w:w="28" w:type="dxa"/>
          <w:right w:w="0" w:type="dxa"/>
        </w:tblCellMar>
      </w:tblPr>
      <w:tblGrid>
        <w:gridCol w:w="2540"/>
        <w:gridCol w:w="75"/>
      </w:tblGrid>
      <w:tr>
        <w:trPr/>
        <w:tc>
          <w:tcPr>
            <w:tcW w:w="2540" w:type="dxa"/>
            <w:tcBorders>
              <w:bottom w:val="single" w:sz="12" w:space="0" w:color="000000"/>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of Authorized Signatory: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135"/>
        <w:gridCol w:w="38"/>
      </w:tblGrid>
      <w:tr>
        <w:trPr/>
        <w:tc>
          <w:tcPr>
            <w:tcW w:w="135" w:type="dxa"/>
            <w:tcBorders>
              <w:bottom w:val="single" w:sz="12"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38" w:type="dxa"/>
            <w:tcBorders/>
            <w:tcMar>
              <w:bottom w:w="0" w:type="dxa"/>
            </w:tcMar>
            <w:vAlign w:val="center"/>
          </w:tcPr>
          <w:p>
            <w:pPr>
              <w:pStyle w:val="TableContents"/>
              <w:bidi w:val="0"/>
              <w:spacing w:before="0" w:after="283"/>
              <w:jc w:val="left"/>
              <w:rPr>
                <w:sz w:val="4"/>
                <w:szCs w:val="4"/>
              </w:rPr>
            </w:pPr>
            <w:r>
              <w:rPr>
                <w:sz w:val="4"/>
                <w:szCs w:val="4"/>
              </w:rPr>
            </w:r>
          </w:p>
        </w:tc>
      </w:tr>
    </w:tbl>
    <w:tbl>
      <w:tblPr>
        <w:tblW w:w="590" w:type="dxa"/>
        <w:jc w:val="left"/>
        <w:tblInd w:w="0" w:type="dxa"/>
        <w:tblLayout w:type="fixed"/>
        <w:tblCellMar>
          <w:top w:w="0" w:type="dxa"/>
          <w:left w:w="0" w:type="dxa"/>
          <w:bottom w:w="0" w:type="dxa"/>
          <w:right w:w="0" w:type="dxa"/>
        </w:tblCellMar>
      </w:tblPr>
      <w:tblGrid>
        <w:gridCol w:w="515"/>
        <w:gridCol w:w="75"/>
      </w:tblGrid>
      <w:tr>
        <w:trPr/>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right"/>
        <w:rPr>
          <w:caps w:val="false"/>
          <w:smallCaps w:val="false"/>
        </w:rPr>
      </w:pPr>
      <w:r>
        <w:rPr>
          <w:caps w:val="false"/>
          <w:smallCaps w:val="false"/>
        </w:rPr>
        <w:t> </w:t>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79" w:type="dxa"/>
        <w:jc w:val="left"/>
        <w:tblInd w:w="0" w:type="dxa"/>
        <w:tblLayout w:type="fixed"/>
        <w:tblCellMar>
          <w:top w:w="0" w:type="dxa"/>
          <w:left w:w="0" w:type="dxa"/>
          <w:bottom w:w="0" w:type="dxa"/>
          <w:right w:w="0" w:type="dxa"/>
        </w:tblCellMar>
      </w:tblPr>
      <w:tblGrid>
        <w:gridCol w:w="3499"/>
        <w:gridCol w:w="225"/>
        <w:gridCol w:w="60"/>
        <w:gridCol w:w="1295"/>
      </w:tblGrid>
      <w:tr>
        <w:trPr/>
        <w:tc>
          <w:tcPr>
            <w:tcW w:w="3499" w:type="dxa"/>
            <w:tcBorders/>
            <w:vAlign w:val="center"/>
          </w:tcPr>
          <w:p>
            <w:pPr>
              <w:pStyle w:val="TableContents"/>
              <w:bidi w:val="0"/>
              <w:spacing w:before="0" w:after="283"/>
              <w:jc w:val="both"/>
              <w:rPr/>
            </w:pPr>
            <w:r>
              <w:rPr/>
              <w:t>Name:</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(Please Print)</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both"/>
              <w:rPr/>
            </w:pPr>
            <w:r>
              <w:rPr/>
              <w:t>Address:</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(Please Print)</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Phone Number:</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Email Address:</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724" w:type="dxa"/>
            <w:gridSpan w:val="2"/>
            <w:tcBorders/>
            <w:vAlign w:val="center"/>
          </w:tcPr>
          <w:p>
            <w:pPr>
              <w:pStyle w:val="TableContents"/>
              <w:bidi w:val="0"/>
              <w:spacing w:before="0" w:after="283"/>
              <w:jc w:val="both"/>
              <w:rPr/>
            </w:pPr>
            <w:r>
              <w:rPr/>
              <w:t>Dated:  </w:t>
            </w:r>
            <w:r>
              <w:rPr>
                <w:u w:val="single"/>
              </w:rPr>
              <w:t>_______________ __, 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both"/>
              <w:rPr/>
            </w:pPr>
            <w:r>
              <w:rPr/>
              <w:t xml:space="preserve">Holder’s Signature: </w:t>
            </w:r>
          </w:p>
        </w:tc>
        <w:tc>
          <w:tcPr>
            <w:tcW w:w="2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both"/>
              <w:rPr/>
            </w:pPr>
            <w:r>
              <w:rPr/>
              <w:t>Holder’s Address:</w:t>
            </w:r>
          </w:p>
        </w:tc>
        <w:tc>
          <w:tcPr>
            <w:tcW w:w="2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8" w:name="ss3098627_ex9918.htm"/>
      <w:bookmarkStart w:id="9" w:name="ksss3098627_ex9918"/>
      <w:bookmarkEnd w:id="8"/>
      <w:bookmarkEnd w:id="9"/>
      <w:r>
        <w:rPr>
          <w:rFonts w:ascii="Times New Roman;Times;Serif" w:hAnsi="Times New Roman;Times;Serif"/>
          <w:b/>
          <w:i w:val="false"/>
          <w:caps w:val="false"/>
          <w:smallCaps w:val="false"/>
          <w:sz w:val="20"/>
        </w:rPr>
        <w:t>COMMON STOCK PURCHASE WARRANT</w:t>
      </w:r>
      <w:r>
        <w:br w:type="page"/>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BAKKT HOLDINGS, INC.</w:t>
      </w:r>
    </w:p>
    <w:p>
      <w:pPr>
        <w:pStyle w:val="TextBody"/>
        <w:bidi w:val="0"/>
        <w:jc w:val="center"/>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2330"/>
        <w:gridCol w:w="3395"/>
      </w:tblGrid>
      <w:tr>
        <w:trPr/>
        <w:tc>
          <w:tcPr>
            <w:tcW w:w="23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Shares: 1,381,004</w:t>
            </w:r>
          </w:p>
        </w:tc>
        <w:tc>
          <w:tcPr>
            <w:tcW w:w="339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Original Issuance Date</w:t>
            </w:r>
            <w:r>
              <w:rPr>
                <w:rFonts w:ascii="Times New Roman;Times;Serif" w:hAnsi="Times New Roman;Times;Serif"/>
                <w:b w:val="false"/>
                <w:i w:val="false"/>
                <w:caps w:val="false"/>
                <w:smallCaps w:val="false"/>
                <w:sz w:val="20"/>
              </w:rPr>
              <w:t>: March 4, 2024</w:t>
            </w:r>
          </w:p>
        </w:tc>
      </w:tr>
      <w:tr>
        <w:trPr/>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Initial Exercise Date</w:t>
            </w:r>
            <w:r>
              <w:rPr>
                <w:rFonts w:ascii="Times New Roman;Times;Serif" w:hAnsi="Times New Roman;Times;Serif"/>
                <w:b w:val="false"/>
                <w:i w:val="false"/>
                <w:caps w:val="false"/>
                <w:smallCaps w:val="false"/>
                <w:sz w:val="20"/>
              </w:rPr>
              <w:t>: September 4, 2024</w:t>
            </w:r>
          </w:p>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September 4, 2029</w:t>
            </w:r>
          </w:p>
        </w:tc>
      </w:tr>
    </w:tbl>
    <w:p>
      <w:pPr>
        <w:pStyle w:val="TextBody"/>
        <w:bidi w:val="0"/>
        <w:jc w:val="left"/>
        <w:rPr>
          <w:caps w:val="false"/>
          <w:smallCaps w:val="false"/>
        </w:rPr>
      </w:pPr>
      <w:r>
        <w:rPr>
          <w:caps w:val="false"/>
          <w:smallCaps w:val="false"/>
        </w:rPr>
        <w:t> </w:t>
      </w:r>
    </w:p>
    <w:p>
      <w:pPr>
        <w:pStyle w:val="TextBody"/>
        <w:bidi w:val="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(Class 2)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Intercontinental Exchange Holdings, Inc.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March 4, 2024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September 4, 2029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BAKKT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1,381,004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of the Company’s Class A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The purchase price of one share of Common Stock under this Warrant shall be equal to the Exercise Price, as defined in Section 2(b).</w:t>
      </w:r>
    </w:p>
    <w:p>
      <w:pPr>
        <w:pStyle w:val="TextBody"/>
        <w:bidi w:val="0"/>
        <w:jc w:val="left"/>
        <w:rPr>
          <w:caps w:val="false"/>
          <w:smallCaps w:val="false"/>
        </w:rPr>
      </w:pPr>
      <w:r>
        <w:rPr>
          <w:caps w:val="false"/>
          <w:smallCaps w:val="false"/>
        </w:rPr>
        <w:t> </w:t>
      </w:r>
    </w:p>
    <w:p>
      <w:pPr>
        <w:pStyle w:val="TextBody"/>
        <w:bidi w:val="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February 29, 2024, among the Company and the purchaser signatory thereto.</w:t>
      </w:r>
    </w:p>
    <w:p>
      <w:pPr>
        <w:pStyle w:val="TextBody"/>
        <w:bidi w:val="0"/>
        <w:jc w:val="left"/>
        <w:rPr>
          <w:caps w:val="false"/>
          <w:smallCaps w:val="false"/>
        </w:rPr>
      </w:pPr>
      <w:r>
        <w:rPr>
          <w:caps w:val="false"/>
          <w:smallCaps w:val="false"/>
        </w:rPr>
        <w:t> </w:t>
      </w:r>
    </w:p>
    <w:p>
      <w:pPr>
        <w:pStyle w:val="TextBody"/>
        <w:bidi w:val="0"/>
        <w:spacing w:before="0" w:after="24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two (2) Trading Days (as defined in Section 2(c) herein) and (ii) the number of Trading Days comprising the Standard Settlement Period (as defined in Section 2(e)(i) herein) following the date of exercise as aforesaid, the Holder shall deliver the aggregate Exercise Price for the number of Warrant Shares specified in the applicable Notice of Exercise by wire transfer or cashier’s check drawn on a United States bank unless the cashless exercise or alternative cashless exercise procedure specified in Section 2(c) or Section 2(d)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$1.02,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This Warrant may also be exercised, in whole or in part, at any time or times on or after the Initial Exercise Date and on or before the Termination Date by means of a “cashless exercise” in which the Holder shall be entitled to receive a number of Warrant Shares equal to the quotient obtained by dividing [(A-B) (X)] by (A), where:</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pStyle w:val="TextBody"/>
        <w:bidi w:val="0"/>
        <w:spacing w:before="0" w:after="24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the Exercise Price of this Warrant, as adjusted hereunder; and</w:t>
      </w:r>
    </w:p>
    <w:p>
      <w:pPr>
        <w:pStyle w:val="TextBody"/>
        <w:bidi w:val="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 the number of Warrant Shares that would be issuable upon exercise of this Warrant in accordance with the terms of this Warrant if such exercise were by means of a cash exercise rather than a cashless exercise.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648"/>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the Common Stock is then not listed on a Trading Market and if the Shares are listed or quoted for trading on the OTC Market Group’s OTCQB exchange (“</w:t>
      </w:r>
      <w:r>
        <w:rPr>
          <w:rFonts w:ascii="Times New Roman;Times;Serif" w:hAnsi="Times New Roman;Times;Serif"/>
          <w:b w:val="false"/>
          <w:i w:val="false"/>
          <w:caps w:val="false"/>
          <w:smallCaps w:val="false"/>
          <w:sz w:val="20"/>
          <w:u w:val="single"/>
        </w:rPr>
        <w:t>OTCQB</w:t>
      </w:r>
      <w:r>
        <w:rPr>
          <w:rFonts w:ascii="Times New Roman;Times;Serif" w:hAnsi="Times New Roman;Times;Serif"/>
          <w:b w:val="false"/>
          <w:i w:val="false"/>
          <w:caps w:val="false"/>
          <w:smallCaps w:val="false"/>
          <w:sz w:val="20"/>
        </w:rPr>
        <w:t>”) or OTCQX exchange (“</w:t>
      </w:r>
      <w:r>
        <w:rPr>
          <w:rFonts w:ascii="Times New Roman;Times;Serif" w:hAnsi="Times New Roman;Times;Serif"/>
          <w:b w:val="false"/>
          <w:i w:val="false"/>
          <w:caps w:val="false"/>
          <w:smallCaps w:val="false"/>
          <w:sz w:val="20"/>
          <w:u w:val="single"/>
        </w:rPr>
        <w:t>OTCQX</w:t>
      </w:r>
      <w:r>
        <w:rPr>
          <w:rFonts w:ascii="Times New Roman;Times;Serif" w:hAnsi="Times New Roman;Times;Serif"/>
          <w:b w:val="false"/>
          <w:i w:val="false"/>
          <w:caps w:val="false"/>
          <w:smallCaps w:val="false"/>
          <w:sz w:val="20"/>
        </w:rPr>
        <w: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pStyle w:val="TextBody"/>
        <w:bidi w:val="0"/>
        <w:ind w:left="0" w:right="0" w:firstLine="648"/>
        <w:jc w:val="both"/>
        <w:rPr>
          <w:caps w:val="false"/>
          <w:smallCaps w:val="false"/>
        </w:rPr>
      </w:pPr>
      <w:r>
        <w:rPr>
          <w:caps w:val="false"/>
          <w:smallCaps w:val="false"/>
        </w:rPr>
        <w:t> </w:t>
      </w:r>
    </w:p>
    <w:p>
      <w:pPr>
        <w:pStyle w:val="TextBody"/>
        <w:bidi w:val="0"/>
        <w:spacing w:before="0" w:after="240"/>
        <w:ind w:left="45" w:right="45"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Trading Market is open for trading, including any day on which the Trading Market is open for trading for a period of time less than the customary time.</w:t>
      </w:r>
    </w:p>
    <w:p>
      <w:pPr>
        <w:pStyle w:val="TextBody"/>
        <w:bidi w:val="0"/>
        <w:spacing w:before="0" w:after="240"/>
        <w:ind w:left="45" w:right="45" w:firstLine="648"/>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shares of Common Stock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ind w:left="0" w:right="0" w:firstLine="648"/>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on a Trading Market and if the Shares are listed or quoted for trading on OTCQB or OTCQX,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-2-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ind w:left="0" w:right="0" w:firstLine="648"/>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4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Alternative Cashless Exercise</w:t>
      </w:r>
      <w:r>
        <w:rPr>
          <w:rFonts w:ascii="Times New Roman;Times;Serif" w:hAnsi="Times New Roman;Times;Serif"/>
          <w:b w:val="false"/>
          <w:i w:val="false"/>
          <w:caps w:val="false"/>
          <w:smallCaps w:val="false"/>
          <w:sz w:val="20"/>
        </w:rPr>
        <w:t>. After the Company has obtained Stockholder Approval, then, while the Warrant remains outstanding, if at any time during the period beginning on Initial Exercise Date the Reference Value is less than the Exercise Price (the “</w:t>
      </w:r>
      <w:r>
        <w:rPr>
          <w:rFonts w:ascii="Times New Roman;Times;Serif" w:hAnsi="Times New Roman;Times;Serif"/>
          <w:b w:val="false"/>
          <w:i w:val="false"/>
          <w:caps w:val="false"/>
          <w:smallCaps w:val="false"/>
          <w:sz w:val="20"/>
          <w:u w:val="single"/>
        </w:rPr>
        <w:t>Trigger Event</w:t>
      </w:r>
      <w:r>
        <w:rPr>
          <w:rFonts w:ascii="Times New Roman;Times;Serif" w:hAnsi="Times New Roman;Times;Serif"/>
          <w:b w:val="false"/>
          <w:i w:val="false"/>
          <w:caps w:val="false"/>
          <w:smallCaps w:val="false"/>
          <w:sz w:val="20"/>
        </w:rPr>
        <w:t>”), then the Holder shall have the option, exercisable at any time when the Trigger Event shall have occurred or shall be continuing to occur, to effect an “alternative cashless exercise” by providing the Company with a Notice of Exercise specifying the aggregate number of Warrant Shares subject to such alternative cashless exercise with the number of shares issuable upon such alternative cashless exercise being equal to the product of (x) the aggregate number of Warrant Shares subject to the alternative cashless exercise Notice of Exercise (up to the full number of shares that would be issuable upon exercise of this Warrant in accordance with the terms of this Warrant if such exercise were by means of a cash exercise rather than a cashless exercise) and (y) 0.5. For purposes of this Warrant, the “Reference Value” shall mean the last reported sales price of the Common Stock for each of the three (3) Trading Days ending on the Trading Day prior to the date on which Notice of Exercise is given. If Warrant Shares are issued in such an alternative cashless exercise, the parties acknowledge and agree that in accordance with Section 3(a)(9) of the Securities Act, the Warrant Shares shall take on the registered characteristics of the Warrants being exercised.</w:t>
      </w:r>
    </w:p>
    <w:tbl>
      <w:tblPr>
        <w:tblW w:w="5000" w:type="pct"/>
        <w:jc w:val="left"/>
        <w:tblInd w:w="0" w:type="dxa"/>
        <w:tblLayout w:type="fixed"/>
        <w:tblCellMar>
          <w:top w:w="0" w:type="dxa"/>
          <w:left w:w="0" w:type="dxa"/>
          <w:bottom w:w="0" w:type="dxa"/>
          <w:right w:w="0" w:type="dxa"/>
        </w:tblCellMar>
      </w:tblPr>
      <w:tblGrid>
        <w:gridCol w:w="157"/>
        <w:gridCol w:w="766"/>
        <w:gridCol w:w="9282"/>
      </w:tblGrid>
      <w:tr>
        <w:trPr/>
        <w:tc>
          <w:tcPr>
            <w:tcW w:w="1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pPr>
            <w:r>
              <w:rPr/>
              <w:t>e.</w:t>
            </w:r>
          </w:p>
        </w:tc>
        <w:tc>
          <w:tcPr>
            <w:tcW w:w="9282" w:type="dxa"/>
            <w:tcBorders/>
            <w:vAlign w:val="center"/>
          </w:tcPr>
          <w:p>
            <w:pPr>
              <w:pStyle w:val="TableContents"/>
              <w:bidi w:val="0"/>
              <w:spacing w:before="0" w:after="283"/>
              <w:jc w:val="both"/>
              <w:rPr/>
            </w:pPr>
            <w:r>
              <w:rPr>
                <w:u w:val="single"/>
              </w:rPr>
              <w:t>Mechanics of Exercise</w:t>
            </w:r>
            <w:r>
              <w:rPr/>
              <w:t>.</w:t>
            </w:r>
          </w:p>
        </w:tc>
      </w:tr>
    </w:tbl>
    <w:p>
      <w:pPr>
        <w:pStyle w:val="TextBody"/>
        <w:bidi w:val="0"/>
        <w:ind w:left="720" w:right="0" w:hanging="0"/>
        <w:jc w:val="left"/>
        <w:rPr>
          <w:caps w:val="false"/>
          <w:smallCaps w:val="false"/>
        </w:rPr>
      </w:pPr>
      <w:r>
        <w:rPr>
          <w:caps w:val="false"/>
          <w:smallCaps w:val="false"/>
        </w:rPr>
        <w:t> </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or alternative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(A) the earlier of (i) two (2) Trading Days and (ii) the number of days comprising the Standard Settlement Period, in each case after the delivery to the Company of the Notice of Exercise and (B) one (1) Trading Day after delivery of the aggregate Exercise Price to the Company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or alternative cashless exercise) is received by the Warrant Share Delivery Date.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Trading Day after such liquidated damages begin to accrue) for each Trading Day after such Warrant Share Delivery Date until such Warrant Shares are delivered or Holder rescinds such exercise. The Company agrees to maintain a transfer agent that is a participant in the Fast Automated Securities Transfer (“</w:t>
      </w:r>
      <w:r>
        <w:rPr>
          <w:rFonts w:ascii="Times New Roman;Times;Serif" w:hAnsi="Times New Roman;Times;Serif"/>
          <w:b w:val="false"/>
          <w:i w:val="false"/>
          <w:caps w:val="false"/>
          <w:smallCaps w:val="false"/>
          <w:sz w:val="20"/>
          <w:u w:val="single"/>
        </w:rPr>
        <w:t>FAST</w:t>
      </w:r>
      <w:r>
        <w:rPr>
          <w:rFonts w:ascii="Times New Roman;Times;Serif" w:hAnsi="Times New Roman;Times;Serif"/>
          <w:b w:val="false"/>
          <w:i w:val="false"/>
          <w:caps w:val="false"/>
          <w:smallCaps w:val="false"/>
          <w:sz w:val="20"/>
        </w:rPr>
        <w: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2(e)(i) by the Warrant Share Delivery Date, then the Holder will have the right to rescind such exercise.</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-3-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both"/>
        <w:rPr>
          <w:caps w:val="false"/>
          <w:smallCaps w:val="false"/>
        </w:rPr>
      </w:pPr>
      <w:r>
        <w:rPr>
          <w:caps w:val="false"/>
          <w:smallCaps w:val="false"/>
        </w:rPr>
        <w:t> </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2(e)(i)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this Warrant to purchase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reasonably satisfactory to the Company with respect to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As to any fraction of a share which the Holder would otherwise be entitled to upon an alternative cashless exercise pursuant to Section 2(d), the Company shall round down the number of shares deliverable upon redemption to the next whole share.</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-4-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216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2(f),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2(f)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this Warrant that are not in compliance with the Beneficial Ownership Limitation (other than to the extent that information on the number of outstanding shares of Common Stock is provided by the Company, either directly or through one or more public filings, and relied upon by the Holder). For purposes of this Section 2(f),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at the election of the Holder prior to the issuance of this Warrant, 9.99%) of the number of shares of the Common Stock outstanding immediately after giving effect to the issuance of shares of Common Stock issuable upon exercise of this Warrant. The Holder, upon written notice to the Company, may increase or decrease the Beneficial Ownership Limitation provisions of this Section 2(f),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2(f)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this Warrant is unexercisable as a result of the Holder’s Beneficial Ownership Limitation, no alternate consideration is owing to the Holder. For the avoidance of doubt, the restrictions on exercise of any portion of this Warrant in this Section 2(f), the restrictions on participation in any Purchase Right in Section 3(b) and the restrictions on participation in any Distribution in Section 3(c) shall not prevent or limit any such exercise or participation by the Holder if the number of shares of Common Stock beneficially owned by the Holder and its Affiliates and Attribution Parties immediately prior to giving effect to such exercise or participation exceeds 9.99% of the number of shares of the Common Stock outstanding immediately prior to giving effect to such exercise or participation. </w:t>
      </w:r>
    </w:p>
    <w:p>
      <w:pPr>
        <w:pStyle w:val="TextBody"/>
        <w:bidi w:val="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 Rights Offering</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-5-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If at any time this Warrant is outstanding the Company grants, issues or sells any Common Stock Equivalents or rights to purchase shares, warrants, securities or other property pro rata to all of the record holders of any class of shares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-6-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of the Company), directly or indirectly, effects any sale, lease, license, assignment, transfer, conveyance or other disposition of all or substantially all of the Company’s consolidated assets in one or a series of related transactions (provided that, for the avoidance of doubt, the sale by the Company of its loyalty and travel redemption business comprised of certain entities and any assets thereof shall not be deemed to be a sale or other disposition of all or substantially all of the Company’s assets),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voting power of the common equity of the Company, (iv) the Company, directly or indirectly, in one or more related transactions effects any reclassification, reorganization or recapitalization of shares of Common Stock or any compulsory share exchange pursuant to which the shares of Common Stock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2(f)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2(f)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use commercially reasonable efforts to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3(d) pursuant to written agreements in form and substance reasonably satisfactory to the Holder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Notwithstanding anything to the contrary, the alternative cashless exercise rights contemplated under Section 2(d) shall cease upon the consummation of a Fundamental Transaction. To the extent the Holder is entitled and elects to have this Warrant exercised in accordance with Section 2(d) prior to the consummation of a Fundamental Transaction, the Holder may condition such exercise on the consummation of a Fundamental Transaction, such that the alternative cashless exercise is effected immediately prior to the consummation of a Fundamental Transaction. Notwithstanding anything to the contrary, in the event of a Fundamental Transaction, the Company or any Successor Entity (as defined below) shall, at the Holder’s option, exercisable at any time concurrently with, or within thirty (30) days after, the consummation of the Fundamental Transaction (or, if later, the date of the public announcement of the applicable Fundamental Transaction), purchase this Warrant from the Holder by paying to the Holder, as described below,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board of directors of the Company, Holder shall only be entitled to receive from the Company or any Successor Entity, as of the date of the consummation of such Fundamental Transaction the same type or form of consideration (and in the same proportion), valued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100%,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Business Days of the Holder’s election (or, if later, on the effective date of the Fundamental Transaction). For the avoidance of doubt, the Holder shall be entitled to the benefits of the provisions of this Section 3(d) regardless of whether the Company has sufficient authorized shares of Common Stock for the issuance of the Warrant Shares.</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-7-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24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shares of Common Stock rights or warrants to subscribe for or purchase any shares of capital stock of any class or any rights, (D) the approval of any stockholders of the Company shall be required in connection with a Fundamental Transaction,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Company’s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while this Warrant is outstanding, reduce (temporarily or permanently) the then-current Exercise Price to any amount and for any period of time deemed appropriate by the board of directors of the Company in its sole discretion.</w:t>
      </w:r>
    </w:p>
    <w:p>
      <w:pPr>
        <w:pStyle w:val="TextBody"/>
        <w:bidi w:val="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-8-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maintain the Original Issuance Date of this Warrant and shall be identical with this Warrant except as to the number of Warrant Shares issuable pursuant thereto.</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2(e)(i), except as expressly set forth in Section 3. Without limiting the rights of a Holder to receive Warrant Shares on a “cashless exercise” or an “alternative cashless exercise”, and to receive the cash payments contemplated pursuant to Sections 2(e)(i) and 2(e)(iv), in no event will the Company be required to net cash settle an exercise of this Warrant.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and in case of loss, theft or destruction, of indemnity or security reasonably satisfactory to it (which shall not include the posting of any bond), and upon surrender and cancellation of such Warrant, if mutilated, the Company will make and deliver a new Warrant of like tenor and dated as of such cancellation, in lieu of such Warrant. The applicant for a new certificate or instrument under such circumstances shall pay any reasonable third-party costs (including customary indemnity) associated with the issuance of such replacement warrant.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that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-9-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or alternative cashless exercise, will have restrictions upon resale imposed by state and federal securities laws.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For the avoidance of doubt, the foregoing shall in no way modify or qualify the right to exercise this Warrant terminating on the Termination Date. Without limiting any other provision of this Warrant, if the Company willfully and knowingly fails to comply with any provision of this Warrant or the Purchase Agreement,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shares of Common Stock or as a stockholder of the Company, whether such liability is asserted by the Company or by creditors of the Company.</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the Holder of this Warrant, on the other hand.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-10-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-11-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ind w:left="0" w:right="0" w:firstLine="1296"/>
        <w:jc w:val="both"/>
        <w:rPr>
          <w:caps w:val="false"/>
          <w:smallCaps w:val="false"/>
        </w:rPr>
      </w:pPr>
      <w:r>
        <w:rPr>
          <w:caps w:val="false"/>
          <w:smallCaps w:val="false"/>
        </w:rPr>
        <w:t> </w:t>
      </w:r>
    </w:p>
    <w:p>
      <w:pPr>
        <w:pStyle w:val="TextBody"/>
        <w:bidi w:val="0"/>
        <w:ind w:left="0" w:right="0" w:firstLine="129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jc w:val="left"/>
        <w:rPr>
          <w:caps w:val="false"/>
          <w:smallCaps w:val="false"/>
        </w:rPr>
      </w:pPr>
      <w:r>
        <w:rPr>
          <w:caps w:val="false"/>
          <w:smallCaps w:val="false"/>
        </w:rPr>
        <w:t> </w:t>
      </w:r>
    </w:p>
    <w:p>
      <w:pPr>
        <w:pStyle w:val="TextBody"/>
        <w:bidi w:val="0"/>
        <w:ind w:left="0" w:right="0" w:firstLine="1296"/>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sz w:val="4"/>
                <w:szCs w:val="4"/>
              </w:rPr>
            </w:pPr>
            <w:r>
              <w:rPr>
                <w:sz w:val="4"/>
                <w:szCs w:val="4"/>
              </w:rPr>
            </w:r>
          </w:p>
        </w:tc>
        <w:tc>
          <w:tcPr>
            <w:tcW w:w="2950" w:type="dxa"/>
            <w:gridSpan w:val="2"/>
            <w:tcBorders/>
            <w:vAlign w:val="center"/>
          </w:tcPr>
          <w:p>
            <w:pPr>
              <w:pStyle w:val="TableContents"/>
              <w:bidi w:val="0"/>
              <w:spacing w:before="0" w:after="283"/>
              <w:jc w:val="left"/>
              <w:rPr/>
            </w:pPr>
            <w:r>
              <w:rPr>
                <w:b/>
                <w:sz w:val="20"/>
              </w:rPr>
              <w:t>BAKKT HOLDINGS, INC</w:t>
            </w:r>
            <w:r>
              <w:rPr>
                <w:b/>
              </w:rPr>
              <w: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Gavin Michael</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bottom w:val="single" w:sz="8" w:space="0" w:color="000000"/>
            </w:tcBorders>
            <w:tcMar>
              <w:bottom w:w="28" w:type="dxa"/>
            </w:tcMar>
            <w:vAlign w:val="center"/>
          </w:tcPr>
          <w:p>
            <w:pPr>
              <w:pStyle w:val="TableContents"/>
              <w:bidi w:val="0"/>
              <w:spacing w:before="0" w:after="283"/>
              <w:jc w:val="left"/>
              <w:rPr/>
            </w:pPr>
            <w:r>
              <w:rPr/>
              <w:t>Gavin Michael</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bottom w:val="single" w:sz="8" w:space="0" w:color="000000"/>
            </w:tcBorders>
            <w:tcMar>
              <w:bottom w:w="28" w:type="dxa"/>
            </w:tcMar>
            <w:vAlign w:val="center"/>
          </w:tcPr>
          <w:p>
            <w:pPr>
              <w:pStyle w:val="TableContents"/>
              <w:bidi w:val="0"/>
              <w:spacing w:before="0" w:after="283"/>
              <w:jc w:val="left"/>
              <w:rPr/>
            </w:pPr>
            <w:r>
              <w:rPr/>
              <w:t>Chief Executive Officer</w:t>
            </w:r>
          </w:p>
        </w:tc>
      </w:tr>
    </w:tbl>
    <w:p>
      <w:pPr>
        <w:pStyle w:val="TextBody"/>
        <w:bidi w:val="0"/>
        <w:ind w:left="4320" w:right="0" w:firstLine="720"/>
        <w:jc w:val="both"/>
        <w:rPr>
          <w:caps w:val="false"/>
          <w:smallCaps w:val="false"/>
        </w:rPr>
      </w:pPr>
      <w:r>
        <w:rPr>
          <w:caps w:val="false"/>
          <w:smallCaps w:val="false"/>
        </w:rPr>
        <w:t> </w:t>
      </w:r>
    </w:p>
    <w:p>
      <w:pPr>
        <w:pStyle w:val="TextBody"/>
        <w:bidi w:val="0"/>
        <w:ind w:left="0" w:right="0" w:firstLine="5040"/>
        <w:jc w:val="center"/>
        <w:rPr>
          <w:caps w:val="false"/>
          <w:smallCaps w:val="false"/>
        </w:rPr>
      </w:pPr>
      <w:r>
        <w:rPr>
          <w:caps w:val="false"/>
          <w:smallCaps w:val="false"/>
        </w:rPr>
        <w:t> </w:t>
      </w:r>
    </w:p>
    <w:tbl>
      <w:tblPr>
        <w:tblW w:w="6305" w:type="dxa"/>
        <w:jc w:val="left"/>
        <w:tblInd w:w="0" w:type="dxa"/>
        <w:tblLayout w:type="fixed"/>
        <w:tblCellMar>
          <w:top w:w="0" w:type="dxa"/>
          <w:left w:w="0" w:type="dxa"/>
          <w:bottom w:w="0" w:type="dxa"/>
          <w:right w:w="0" w:type="dxa"/>
        </w:tblCellMar>
      </w:tblPr>
      <w:tblGrid>
        <w:gridCol w:w="75"/>
        <w:gridCol w:w="6155"/>
        <w:gridCol w:w="75"/>
      </w:tblGrid>
      <w:tr>
        <w:trPr/>
        <w:tc>
          <w:tcPr>
            <w:tcW w:w="75"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283"/>
              <w:jc w:val="center"/>
              <w:rPr/>
            </w:pPr>
            <w:r>
              <w:rPr>
                <w:i/>
              </w:rPr>
              <w:t>[Signature Page to Common Stock Purchase Warrant</w:t>
            </w:r>
            <w:r>
              <w:rPr/>
              <w:t xml:space="preserve"> </w:t>
            </w:r>
            <w:r>
              <w:rPr>
                <w:i/>
              </w:rPr>
              <w:t>(Class 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350"/>
        <w:gridCol w:w="2300"/>
      </w:tblGrid>
      <w:tr>
        <w:trPr/>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23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BAKKT HOLDINGS, INC.</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w:t>
        <w:tab/>
        <w:t>in lawful money of the United States;</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 </w:t>
        <w:tab/>
        <w:t>if permitted the cancellation of such number of Warrant Shares as is necessary, in accordance with the formula set forth in Section 2(c), to exercise this Warrant with respect to the maximum number of Warrant Shares purchasable pursuant to the cashless exercise procedure set forth in Section 2(c); or</w:t>
      </w:r>
    </w:p>
    <w:p>
      <w:pPr>
        <w:pStyle w:val="TextBody"/>
        <w:bidi w:val="0"/>
        <w:spacing w:before="0" w:after="24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tab/>
        <w:t>if permitted the cancellation of such number of Warrant Shares as is necessary, in accordance with the formula set forth in Section 2(d), to exercise this Warrant with respect to the maximum number of Warrant Shares purchasable pursuant to the alternative cashless exercise procedure set forth in Section 2(d).</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tbl>
      <w:tblPr>
        <w:tblW w:w="113" w:type="dxa"/>
        <w:jc w:val="left"/>
        <w:tblInd w:w="0" w:type="dxa"/>
        <w:tblLayout w:type="fixed"/>
        <w:tblCellMar>
          <w:top w:w="0" w:type="dxa"/>
          <w:left w:w="0" w:type="dxa"/>
          <w:bottom w:w="28" w:type="dxa"/>
          <w:right w:w="0" w:type="dxa"/>
        </w:tblCellMar>
      </w:tblPr>
      <w:tblGrid>
        <w:gridCol w:w="38"/>
        <w:gridCol w:w="75"/>
      </w:tblGrid>
      <w:tr>
        <w:trPr/>
        <w:tc>
          <w:tcPr>
            <w:tcW w:w="38" w:type="dxa"/>
            <w:tcBorders>
              <w:bottom w:val="single" w:sz="12" w:space="0" w:color="000000"/>
            </w:tcBorders>
            <w:vAlign w:val="center"/>
          </w:tcPr>
          <w:p>
            <w:pPr>
              <w:pStyle w:val="TableContents"/>
              <w:bidi w:val="0"/>
              <w:spacing w:before="0" w:after="283"/>
              <w:jc w:val="left"/>
              <w:rPr>
                <w:sz w:val="4"/>
                <w:szCs w:val="4"/>
              </w:rPr>
            </w:pPr>
            <w:r>
              <w:rPr>
                <w:sz w:val="4"/>
                <w:szCs w:val="4"/>
              </w:rPr>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tbl>
      <w:tblPr>
        <w:tblW w:w="2360" w:type="dxa"/>
        <w:jc w:val="left"/>
        <w:tblInd w:w="0" w:type="dxa"/>
        <w:tblLayout w:type="fixed"/>
        <w:tblCellMar>
          <w:top w:w="0" w:type="dxa"/>
          <w:left w:w="0" w:type="dxa"/>
          <w:bottom w:w="0" w:type="dxa"/>
          <w:right w:w="0" w:type="dxa"/>
        </w:tblCellMar>
      </w:tblPr>
      <w:tblGrid>
        <w:gridCol w:w="2360"/>
      </w:tblGrid>
      <w:tr>
        <w:trPr/>
        <w:tc>
          <w:tcPr>
            <w:tcW w:w="23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tc>
      </w:tr>
      <w:tr>
        <w:trPr/>
        <w:tc>
          <w:tcPr>
            <w:tcW w:w="236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4505"/>
        <w:gridCol w:w="75"/>
      </w:tblGrid>
      <w:tr>
        <w:trPr/>
        <w:tc>
          <w:tcPr>
            <w:tcW w:w="458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Investing Entity: </w:t>
            </w:r>
          </w:p>
        </w:tc>
      </w:tr>
      <w:tr>
        <w:trPr/>
        <w:tc>
          <w:tcPr>
            <w:tcW w:w="4505" w:type="dxa"/>
            <w:tcBorders>
              <w:bottom w:val="single" w:sz="12" w:space="0" w:color="000000"/>
            </w:tcBorders>
            <w:tcMar>
              <w:bottom w:w="28" w:type="dxa"/>
            </w:tcMar>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xml:space="preserve">: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2690" w:type="dxa"/>
        <w:jc w:val="left"/>
        <w:tblInd w:w="0" w:type="dxa"/>
        <w:tblLayout w:type="fixed"/>
        <w:tblCellMar>
          <w:top w:w="0" w:type="dxa"/>
          <w:left w:w="0" w:type="dxa"/>
          <w:bottom w:w="28" w:type="dxa"/>
          <w:right w:w="0" w:type="dxa"/>
        </w:tblCellMar>
      </w:tblPr>
      <w:tblGrid>
        <w:gridCol w:w="2615"/>
        <w:gridCol w:w="75"/>
      </w:tblGrid>
      <w:tr>
        <w:trPr/>
        <w:tc>
          <w:tcPr>
            <w:tcW w:w="2615" w:type="dxa"/>
            <w:tcBorders>
              <w:bottom w:val="single" w:sz="12" w:space="0" w:color="000000"/>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of Authorized Signatory: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2615" w:type="dxa"/>
        <w:jc w:val="left"/>
        <w:tblInd w:w="0" w:type="dxa"/>
        <w:tblLayout w:type="fixed"/>
        <w:tblCellMar>
          <w:top w:w="0" w:type="dxa"/>
          <w:left w:w="0" w:type="dxa"/>
          <w:bottom w:w="28" w:type="dxa"/>
          <w:right w:w="0" w:type="dxa"/>
        </w:tblCellMar>
      </w:tblPr>
      <w:tblGrid>
        <w:gridCol w:w="2540"/>
        <w:gridCol w:w="75"/>
      </w:tblGrid>
      <w:tr>
        <w:trPr/>
        <w:tc>
          <w:tcPr>
            <w:tcW w:w="2540" w:type="dxa"/>
            <w:tcBorders>
              <w:bottom w:val="single" w:sz="12" w:space="0" w:color="000000"/>
            </w:tcBorders>
            <w:vAlign w:val="center"/>
          </w:tcPr>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of Authorized Signatory: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173" w:type="dxa"/>
        <w:jc w:val="left"/>
        <w:tblInd w:w="0" w:type="dxa"/>
        <w:tblLayout w:type="fixed"/>
        <w:tblCellMar>
          <w:top w:w="0" w:type="dxa"/>
          <w:left w:w="0" w:type="dxa"/>
          <w:bottom w:w="28" w:type="dxa"/>
          <w:right w:w="0" w:type="dxa"/>
        </w:tblCellMar>
      </w:tblPr>
      <w:tblGrid>
        <w:gridCol w:w="135"/>
        <w:gridCol w:w="38"/>
      </w:tblGrid>
      <w:tr>
        <w:trPr/>
        <w:tc>
          <w:tcPr>
            <w:tcW w:w="135" w:type="dxa"/>
            <w:tcBorders>
              <w:bottom w:val="single" w:sz="12"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38" w:type="dxa"/>
            <w:tcBorders/>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t> </w:t>
      </w:r>
    </w:p>
    <w:tbl>
      <w:tblPr>
        <w:tblW w:w="590" w:type="dxa"/>
        <w:jc w:val="left"/>
        <w:tblInd w:w="0" w:type="dxa"/>
        <w:tblLayout w:type="fixed"/>
        <w:tblCellMar>
          <w:top w:w="0" w:type="dxa"/>
          <w:left w:w="0" w:type="dxa"/>
          <w:bottom w:w="0" w:type="dxa"/>
          <w:right w:w="0" w:type="dxa"/>
        </w:tblCellMar>
      </w:tblPr>
      <w:tblGrid>
        <w:gridCol w:w="515"/>
        <w:gridCol w:w="75"/>
      </w:tblGrid>
      <w:tr>
        <w:trPr/>
        <w:tc>
          <w:tcPr>
            <w:tcW w:w="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righ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exercise the Warrant to purchase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5079" w:type="dxa"/>
        <w:jc w:val="left"/>
        <w:tblInd w:w="0" w:type="dxa"/>
        <w:tblLayout w:type="fixed"/>
        <w:tblCellMar>
          <w:top w:w="0" w:type="dxa"/>
          <w:left w:w="0" w:type="dxa"/>
          <w:bottom w:w="0" w:type="dxa"/>
          <w:right w:w="0" w:type="dxa"/>
        </w:tblCellMar>
      </w:tblPr>
      <w:tblGrid>
        <w:gridCol w:w="3499"/>
        <w:gridCol w:w="225"/>
        <w:gridCol w:w="60"/>
        <w:gridCol w:w="1295"/>
      </w:tblGrid>
      <w:tr>
        <w:trPr/>
        <w:tc>
          <w:tcPr>
            <w:tcW w:w="3499" w:type="dxa"/>
            <w:tcBorders/>
            <w:vAlign w:val="center"/>
          </w:tcPr>
          <w:p>
            <w:pPr>
              <w:pStyle w:val="TableContents"/>
              <w:bidi w:val="0"/>
              <w:spacing w:before="0" w:after="283"/>
              <w:jc w:val="both"/>
              <w:rPr/>
            </w:pPr>
            <w:r>
              <w:rPr/>
              <w:t>Name:</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(Please Print)</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both"/>
              <w:rPr/>
            </w:pPr>
            <w:r>
              <w:rPr/>
              <w:t>Address:</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both"/>
              <w:rPr/>
            </w:pPr>
            <w:r>
              <w:rPr/>
              <w:t>(Please Print)</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Phone Number:</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Email Address:</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724" w:type="dxa"/>
            <w:gridSpan w:val="2"/>
            <w:tcBorders/>
            <w:vAlign w:val="center"/>
          </w:tcPr>
          <w:p>
            <w:pPr>
              <w:pStyle w:val="TableContents"/>
              <w:bidi w:val="0"/>
              <w:spacing w:before="0" w:after="283"/>
              <w:jc w:val="both"/>
              <w:rPr/>
            </w:pPr>
            <w:r>
              <w:rPr/>
              <w:t>Dated:  </w:t>
            </w:r>
            <w:r>
              <w:rPr>
                <w:u w:val="single"/>
              </w:rPr>
              <w:t>_______________ __, ______</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both"/>
              <w:rPr/>
            </w:pPr>
            <w:r>
              <w:rPr/>
              <w:t xml:space="preserve">Holder’s Signature: </w:t>
            </w:r>
          </w:p>
        </w:tc>
        <w:tc>
          <w:tcPr>
            <w:tcW w:w="2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r>
        <w:trPr/>
        <w:tc>
          <w:tcPr>
            <w:tcW w:w="3499" w:type="dxa"/>
            <w:tcBorders/>
            <w:vAlign w:val="center"/>
          </w:tcPr>
          <w:p>
            <w:pPr>
              <w:pStyle w:val="TableContents"/>
              <w:bidi w:val="0"/>
              <w:spacing w:before="0" w:after="283"/>
              <w:jc w:val="both"/>
              <w:rPr/>
            </w:pPr>
            <w:r>
              <w:rPr/>
              <w:t>Holder’s Address:</w:t>
            </w:r>
          </w:p>
        </w:tc>
        <w:tc>
          <w:tcPr>
            <w:tcW w:w="22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80"/>
        <w:gridCol w:w="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pPr>
            <w:r>
              <w:rPr/>
              <w:t>B-1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1949/000119312521304172/d367825dex991.htm" TargetMode="External"/><Relationship Id="rId3" Type="http://schemas.openxmlformats.org/officeDocument/2006/relationships/hyperlink" Target="https://www.sec.gov/Archives/edgar/data/1820302/000119312521005832/d913171dex21.htm" TargetMode="External"/><Relationship Id="rId4" Type="http://schemas.openxmlformats.org/officeDocument/2006/relationships/hyperlink" Target="https://www.sec.gov/Archives/edgar/data/1820302/000119312521101249/d107545dex21.htm" TargetMode="External"/><Relationship Id="rId5" Type="http://schemas.openxmlformats.org/officeDocument/2006/relationships/hyperlink" Target="https://www.sec.gov/Archives/edgar/data/1820302/000119312521286927/d204551dex21.htm" TargetMode="External"/><Relationship Id="rId6" Type="http://schemas.openxmlformats.org/officeDocument/2006/relationships/hyperlink" Target="https://www.sec.gov/Archives/edgar/data/1820302/000119312521303985/d219325dex31.htm" TargetMode="External"/><Relationship Id="rId7" Type="http://schemas.openxmlformats.org/officeDocument/2006/relationships/hyperlink" Target="https://www.sec.gov/Archives/edgar/data/1820302/000119312521303985/d219325dex104.htm" TargetMode="External"/><Relationship Id="rId8" Type="http://schemas.openxmlformats.org/officeDocument/2006/relationships/hyperlink" Target="https://www.sec.gov/Archives/edgar/data/1820302/000119312521303985/d219325dex43.htm" TargetMode="External"/><Relationship Id="rId9" Type="http://schemas.openxmlformats.org/officeDocument/2006/relationships/hyperlink" Target="https://www.sec.gov/Archives/edgar/data/1820302/000119312521303985/d219325dex103.htm" TargetMode="External"/><Relationship Id="rId10" Type="http://schemas.openxmlformats.org/officeDocument/2006/relationships/hyperlink" Target="https://www.sec.gov/Archives/edgar/data/1820302/000119312521303985/d219325dex102.htm" TargetMode="External"/><Relationship Id="rId11" Type="http://schemas.openxmlformats.org/officeDocument/2006/relationships/hyperlink" Target="https://www.sec.gov/Archives/edgar/data/1820302/000119312521303985/d219325dex101.htm" TargetMode="External"/><Relationship Id="rId12" Type="http://schemas.openxmlformats.org/officeDocument/2006/relationships/hyperlink" Target="https://www.sec.gov/Archives/edgar/data/1820302/000119312521303985/d219325dex105.htm" TargetMode="External"/><Relationship Id="rId13" Type="http://schemas.openxmlformats.org/officeDocument/2006/relationships/hyperlink" Target="https://www.sec.gov/Archives/edgar/data/1571949/000119312521304172/d367825dex9912.htm" TargetMode="External"/><Relationship Id="rId14" Type="http://schemas.openxmlformats.org/officeDocument/2006/relationships/hyperlink" Target="https://www.sec.gov/Archives/edgar/data/1820302/000119312521303985/d219325dex106.htm" TargetMode="External"/><Relationship Id="rId15" Type="http://schemas.openxmlformats.org/officeDocument/2006/relationships/hyperlink" Target="https://www.sec.gov/Archives/edgar/data/1820302/000182030222000015/a101amendedandrestatedexch.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44506</Words>
  <Characters>232740</Characters>
  <CharactersWithSpaces>278506</CharactersWithSpaces>
  <Paragraphs>1824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