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940435</wp:posOffset>
            </wp:positionV>
            <wp:extent cx="713867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jc w:val="center"/>
        <w:ind w:right="-500"/>
        <w:spacing w:after="0"/>
        <w:rPr>
          <w:sz w:val="20"/>
          <w:szCs w:val="20"/>
          <w:color w:val="auto"/>
        </w:rPr>
      </w:pPr>
      <w:r>
        <w:rPr>
          <w:rFonts w:ascii="Times New Roman" w:cs="Times New Roman" w:eastAsia="Times New Roman" w:hAnsi="Times New Roman"/>
          <w:sz w:val="24"/>
          <w:szCs w:val="24"/>
          <w:b w:val="1"/>
          <w:bCs w:val="1"/>
          <w:color w:val="auto"/>
        </w:rPr>
        <w:t>UNITED STATES</w:t>
      </w:r>
    </w:p>
    <w:p>
      <w:pPr>
        <w:jc w:val="center"/>
        <w:ind w:right="-500"/>
        <w:spacing w:after="0" w:line="222" w:lineRule="auto"/>
        <w:rPr>
          <w:sz w:val="20"/>
          <w:szCs w:val="20"/>
          <w:color w:val="auto"/>
        </w:rPr>
      </w:pPr>
      <w:r>
        <w:rPr>
          <w:rFonts w:ascii="Times New Roman" w:cs="Times New Roman" w:eastAsia="Times New Roman" w:hAnsi="Times New Roman"/>
          <w:sz w:val="24"/>
          <w:szCs w:val="24"/>
          <w:b w:val="1"/>
          <w:bCs w:val="1"/>
          <w:color w:val="auto"/>
        </w:rPr>
        <w:t>SECURITIES AND EXCHANGE COMMISSION</w:t>
      </w:r>
    </w:p>
    <w:p>
      <w:pPr>
        <w:ind w:left="4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11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91" w:lineRule="exact"/>
        <w:rPr>
          <w:sz w:val="24"/>
          <w:szCs w:val="24"/>
          <w:color w:val="auto"/>
        </w:rPr>
      </w:pPr>
    </w:p>
    <w:p>
      <w:pPr>
        <w:ind w:left="320" w:hanging="318"/>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4" w:lineRule="exact"/>
        <w:rPr>
          <w:sz w:val="24"/>
          <w:szCs w:val="24"/>
          <w:color w:val="auto"/>
        </w:rPr>
      </w:pPr>
    </w:p>
    <w:p>
      <w:pPr>
        <w:ind w:left="320" w:hanging="318"/>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91" w:lineRule="exact"/>
        <w:rPr>
          <w:rFonts w:ascii="MS PGothic" w:cs="MS PGothic" w:eastAsia="MS PGothic" w:hAnsi="MS PGothic"/>
          <w:sz w:val="17"/>
          <w:szCs w:val="17"/>
          <w:color w:val="auto"/>
        </w:rPr>
      </w:pPr>
    </w:p>
    <w:p>
      <w:pPr>
        <w:ind w:left="320" w:hanging="318"/>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4" w:lineRule="exact"/>
        <w:rPr>
          <w:rFonts w:ascii="MS PGothic" w:cs="MS PGothic" w:eastAsia="MS PGothic" w:hAnsi="MS PGothic"/>
          <w:sz w:val="17"/>
          <w:szCs w:val="17"/>
          <w:color w:val="auto"/>
        </w:rPr>
      </w:pPr>
    </w:p>
    <w:p>
      <w:pPr>
        <w:ind w:left="320" w:hanging="318"/>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91" w:lineRule="exact"/>
        <w:rPr>
          <w:rFonts w:ascii="MS PGothic" w:cs="MS PGothic" w:eastAsia="MS PGothic" w:hAnsi="MS PGothic"/>
          <w:sz w:val="17"/>
          <w:szCs w:val="17"/>
          <w:color w:val="auto"/>
        </w:rPr>
      </w:pPr>
    </w:p>
    <w:p>
      <w:pPr>
        <w:ind w:left="320" w:hanging="318"/>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3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4"/>
          <w:szCs w:val="24"/>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30480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330835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4" w:lineRule="exact"/>
        <w:rPr>
          <w:sz w:val="24"/>
          <w:szCs w:val="24"/>
          <w:color w:val="auto"/>
        </w:rPr>
      </w:pPr>
    </w:p>
    <w:p>
      <w:pPr>
        <w:ind w:left="320" w:hanging="318"/>
        <w:spacing w:after="0"/>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1" w:lineRule="exact"/>
        <w:rPr>
          <w:sz w:val="24"/>
          <w:szCs w:val="24"/>
          <w:color w:val="auto"/>
        </w:rPr>
      </w:pPr>
    </w:p>
    <w:p>
      <w:pPr>
        <w:ind w:left="320" w:hanging="318"/>
        <w:spacing w:after="0"/>
        <w:tabs>
          <w:tab w:leader="none" w:pos="3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320" w:hanging="318"/>
        <w:spacing w:after="0"/>
        <w:tabs>
          <w:tab w:leader="none" w:pos="3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410210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9519"/>
          </w:cols>
          <w:pgMar w:left="940" w:top="1440" w:right="1440" w:bottom="1440" w:gutter="0" w:footer="0" w:header="0"/>
        </w:sectPr>
      </w:pPr>
    </w:p>
    <w:bookmarkStart w:id="1" w:name="page2"/>
    <w:bookmarkEnd w:id="1"/>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FF0000"/>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139065</wp:posOffset>
            </wp:positionV>
            <wp:extent cx="1137920" cy="417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792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10000 Avalon Boulevard, Suite 1000</w:t>
      </w:r>
    </w:p>
    <w:p>
      <w:pPr>
        <w:jc w:val="center"/>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April [__],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Fellow Stockholders: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You are cordially invited to attend a special meeting (together with any adjournment, postponement or other delay thereof, the “</w:t>
      </w:r>
      <w:r>
        <w:rPr>
          <w:rFonts w:ascii="Times New Roman" w:cs="Times New Roman" w:eastAsia="Times New Roman" w:hAnsi="Times New Roman"/>
          <w:sz w:val="19"/>
          <w:szCs w:val="19"/>
          <w:b w:val="1"/>
          <w:bCs w:val="1"/>
          <w:i w:val="1"/>
          <w:iCs w:val="1"/>
          <w:color w:val="auto"/>
        </w:rPr>
        <w:t>Special</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b w:val="1"/>
          <w:bCs w:val="1"/>
          <w:i w:val="1"/>
          <w:iCs w:val="1"/>
          <w:color w:val="auto"/>
        </w:rPr>
        <w:t>Meeting</w:t>
      </w:r>
      <w:r>
        <w:rPr>
          <w:rFonts w:ascii="Times New Roman" w:cs="Times New Roman" w:eastAsia="Times New Roman" w:hAnsi="Times New Roman"/>
          <w:sz w:val="19"/>
          <w:szCs w:val="19"/>
          <w:color w:val="auto"/>
        </w:rPr>
        <w:t>”) of the stockholders of Bakkt Holdings,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which will be held virtually via live webcast at [__]</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Eastern Time on April [__], 2024, at [</w:t>
      </w:r>
      <w:r>
        <w:rPr>
          <w:rFonts w:ascii="Times New Roman" w:cs="Times New Roman" w:eastAsia="Times New Roman" w:hAnsi="Times New Roman"/>
          <w:sz w:val="19"/>
          <w:szCs w:val="19"/>
          <w:i w:val="1"/>
          <w:iCs w:val="1"/>
          <w:color w:val="auto"/>
        </w:rPr>
        <w:t>___________</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9"/>
          <w:szCs w:val="19"/>
          <w:color w:val="auto"/>
        </w:rPr>
        <w:t>The Notice of Special Meeting and proxy statement accompanying this letter provide an outline of the business to be conducted at the meeting.</w:t>
      </w:r>
    </w:p>
    <w:p>
      <w:pPr>
        <w:spacing w:after="0" w:line="143"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19"/>
          <w:szCs w:val="19"/>
          <w:color w:val="auto"/>
        </w:rPr>
        <w:t>The principal catalysts for calling this Special Meeting are (1) the recently completed concurrent registered direct offerings, which requires stockholder approval for the issuance of the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that</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remain unissued following the initial closing and Class A Common Stock underlying the related warrants that exceed the limitations of the Listed Company Manual of the New York Stock Exchange (the “</w:t>
      </w:r>
      <w:r>
        <w:rPr>
          <w:rFonts w:ascii="Times New Roman" w:cs="Times New Roman" w:eastAsia="Times New Roman" w:hAnsi="Times New Roman"/>
          <w:sz w:val="19"/>
          <w:szCs w:val="19"/>
          <w:b w:val="1"/>
          <w:bCs w:val="1"/>
          <w:i w:val="1"/>
          <w:iCs w:val="1"/>
          <w:color w:val="auto"/>
        </w:rPr>
        <w:t>NYSE</w:t>
      </w:r>
      <w:r>
        <w:rPr>
          <w:rFonts w:ascii="Times New Roman" w:cs="Times New Roman" w:eastAsia="Times New Roman" w:hAnsi="Times New Roman"/>
          <w:sz w:val="19"/>
          <w:szCs w:val="19"/>
          <w:color w:val="auto"/>
        </w:rPr>
        <w:t>”), as well as the issuance of the shares of Class A Common Stock underlying the</w:t>
      </w:r>
    </w:p>
    <w:p>
      <w:pPr>
        <w:spacing w:after="0" w:line="224" w:lineRule="auto"/>
        <w:rPr>
          <w:sz w:val="20"/>
          <w:szCs w:val="20"/>
          <w:color w:val="auto"/>
        </w:rPr>
      </w:pPr>
      <w:r>
        <w:rPr>
          <w:rFonts w:ascii="Times New Roman" w:cs="Times New Roman" w:eastAsia="Times New Roman" w:hAnsi="Times New Roman"/>
          <w:sz w:val="18"/>
          <w:szCs w:val="18"/>
          <w:color w:val="auto"/>
        </w:rPr>
        <w:t>alternative cashless exercise provision of the Class 2 Warrants issued in such offerings, each pursuant to the terms of the agreements thereunder and</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the listing rules of the NYSE, and (2) our receipt of a notice from the NYSE that we were not in compliance with the requirements of its listing rules for which we are seeking stockholder approval to effect a reverse stock split to regain compliance with the listing rules of the NYSE.</w:t>
      </w:r>
    </w:p>
    <w:p>
      <w:pPr>
        <w:spacing w:after="0" w:line="152" w:lineRule="exact"/>
        <w:rPr>
          <w:sz w:val="20"/>
          <w:szCs w:val="20"/>
          <w:color w:val="auto"/>
        </w:rPr>
      </w:pPr>
    </w:p>
    <w:p>
      <w:pPr>
        <w:ind w:firstLine="619"/>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Your vote is very important regardless of the number of shares of Common Stock that you own. </w:t>
      </w:r>
      <w:r>
        <w:rPr>
          <w:rFonts w:ascii="Times New Roman" w:cs="Times New Roman" w:eastAsia="Times New Roman" w:hAnsi="Times New Roman"/>
          <w:sz w:val="19"/>
          <w:szCs w:val="19"/>
          <w:color w:val="auto"/>
        </w:rPr>
        <w:t>Whether or not you expect to attend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Special Meeting, please vote your shares by internet, by telephone, or by signing, dating and returning the accompanying proxy card in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Thank you for your cooperation and continued support.</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Sincerely,</w:t>
      </w:r>
    </w:p>
    <w:p>
      <w:pPr>
        <w:spacing w:after="0" w:line="1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________________________________</w:t>
      </w:r>
    </w:p>
    <w:p>
      <w:pPr>
        <w:ind w:left="4340"/>
        <w:spacing w:after="0" w:line="212" w:lineRule="auto"/>
        <w:rPr>
          <w:sz w:val="20"/>
          <w:szCs w:val="20"/>
          <w:color w:val="auto"/>
        </w:rPr>
      </w:pPr>
      <w:r>
        <w:rPr>
          <w:rFonts w:ascii="Times New Roman" w:cs="Times New Roman" w:eastAsia="Times New Roman" w:hAnsi="Times New Roman"/>
          <w:sz w:val="19"/>
          <w:szCs w:val="19"/>
          <w:color w:val="auto"/>
        </w:rPr>
        <w:t>Sean Collins</w:t>
      </w:r>
    </w:p>
    <w:p>
      <w:pPr>
        <w:ind w:left="4340"/>
        <w:spacing w:after="0" w:line="212" w:lineRule="auto"/>
        <w:rPr>
          <w:sz w:val="20"/>
          <w:szCs w:val="20"/>
          <w:color w:val="auto"/>
        </w:rPr>
      </w:pPr>
      <w:r>
        <w:rPr>
          <w:rFonts w:ascii="Times New Roman" w:cs="Times New Roman" w:eastAsia="Times New Roman" w:hAnsi="Times New Roman"/>
          <w:sz w:val="19"/>
          <w:szCs w:val="19"/>
          <w:i w:val="1"/>
          <w:iCs w:val="1"/>
          <w:color w:val="auto"/>
        </w:rPr>
        <w:t>Chairman of the Board of Directors</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[__], 2024</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3209290</wp:posOffset>
            </wp:positionH>
            <wp:positionV relativeFrom="page">
              <wp:posOffset>1283970</wp:posOffset>
            </wp:positionV>
            <wp:extent cx="1137920" cy="417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792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10000 Avalon Boulevard, Suite 1000</w:t>
      </w:r>
    </w:p>
    <w:p>
      <w:pPr>
        <w:jc w:val="center"/>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April [__],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SPECIAL MEETING OF STOCKHOLDERS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on April [__],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of Bakkt Holdings, Inc.:</w:t>
      </w:r>
    </w:p>
    <w:p>
      <w:pPr>
        <w:spacing w:after="0" w:line="188"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NOTICE IS HEREBY GIVEN that a special meeting (together with any adjournment, postponement or other delay thereof, the “</w:t>
      </w:r>
      <w:r>
        <w:rPr>
          <w:rFonts w:ascii="Times New Roman" w:cs="Times New Roman" w:eastAsia="Times New Roman" w:hAnsi="Times New Roman"/>
          <w:sz w:val="19"/>
          <w:szCs w:val="19"/>
          <w:b w:val="1"/>
          <w:bCs w:val="1"/>
          <w:i w:val="1"/>
          <w:i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Meeting</w:t>
      </w:r>
      <w:r>
        <w:rPr>
          <w:rFonts w:ascii="Times New Roman" w:cs="Times New Roman" w:eastAsia="Times New Roman" w:hAnsi="Times New Roman"/>
          <w:sz w:val="19"/>
          <w:szCs w:val="19"/>
          <w:color w:val="auto"/>
        </w:rPr>
        <w:t>”) of the stockholders of Bakkt Holdings,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our</w:t>
      </w:r>
      <w:r>
        <w:rPr>
          <w:rFonts w:ascii="Times New Roman" w:cs="Times New Roman" w:eastAsia="Times New Roman" w:hAnsi="Times New Roman"/>
          <w:sz w:val="19"/>
          <w:szCs w:val="19"/>
          <w:color w:val="auto"/>
        </w:rPr>
        <w:t>”), will be held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virtually via live webcast at [__] Eastern Time on April [__], 2024, at [</w:t>
      </w:r>
      <w:r>
        <w:rPr>
          <w:rFonts w:ascii="Times New Roman" w:cs="Times New Roman" w:eastAsia="Times New Roman" w:hAnsi="Times New Roman"/>
          <w:sz w:val="19"/>
          <w:szCs w:val="19"/>
          <w:i w:val="1"/>
          <w:iCs w:val="1"/>
          <w:color w:val="auto"/>
        </w:rPr>
        <w:t>________</w:t>
      </w:r>
      <w:r>
        <w:rPr>
          <w:rFonts w:ascii="Times New Roman" w:cs="Times New Roman" w:eastAsia="Times New Roman" w:hAnsi="Times New Roman"/>
          <w:sz w:val="19"/>
          <w:szCs w:val="19"/>
          <w:color w:val="auto"/>
        </w:rPr>
        <w:t>] for the following purposes:</w:t>
      </w:r>
    </w:p>
    <w:p>
      <w:pPr>
        <w:spacing w:after="0" w:line="165" w:lineRule="exact"/>
        <w:rPr>
          <w:sz w:val="20"/>
          <w:szCs w:val="20"/>
          <w:color w:val="auto"/>
        </w:rPr>
      </w:pPr>
    </w:p>
    <w:p>
      <w:pPr>
        <w:jc w:val="both"/>
        <w:ind w:left="940" w:hanging="318"/>
        <w:spacing w:after="0" w:line="236" w:lineRule="auto"/>
        <w:tabs>
          <w:tab w:leader="none" w:pos="92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NYSE Issuance Proposal. </w:t>
      </w:r>
      <w:r>
        <w:rPr>
          <w:rFonts w:ascii="Times New Roman" w:cs="Times New Roman" w:eastAsia="Times New Roman" w:hAnsi="Times New Roman"/>
          <w:sz w:val="19"/>
          <w:szCs w:val="19"/>
          <w:color w:val="auto"/>
        </w:rPr>
        <w:t>To consider and vote upon a proposal to approve, for purposes of complying with Section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312.03 of the New York Stock Exchange (the “</w:t>
      </w:r>
      <w:r>
        <w:rPr>
          <w:rFonts w:ascii="Times New Roman" w:cs="Times New Roman" w:eastAsia="Times New Roman" w:hAnsi="Times New Roman"/>
          <w:sz w:val="19"/>
          <w:szCs w:val="19"/>
          <w:b w:val="1"/>
          <w:bCs w:val="1"/>
          <w:i w:val="1"/>
          <w:iCs w:val="1"/>
          <w:color w:val="auto"/>
        </w:rPr>
        <w:t>NYSE</w:t>
      </w:r>
      <w:r>
        <w:rPr>
          <w:rFonts w:ascii="Times New Roman" w:cs="Times New Roman" w:eastAsia="Times New Roman" w:hAnsi="Times New Roman"/>
          <w:sz w:val="19"/>
          <w:szCs w:val="19"/>
          <w:color w:val="auto"/>
        </w:rPr>
        <w:t>”) Listed Company Manual (the “</w:t>
      </w:r>
      <w:r>
        <w:rPr>
          <w:rFonts w:ascii="Times New Roman" w:cs="Times New Roman" w:eastAsia="Times New Roman" w:hAnsi="Times New Roman"/>
          <w:sz w:val="19"/>
          <w:szCs w:val="19"/>
          <w:b w:val="1"/>
          <w:bCs w:val="1"/>
          <w:i w:val="1"/>
          <w:iCs w:val="1"/>
          <w:color w:val="auto"/>
        </w:rPr>
        <w:t>NYSE Manual</w:t>
      </w:r>
      <w:r>
        <w:rPr>
          <w:rFonts w:ascii="Times New Roman" w:cs="Times New Roman" w:eastAsia="Times New Roman" w:hAnsi="Times New Roman"/>
          <w:sz w:val="19"/>
          <w:szCs w:val="19"/>
          <w:color w:val="auto"/>
        </w:rPr>
        <w:t>”), the Company’s (1) issuance and sale of up to 8,772,016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Class 1 Warrants (“</w:t>
      </w:r>
      <w:r>
        <w:rPr>
          <w:rFonts w:ascii="Times New Roman" w:cs="Times New Roman" w:eastAsia="Times New Roman" w:hAnsi="Times New Roman"/>
          <w:sz w:val="19"/>
          <w:szCs w:val="19"/>
          <w:b w:val="1"/>
          <w:bCs w:val="1"/>
          <w:i w:val="1"/>
          <w:iCs w:val="1"/>
          <w:color w:val="auto"/>
        </w:rPr>
        <w:t>Class 1 Warrants</w:t>
      </w:r>
      <w:r>
        <w:rPr>
          <w:rFonts w:ascii="Times New Roman" w:cs="Times New Roman" w:eastAsia="Times New Roman" w:hAnsi="Times New Roman"/>
          <w:sz w:val="19"/>
          <w:szCs w:val="19"/>
          <w:color w:val="auto"/>
        </w:rPr>
        <w:t>”) to purchase up to 4,386,008 shares of Class A Common Stock and Class 2 Warrants (“</w:t>
      </w:r>
      <w:r>
        <w:rPr>
          <w:rFonts w:ascii="Times New Roman" w:cs="Times New Roman" w:eastAsia="Times New Roman" w:hAnsi="Times New Roman"/>
          <w:sz w:val="19"/>
          <w:szCs w:val="19"/>
          <w:b w:val="1"/>
          <w:bCs w:val="1"/>
          <w:i w:val="1"/>
          <w:iCs w:val="1"/>
          <w:color w:val="auto"/>
        </w:rPr>
        <w:t>Class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to purchase up to 4,386,008 shares of Class A Common Stock to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in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subsequent closing pursuant to the securities purchase agreement, dated as of February 29, 2024, by and between the Company and ICE, and (2) the issuance of up to 14,417,531 shares of Class A Common Stock issuable upon exercise of the alternative cashless exercise provision of the Class 2 Warrants in the concurrent registered direct offerings (such shares, the “</w:t>
      </w:r>
      <w:r>
        <w:rPr>
          <w:rFonts w:ascii="Times New Roman" w:cs="Times New Roman" w:eastAsia="Times New Roman" w:hAnsi="Times New Roman"/>
          <w:sz w:val="19"/>
          <w:szCs w:val="19"/>
          <w:b w:val="1"/>
          <w:bCs w:val="1"/>
          <w:i w:val="1"/>
          <w:iCs w:val="1"/>
          <w:color w:val="auto"/>
        </w:rPr>
        <w:t>Alternative Cashless 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 Shares</w:t>
      </w:r>
      <w:r>
        <w:rPr>
          <w:rFonts w:ascii="Times New Roman" w:cs="Times New Roman" w:eastAsia="Times New Roman" w:hAnsi="Times New Roman"/>
          <w:sz w:val="19"/>
          <w:szCs w:val="19"/>
          <w:color w:val="auto"/>
        </w:rPr>
        <w:t>”) (such proposal, the “</w:t>
      </w:r>
      <w:r>
        <w:rPr>
          <w:rFonts w:ascii="Times New Roman" w:cs="Times New Roman" w:eastAsia="Times New Roman" w:hAnsi="Times New Roman"/>
          <w:sz w:val="19"/>
          <w:szCs w:val="19"/>
          <w:b w:val="1"/>
          <w:bCs w:val="1"/>
          <w:i w:val="1"/>
          <w:iCs w:val="1"/>
          <w:color w:val="auto"/>
        </w:rPr>
        <w:t>NYSE Issuance Proposal</w:t>
      </w:r>
      <w:r>
        <w:rPr>
          <w:rFonts w:ascii="Times New Roman" w:cs="Times New Roman" w:eastAsia="Times New Roman" w:hAnsi="Times New Roman"/>
          <w:sz w:val="19"/>
          <w:szCs w:val="19"/>
          <w:color w:val="auto"/>
        </w:rPr>
        <w:t>”); and</w:t>
      </w:r>
    </w:p>
    <w:p>
      <w:pPr>
        <w:spacing w:after="0" w:line="167" w:lineRule="exact"/>
        <w:rPr>
          <w:rFonts w:ascii="Times New Roman" w:cs="Times New Roman" w:eastAsia="Times New Roman" w:hAnsi="Times New Roman"/>
          <w:sz w:val="19"/>
          <w:szCs w:val="19"/>
          <w:color w:val="auto"/>
        </w:rPr>
      </w:pPr>
    </w:p>
    <w:p>
      <w:pPr>
        <w:jc w:val="both"/>
        <w:ind w:left="940" w:hanging="318"/>
        <w:spacing w:after="0" w:line="242" w:lineRule="auto"/>
        <w:tabs>
          <w:tab w:leader="none" w:pos="92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Reverse Stock Split and Related Matters Proposal. </w:t>
      </w:r>
      <w:r>
        <w:rPr>
          <w:rFonts w:ascii="Times New Roman" w:cs="Times New Roman" w:eastAsia="Times New Roman" w:hAnsi="Times New Roman"/>
          <w:sz w:val="19"/>
          <w:szCs w:val="19"/>
          <w:color w:val="auto"/>
        </w:rPr>
        <w:t>To consider and vote upon a proposal to effect a reverse stock split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outstanding Class A Common Stock and Class V Common Stock, par value $0.0001 per share (the "</w:t>
      </w:r>
      <w:r>
        <w:rPr>
          <w:rFonts w:ascii="Times New Roman" w:cs="Times New Roman" w:eastAsia="Times New Roman" w:hAnsi="Times New Roman"/>
          <w:sz w:val="19"/>
          <w:szCs w:val="19"/>
          <w:b w:val="1"/>
          <w:bCs w:val="1"/>
          <w:i w:val="1"/>
          <w:iCs w:val="1"/>
          <w:color w:val="auto"/>
        </w:rPr>
        <w:t>Class V Common Stock</w:t>
      </w:r>
      <w:r>
        <w:rPr>
          <w:rFonts w:ascii="Times New Roman" w:cs="Times New Roman" w:eastAsia="Times New Roman" w:hAnsi="Times New Roman"/>
          <w:sz w:val="19"/>
          <w:szCs w:val="19"/>
          <w:color w:val="auto"/>
        </w:rPr>
        <w:t>", and together with the Class A Common Stock, the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at a ratio equal to 1-for-25 (the "</w:t>
      </w:r>
      <w:r>
        <w:rPr>
          <w:rFonts w:ascii="Times New Roman" w:cs="Times New Roman" w:eastAsia="Times New Roman" w:hAnsi="Times New Roman"/>
          <w:sz w:val="19"/>
          <w:szCs w:val="19"/>
          <w:b w:val="1"/>
          <w:bCs w:val="1"/>
          <w:i w:val="1"/>
          <w:iCs w:val="1"/>
          <w:color w:val="auto"/>
        </w:rPr>
        <w:t>Reverse Stock Split</w:t>
      </w:r>
      <w:r>
        <w:rPr>
          <w:rFonts w:ascii="Times New Roman" w:cs="Times New Roman" w:eastAsia="Times New Roman" w:hAnsi="Times New Roman"/>
          <w:sz w:val="19"/>
          <w:szCs w:val="19"/>
          <w:color w:val="auto"/>
        </w:rPr>
        <w:t>") and, contemporaneously with the Reverse Stock Split, a reduction in the number of authorized shares of Common Stock by a ratio corresponding to that effected in the Reverse Stock Split (such proposal, the "</w:t>
      </w:r>
      <w:r>
        <w:rPr>
          <w:rFonts w:ascii="Times New Roman" w:cs="Times New Roman" w:eastAsia="Times New Roman" w:hAnsi="Times New Roman"/>
          <w:sz w:val="19"/>
          <w:szCs w:val="19"/>
          <w:b w:val="1"/>
          <w:bCs w:val="1"/>
          <w:i w:val="1"/>
          <w:iCs w:val="1"/>
          <w:color w:val="auto"/>
        </w:rPr>
        <w:t>Reverse Stock Split and Related Matters Proposal</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b w:val="1"/>
          <w:bCs w:val="1"/>
          <w:color w:val="auto"/>
        </w:rPr>
        <w:t>The Company’s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b w:val="1"/>
          <w:bCs w:val="1"/>
          <w:color w:val="auto"/>
        </w:rPr>
        <w:t>”) unanimously recommends that the stockholders vote “FOR” each of the NYSE Issuance Proposal and the Reverse Stock Split and Related Matters Proposal.</w:t>
      </w:r>
    </w:p>
    <w:p>
      <w:pPr>
        <w:spacing w:after="0" w:line="15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Board has fixed the close of business on March 21, 2024 as the record date for determining stockholders entitled to notice of and to vote at the Special Meeting. Therefore, each outstanding share of Common Stock entitles the holder of record of such share at the close of business on March 21, 2024 to receive notice of, and to vote at, the Special Meeting.</w:t>
      </w:r>
    </w:p>
    <w:p>
      <w:pPr>
        <w:sectPr>
          <w:pgSz w:w="11900" w:h="16838" w:orient="portrait"/>
          <w:cols w:equalWidth="0" w:num="1">
            <w:col w:w="11240"/>
          </w:cols>
          <w:pgMar w:left="320" w:top="1440" w:right="339" w:bottom="1440" w:gutter="0" w:footer="0" w:header="0"/>
        </w:sectPr>
      </w:pPr>
    </w:p>
    <w:bookmarkStart w:id="3" w:name="page4"/>
    <w:bookmarkEnd w:id="3"/>
    <w:p>
      <w:pPr>
        <w:spacing w:after="0" w:line="32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accompanying proxy is solicited by the Board and the accompanying proxy statement provides a detailed description of the NYSE Issuance Proposal and the Reverse Stock Split and Related Matters Proposal. We urge you to read the accompanying proxy statement, including any annexes.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All stockholders as of the record date, or their duly appointed proxies, may virtually attend the Special Meeting.</w:t>
      </w:r>
    </w:p>
    <w:p>
      <w:pPr>
        <w:spacing w:after="0" w:line="203"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9"/>
          <w:szCs w:val="19"/>
          <w:color w:val="auto"/>
        </w:rPr>
        <w:t xml:space="preserve">Enclosed are our proxy statement and a proxy card. </w:t>
      </w:r>
      <w:r>
        <w:rPr>
          <w:rFonts w:ascii="Times New Roman" w:cs="Times New Roman" w:eastAsia="Times New Roman" w:hAnsi="Times New Roman"/>
          <w:sz w:val="19"/>
          <w:szCs w:val="19"/>
          <w:b w:val="1"/>
          <w:bCs w:val="1"/>
          <w:color w:val="auto"/>
        </w:rPr>
        <w:t>Your vote is very important</w:t>
      </w:r>
      <w:r>
        <w:rPr>
          <w:rFonts w:ascii="Times New Roman" w:cs="Times New Roman" w:eastAsia="Times New Roman" w:hAnsi="Times New Roman"/>
          <w:sz w:val="19"/>
          <w:szCs w:val="19"/>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w:t>
      </w:r>
    </w:p>
    <w:p>
      <w:pPr>
        <w:spacing w:after="0" w:line="1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___________________________________</w:t>
      </w:r>
    </w:p>
    <w:p>
      <w:pPr>
        <w:ind w:left="4340"/>
        <w:spacing w:after="0" w:line="198" w:lineRule="auto"/>
        <w:rPr>
          <w:sz w:val="20"/>
          <w:szCs w:val="20"/>
          <w:color w:val="auto"/>
        </w:rPr>
      </w:pPr>
      <w:r>
        <w:rPr>
          <w:rFonts w:ascii="Times New Roman" w:cs="Times New Roman" w:eastAsia="Times New Roman" w:hAnsi="Times New Roman"/>
          <w:sz w:val="19"/>
          <w:szCs w:val="19"/>
          <w:color w:val="auto"/>
        </w:rPr>
        <w:t>Andrew Main</w:t>
      </w:r>
    </w:p>
    <w:p>
      <w:pPr>
        <w:ind w:left="4340"/>
        <w:spacing w:after="0" w:line="212" w:lineRule="auto"/>
        <w:rPr>
          <w:sz w:val="20"/>
          <w:szCs w:val="20"/>
          <w:color w:val="auto"/>
        </w:rPr>
      </w:pPr>
      <w:r>
        <w:rPr>
          <w:rFonts w:ascii="Times New Roman" w:cs="Times New Roman" w:eastAsia="Times New Roman" w:hAnsi="Times New Roman"/>
          <w:sz w:val="19"/>
          <w:szCs w:val="19"/>
          <w:i w:val="1"/>
          <w:iCs w:val="1"/>
          <w:color w:val="auto"/>
        </w:rPr>
        <w:t>President &amp; CEO of Bakkt</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[__], 2024</w:t>
      </w:r>
    </w:p>
    <w:p>
      <w:pPr>
        <w:sectPr>
          <w:pgSz w:w="11900" w:h="16838" w:orient="portrait"/>
          <w:cols w:equalWidth="0" w:num="1">
            <w:col w:w="11240"/>
          </w:cols>
          <w:pgMar w:left="320" w:top="1440" w:right="339" w:bottom="1440" w:gutter="0" w:footer="0" w:header="0"/>
        </w:sectPr>
      </w:pPr>
    </w:p>
    <w:bookmarkStart w:id="4" w:name="page5"/>
    <w:bookmarkEnd w:id="4"/>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c>
          <w:tcPr>
            <w:tcW w:w="1880" w:type="dxa"/>
            <w:vAlign w:val="bottom"/>
          </w:tcPr>
          <w:p>
            <w:pPr>
              <w:spacing w:after="0"/>
              <w:rPr>
                <w:sz w:val="21"/>
                <w:szCs w:val="21"/>
                <w:color w:val="auto"/>
              </w:rPr>
            </w:pPr>
          </w:p>
        </w:tc>
        <w:tc>
          <w:tcPr>
            <w:tcW w:w="6020" w:type="dxa"/>
            <w:vAlign w:val="bottom"/>
            <w:gridSpan w:val="3"/>
          </w:tcPr>
          <w:p>
            <w:pPr>
              <w:ind w:left="20"/>
              <w:spacing w:after="0"/>
              <w:rPr>
                <w:sz w:val="20"/>
                <w:szCs w:val="20"/>
                <w:color w:val="auto"/>
              </w:rPr>
            </w:pPr>
            <w:r>
              <w:rPr>
                <w:rFonts w:ascii="Times New Roman" w:cs="Times New Roman" w:eastAsia="Times New Roman" w:hAnsi="Times New Roman"/>
                <w:sz w:val="21"/>
                <w:szCs w:val="21"/>
                <w:b w:val="1"/>
                <w:bCs w:val="1"/>
                <w:color w:val="auto"/>
              </w:rPr>
              <w:t>Page</w:t>
            </w:r>
          </w:p>
        </w:tc>
        <w:tc>
          <w:tcPr>
            <w:tcW w:w="880" w:type="dxa"/>
            <w:vAlign w:val="bottom"/>
          </w:tcPr>
          <w:p>
            <w:pPr>
              <w:spacing w:after="0"/>
              <w:rPr>
                <w:sz w:val="21"/>
                <w:szCs w:val="21"/>
                <w:color w:val="auto"/>
              </w:rPr>
            </w:pPr>
          </w:p>
        </w:tc>
      </w:tr>
      <w:tr>
        <w:trPr>
          <w:trHeight w:val="20"/>
        </w:trPr>
        <w:tc>
          <w:tcPr>
            <w:tcW w:w="222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79"/>
        </w:trPr>
        <w:tc>
          <w:tcPr>
            <w:tcW w:w="101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CAUTIONARY NOTE REGARDING FORWARD-LOOKING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101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QUESTIONS AND ANSWERS ABOUT THE PROXY MATERIALS AND OUR SPECIAL MEETING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101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PROPOSAL 1 - THE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Background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Reason for Request for Stockholder Approval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Effect of Vote in Favor of this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Interests of Certain Persons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Effect of Not Obtaining Required Vote for Approval of this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Required Vote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Recommendation of the Board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101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PROPOSAL 2 - THE REVERSE STOCK SPLIT AND RELATED MATTERS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Background and Considerations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Reasons for the Reverse Stock Split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Authorized Share Reduction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Implementation of the Reverse Stock Split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Certain Risks and Potential Disadvantages Associated with the Reverse Stock Split and the Authorized Share Reduction</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Continued SEC Reporting Requirements and NYSE Stock Listing</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New CUSIP Numbers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Effect on Registered and Beneficial Holders of Common Stock and Public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Effect on Registered "Book-Entry" Holders of Common Stock and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No Impact on Preferred Stock</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No Going-Private Transaction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Anticipated Impact on Dividend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No Appraisal or Dissenters' Rights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Interests of Directors and Executive Officers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Material U.S. Federal Income Tax Consequences of the Reverse Stock Split Amendment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Vote Required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101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SECURITY OWNERSHIP OF CERTAIN BENEFICIAL OWNERS, DIRECTORS AND MANAGEMENT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4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GENERAL MATTERS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Stockholders Sharing an Address / Household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Stockholder Proposals and Nominations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Availability of By-Laws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Where You Can Find More Information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10120" w:type="dxa"/>
            <w:vAlign w:val="bottom"/>
            <w:gridSpan w:val="5"/>
          </w:tcPr>
          <w:p>
            <w:pPr>
              <w:ind w:left="1160"/>
              <w:spacing w:after="0"/>
              <w:rPr>
                <w:sz w:val="20"/>
                <w:szCs w:val="20"/>
                <w:color w:val="auto"/>
              </w:rPr>
            </w:pPr>
            <w:r>
              <w:rPr>
                <w:rFonts w:ascii="Times New Roman" w:cs="Times New Roman" w:eastAsia="Times New Roman" w:hAnsi="Times New Roman"/>
                <w:sz w:val="17"/>
                <w:szCs w:val="17"/>
                <w:color w:val="auto"/>
              </w:rPr>
              <w:t>Policies and Procedures for Related Person Transactions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41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Other Matters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000"/>
          </w:cols>
          <w:pgMar w:left="320" w:top="1440" w:right="579" w:bottom="1440" w:gutter="0" w:footer="0" w:header="0"/>
        </w:sectPr>
      </w:pPr>
    </w:p>
    <w:bookmarkStart w:id="5" w:name="page6"/>
    <w:bookmarkEnd w:id="5"/>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9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i w:val="1"/>
          <w:iCs w:val="1"/>
          <w:color w:val="auto"/>
        </w:rPr>
        <w:t>Unless the context otherwise requires, all references to “Bakkt,” “we,” “us,” “our,” or the “Company” in this proxy statement and related materials refer to Bakkt Holdings, Inc. and its subsidiaries.</w:t>
      </w:r>
    </w:p>
    <w:p>
      <w:pPr>
        <w:spacing w:after="0" w:line="164"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w:t>
      </w:r>
    </w:p>
    <w:p>
      <w:pPr>
        <w:spacing w:after="0" w:line="16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closing the remaining portion of the ICE Offering (as defined below);</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Board’s determination to effect the Reverse Stock Split; and</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potential impacts, benefits and risks associated with effecting the Reverse Stock Split.</w:t>
      </w:r>
    </w:p>
    <w:p>
      <w:pPr>
        <w:spacing w:after="0" w:line="18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1"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45"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satisfy the closing conditions in the ICE Purchase Agreement (as defined below);</w:t>
      </w:r>
    </w:p>
    <w:p>
      <w:pPr>
        <w:spacing w:after="0" w:line="16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continue as a going concern;</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our business strategy;</w:t>
      </w:r>
    </w:p>
    <w:p>
      <w:pPr>
        <w:spacing w:after="0" w:line="181" w:lineRule="exact"/>
        <w:rPr>
          <w:rFonts w:ascii="Times New Roman" w:cs="Times New Roman" w:eastAsia="Times New Roman" w:hAnsi="Times New Roman"/>
          <w:sz w:val="17"/>
          <w:szCs w:val="17"/>
          <w:color w:val="auto"/>
        </w:rPr>
      </w:pPr>
    </w:p>
    <w:p>
      <w:pPr>
        <w:ind w:left="620" w:hanging="307"/>
        <w:spacing w:after="0" w:line="233"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the market in which we compete, including with respect to our competitive landscape, technology evolution or changes in applicable laws or regulations;</w:t>
      </w:r>
    </w:p>
    <w:p>
      <w:pPr>
        <w:spacing w:after="0" w:line="15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inability to maintain the listing of our securities on the New York Stock Exchange (the “NYSE”);</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the markets that we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307" w:hanging="307"/>
        <w:spacing w:after="0"/>
        <w:tabs>
          <w:tab w:leader="none" w:pos="3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disruptions in the crypto market that subject us to additional risks, including the risk that banks may not provide banking services to us;</w:t>
      </w:r>
    </w:p>
    <w:p>
      <w:pPr>
        <w:spacing w:after="0" w:line="18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possibility that we may be adversely affected by other economic, business, and/or competitive factors;</w:t>
      </w:r>
    </w:p>
    <w:p>
      <w:pPr>
        <w:spacing w:after="0" w:line="168" w:lineRule="exact"/>
        <w:rPr>
          <w:rFonts w:ascii="Times New Roman" w:cs="Times New Roman" w:eastAsia="Times New Roman" w:hAnsi="Times New Roman"/>
          <w:sz w:val="17"/>
          <w:szCs w:val="17"/>
          <w:color w:val="auto"/>
        </w:rPr>
      </w:pPr>
    </w:p>
    <w:p>
      <w:pPr>
        <w:ind w:left="307" w:hanging="307"/>
        <w:spacing w:after="0"/>
        <w:tabs>
          <w:tab w:leader="none" w:pos="3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inability to launch new services and products or to profitably expand into new markets and services, or the inability to continue offering existing services or products;</w:t>
      </w:r>
    </w:p>
    <w:p>
      <w:pPr>
        <w:spacing w:after="0" w:line="156"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inability to execute our growth strategies, including identifying and executing acquisitions and our initiatives to add new clients;</w:t>
      </w:r>
    </w:p>
    <w:p>
      <w:pPr>
        <w:spacing w:after="0" w:line="16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failure to comply with extensive government regulation, oversight, licensure and appraisals;</w:t>
      </w:r>
    </w:p>
    <w:p>
      <w:pPr>
        <w:spacing w:after="0" w:line="18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uncertain regulatory regime governing blockchain technologies and crypto;</w:t>
      </w:r>
    </w:p>
    <w:p>
      <w:pPr>
        <w:spacing w:after="0" w:line="19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8"/>
        </w:numPr>
        <w:rPr>
          <w:rFonts w:ascii="Arial" w:cs="Arial" w:eastAsia="Arial" w:hAnsi="Arial"/>
          <w:sz w:val="21"/>
          <w:szCs w:val="21"/>
          <w:color w:val="auto"/>
        </w:rPr>
      </w:pPr>
      <w:r>
        <w:rPr>
          <w:rFonts w:ascii="Times New Roman" w:cs="Times New Roman" w:eastAsia="Times New Roman" w:hAnsi="Times New Roman"/>
          <w:sz w:val="19"/>
          <w:szCs w:val="19"/>
          <w:color w:val="auto"/>
        </w:rPr>
        <w:t>the inability to develop and maintain effective internal controls and procedures;</w:t>
      </w:r>
    </w:p>
    <w:p>
      <w:pPr>
        <w:spacing w:after="0" w:line="171" w:lineRule="exact"/>
        <w:rPr>
          <w:rFonts w:ascii="Arial" w:cs="Arial" w:eastAsia="Arial" w:hAnsi="Arial"/>
          <w:sz w:val="21"/>
          <w:szCs w:val="21"/>
          <w:color w:val="auto"/>
        </w:rPr>
      </w:pPr>
    </w:p>
    <w:p>
      <w:pPr>
        <w:ind w:left="307" w:hanging="307"/>
        <w:spacing w:after="0"/>
        <w:tabs>
          <w:tab w:leader="none" w:pos="307" w:val="left"/>
        </w:tabs>
        <w:numPr>
          <w:ilvl w:val="0"/>
          <w:numId w:val="8"/>
        </w:numPr>
        <w:rPr>
          <w:rFonts w:ascii="Arial" w:cs="Arial" w:eastAsia="Arial" w:hAnsi="Arial"/>
          <w:sz w:val="21"/>
          <w:szCs w:val="21"/>
          <w:color w:val="auto"/>
        </w:rPr>
      </w:pPr>
      <w:r>
        <w:rPr>
          <w:rFonts w:ascii="Times New Roman" w:cs="Times New Roman" w:eastAsia="Times New Roman" w:hAnsi="Times New Roman"/>
          <w:sz w:val="19"/>
          <w:szCs w:val="19"/>
          <w:color w:val="auto"/>
        </w:rPr>
        <w:t>the exposure to any liability, protracted and costly litigation or reputational damage relating to our data security;</w:t>
      </w:r>
    </w:p>
    <w:p>
      <w:pPr>
        <w:spacing w:after="0" w:line="171" w:lineRule="exact"/>
        <w:rPr>
          <w:rFonts w:ascii="Arial" w:cs="Arial" w:eastAsia="Arial" w:hAnsi="Arial"/>
          <w:sz w:val="21"/>
          <w:szCs w:val="21"/>
          <w:color w:val="auto"/>
        </w:rPr>
      </w:pPr>
    </w:p>
    <w:p>
      <w:pPr>
        <w:ind w:left="307" w:hanging="307"/>
        <w:spacing w:after="0"/>
        <w:tabs>
          <w:tab w:leader="none" w:pos="307" w:val="left"/>
        </w:tabs>
        <w:numPr>
          <w:ilvl w:val="0"/>
          <w:numId w:val="8"/>
        </w:numPr>
        <w:rPr>
          <w:rFonts w:ascii="Arial" w:cs="Arial" w:eastAsia="Arial" w:hAnsi="Arial"/>
          <w:sz w:val="21"/>
          <w:szCs w:val="21"/>
          <w:color w:val="auto"/>
        </w:rPr>
      </w:pPr>
      <w:r>
        <w:rPr>
          <w:rFonts w:ascii="Times New Roman" w:cs="Times New Roman" w:eastAsia="Times New Roman" w:hAnsi="Times New Roman"/>
          <w:sz w:val="19"/>
          <w:szCs w:val="19"/>
          <w:color w:val="auto"/>
        </w:rPr>
        <w:t>the impact of any goodwill or other intangible assets impairments on our operating results; and</w:t>
      </w:r>
    </w:p>
    <w:p>
      <w:pPr>
        <w:spacing w:after="0" w:line="158" w:lineRule="exact"/>
        <w:rPr>
          <w:rFonts w:ascii="Arial" w:cs="Arial" w:eastAsia="Arial" w:hAnsi="Arial"/>
          <w:sz w:val="21"/>
          <w:szCs w:val="21"/>
          <w:color w:val="auto"/>
        </w:rPr>
      </w:pPr>
    </w:p>
    <w:p>
      <w:pPr>
        <w:ind w:left="307" w:hanging="307"/>
        <w:spacing w:after="0" w:line="233" w:lineRule="auto"/>
        <w:tabs>
          <w:tab w:leader="none" w:pos="3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other risks and uncertainties indicated in our Annual Report on Form 10-K for the fiscal year ended December 31, 2023, which was filed on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27"/>
          </w:cols>
          <w:pgMar w:left="633" w:top="1343" w:right="339" w:bottom="1440" w:gutter="0" w:footer="0" w:header="0"/>
        </w:sectPr>
      </w:pPr>
    </w:p>
    <w:bookmarkStart w:id="7" w:name="page8"/>
    <w:bookmarkEnd w:id="7"/>
    <w:p>
      <w:pPr>
        <w:spacing w:after="0" w:line="1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Bakkt Holdings, Inc.</w:t>
      </w:r>
    </w:p>
    <w:p>
      <w:pPr>
        <w:ind w:left="4180"/>
        <w:spacing w:after="0" w:line="198" w:lineRule="auto"/>
        <w:rPr>
          <w:sz w:val="20"/>
          <w:szCs w:val="20"/>
          <w:color w:val="auto"/>
        </w:rPr>
      </w:pPr>
      <w:r>
        <w:rPr>
          <w:rFonts w:ascii="Times New Roman" w:cs="Times New Roman" w:eastAsia="Times New Roman" w:hAnsi="Times New Roman"/>
          <w:sz w:val="19"/>
          <w:szCs w:val="19"/>
          <w:b w:val="1"/>
          <w:bCs w:val="1"/>
          <w:color w:val="auto"/>
        </w:rPr>
        <w:t>10000 Avalon Boulevard, Suite 1000</w:t>
      </w:r>
    </w:p>
    <w:p>
      <w:pPr>
        <w:ind w:left="4560"/>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April [__], 2024</w:t>
      </w:r>
    </w:p>
    <w:p>
      <w:pPr>
        <w:spacing w:after="0" w:line="1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PROXY STATEMENT FOR SPECIAL MEETING OF STOCKHOLDERS</w:t>
      </w:r>
    </w:p>
    <w:p>
      <w:pPr>
        <w:spacing w:after="0" w:line="16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To be Held On April [__], 2024, at [__] Eastern Time</w:t>
      </w:r>
    </w:p>
    <w:p>
      <w:pPr>
        <w:jc w:val="center"/>
        <w:spacing w:after="0" w:line="212" w:lineRule="auto"/>
        <w:rPr>
          <w:sz w:val="20"/>
          <w:szCs w:val="20"/>
          <w:color w:val="auto"/>
        </w:rPr>
      </w:pPr>
      <w:r>
        <w:rPr>
          <w:rFonts w:ascii="Times New Roman" w:cs="Times New Roman" w:eastAsia="Times New Roman" w:hAnsi="Times New Roman"/>
          <w:sz w:val="19"/>
          <w:szCs w:val="19"/>
          <w:b w:val="1"/>
          <w:bCs w:val="1"/>
          <w:color w:val="auto"/>
        </w:rPr>
        <w:t>Virtually by Live Webcast at:</w:t>
      </w:r>
    </w:p>
    <w:p>
      <w:pPr>
        <w:ind w:left="5240"/>
        <w:spacing w:after="0"/>
        <w:rPr>
          <w:sz w:val="20"/>
          <w:szCs w:val="20"/>
          <w:color w:val="auto"/>
        </w:rPr>
      </w:pPr>
      <w:r>
        <w:rPr>
          <w:rFonts w:ascii="Times New Roman" w:cs="Times New Roman" w:eastAsia="Times New Roman" w:hAnsi="Times New Roman"/>
          <w:sz w:val="19"/>
          <w:szCs w:val="19"/>
          <w:color w:val="auto"/>
        </w:rPr>
        <w:t>[_______]</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QUESTIONS AND ANSWERS ABOUT THE PROXY MATERIALS AND OUR SPECIAL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am I receiving these materials?</w:t>
      </w:r>
    </w:p>
    <w:p>
      <w:pPr>
        <w:spacing w:after="0" w:line="192"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Bakkt Holdings,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is providing these proxy materials to you in connection with the Board’s solicitation of proxies for use at Bakkt’s Special Meeting of Stockholders to be held on April [__], 2024, at [__] Eastern Time (together with any adjournment, postponement or other delay thereof, the “</w:t>
      </w:r>
      <w:r>
        <w:rPr>
          <w:rFonts w:ascii="Times New Roman" w:cs="Times New Roman" w:eastAsia="Times New Roman" w:hAnsi="Times New Roman"/>
          <w:sz w:val="19"/>
          <w:szCs w:val="19"/>
          <w:b w:val="1"/>
          <w:bCs w:val="1"/>
          <w:i w:val="1"/>
          <w:iCs w:val="1"/>
          <w:color w:val="auto"/>
        </w:rPr>
        <w:t>Special Meeting</w:t>
      </w:r>
      <w:r>
        <w:rPr>
          <w:rFonts w:ascii="Times New Roman" w:cs="Times New Roman" w:eastAsia="Times New Roman" w:hAnsi="Times New Roman"/>
          <w:sz w:val="19"/>
          <w:szCs w:val="19"/>
          <w:color w:val="auto"/>
        </w:rPr>
        <w:t>”), for the purpose of considering and acting upon the matters set forth in this proxy statement. These proxy materials are being distributed to you beginning on April [__], 2024. As a stockholder, you are invited to attend the Special Meeting and are requested to vote on the proposals described in this proxy statement.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proposals to be voted on at the Special Meeting are:</w:t>
      </w:r>
    </w:p>
    <w:p>
      <w:pPr>
        <w:spacing w:after="0" w:line="201" w:lineRule="exact"/>
        <w:rPr>
          <w:sz w:val="20"/>
          <w:szCs w:val="20"/>
          <w:color w:val="auto"/>
        </w:rPr>
      </w:pPr>
    </w:p>
    <w:p>
      <w:pPr>
        <w:jc w:val="both"/>
        <w:ind w:left="940" w:hanging="318"/>
        <w:spacing w:after="0" w:line="236" w:lineRule="auto"/>
        <w:tabs>
          <w:tab w:leader="none" w:pos="92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NYSE Issuance Proposal. </w:t>
      </w:r>
      <w:r>
        <w:rPr>
          <w:rFonts w:ascii="Times New Roman" w:cs="Times New Roman" w:eastAsia="Times New Roman" w:hAnsi="Times New Roman"/>
          <w:sz w:val="19"/>
          <w:szCs w:val="19"/>
          <w:color w:val="auto"/>
        </w:rPr>
        <w:t>To consider and vote upon a proposal to approve, for purposes of complying with Section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312.03 of the New York Stock Exchange (the “</w:t>
      </w:r>
      <w:r>
        <w:rPr>
          <w:rFonts w:ascii="Times New Roman" w:cs="Times New Roman" w:eastAsia="Times New Roman" w:hAnsi="Times New Roman"/>
          <w:sz w:val="19"/>
          <w:szCs w:val="19"/>
          <w:b w:val="1"/>
          <w:bCs w:val="1"/>
          <w:i w:val="1"/>
          <w:iCs w:val="1"/>
          <w:color w:val="auto"/>
        </w:rPr>
        <w:t>NYSE</w:t>
      </w:r>
      <w:r>
        <w:rPr>
          <w:rFonts w:ascii="Times New Roman" w:cs="Times New Roman" w:eastAsia="Times New Roman" w:hAnsi="Times New Roman"/>
          <w:sz w:val="19"/>
          <w:szCs w:val="19"/>
          <w:color w:val="auto"/>
        </w:rPr>
        <w:t>”) Listed Company Manual (the “</w:t>
      </w:r>
      <w:r>
        <w:rPr>
          <w:rFonts w:ascii="Times New Roman" w:cs="Times New Roman" w:eastAsia="Times New Roman" w:hAnsi="Times New Roman"/>
          <w:sz w:val="19"/>
          <w:szCs w:val="19"/>
          <w:b w:val="1"/>
          <w:bCs w:val="1"/>
          <w:i w:val="1"/>
          <w:iCs w:val="1"/>
          <w:color w:val="auto"/>
        </w:rPr>
        <w:t>NYSE Manual</w:t>
      </w:r>
      <w:r>
        <w:rPr>
          <w:rFonts w:ascii="Times New Roman" w:cs="Times New Roman" w:eastAsia="Times New Roman" w:hAnsi="Times New Roman"/>
          <w:sz w:val="19"/>
          <w:szCs w:val="19"/>
          <w:color w:val="auto"/>
        </w:rPr>
        <w:t>”), the Company’s (1) issuance and sale of up to 8,772,016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Class 1 Warrants (“</w:t>
      </w:r>
      <w:r>
        <w:rPr>
          <w:rFonts w:ascii="Times New Roman" w:cs="Times New Roman" w:eastAsia="Times New Roman" w:hAnsi="Times New Roman"/>
          <w:sz w:val="19"/>
          <w:szCs w:val="19"/>
          <w:b w:val="1"/>
          <w:bCs w:val="1"/>
          <w:i w:val="1"/>
          <w:iCs w:val="1"/>
          <w:color w:val="auto"/>
        </w:rPr>
        <w:t>Class 1 Warrants</w:t>
      </w:r>
      <w:r>
        <w:rPr>
          <w:rFonts w:ascii="Times New Roman" w:cs="Times New Roman" w:eastAsia="Times New Roman" w:hAnsi="Times New Roman"/>
          <w:sz w:val="19"/>
          <w:szCs w:val="19"/>
          <w:color w:val="auto"/>
        </w:rPr>
        <w:t>”) to purchase up to 4,386,008 shares of Class A Common Stock and Class 2 Warrants (“</w:t>
      </w:r>
      <w:r>
        <w:rPr>
          <w:rFonts w:ascii="Times New Roman" w:cs="Times New Roman" w:eastAsia="Times New Roman" w:hAnsi="Times New Roman"/>
          <w:sz w:val="19"/>
          <w:szCs w:val="19"/>
          <w:b w:val="1"/>
          <w:bCs w:val="1"/>
          <w:i w:val="1"/>
          <w:iCs w:val="1"/>
          <w:color w:val="auto"/>
        </w:rPr>
        <w:t>Class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to purchase up to 4,386,008 shares of Class A Common Stock to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in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subsequent closing pursuant to the securities purchase agreement, dated as of February 29, 2024, by and between the Company and ICE (the “</w:t>
      </w:r>
      <w:r>
        <w:rPr>
          <w:rFonts w:ascii="Times New Roman" w:cs="Times New Roman" w:eastAsia="Times New Roman" w:hAnsi="Times New Roman"/>
          <w:sz w:val="19"/>
          <w:szCs w:val="19"/>
          <w:b w:val="1"/>
          <w:bCs w:val="1"/>
          <w:i w:val="1"/>
          <w:iCs w:val="1"/>
          <w:color w:val="auto"/>
        </w:rPr>
        <w:t>ICE Purchase Agreement</w:t>
      </w:r>
      <w:r>
        <w:rPr>
          <w:rFonts w:ascii="Times New Roman" w:cs="Times New Roman" w:eastAsia="Times New Roman" w:hAnsi="Times New Roman"/>
          <w:sz w:val="19"/>
          <w:szCs w:val="19"/>
          <w:color w:val="auto"/>
        </w:rPr>
        <w:t>”), and (2) the issuance of up to 14,417,531 shares of Class A Common Stock upon exercise of the alternative cashless exercise provision of the Class 2 Warrants in the concurrent registered direct offerings (such shares, the “</w:t>
      </w:r>
      <w:r>
        <w:rPr>
          <w:rFonts w:ascii="Times New Roman" w:cs="Times New Roman" w:eastAsia="Times New Roman" w:hAnsi="Times New Roman"/>
          <w:sz w:val="19"/>
          <w:szCs w:val="19"/>
          <w:b w:val="1"/>
          <w:bCs w:val="1"/>
          <w:i w:val="1"/>
          <w:iCs w:val="1"/>
          <w:color w:val="auto"/>
        </w:rPr>
        <w:t>Alternative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Cashless Exercise Warrants Shares</w:t>
      </w:r>
      <w:r>
        <w:rPr>
          <w:rFonts w:ascii="Times New Roman" w:cs="Times New Roman" w:eastAsia="Times New Roman" w:hAnsi="Times New Roman"/>
          <w:sz w:val="19"/>
          <w:szCs w:val="19"/>
          <w:color w:val="auto"/>
        </w:rPr>
        <w:t>”) (such proposal, the “</w:t>
      </w:r>
      <w:r>
        <w:rPr>
          <w:rFonts w:ascii="Times New Roman" w:cs="Times New Roman" w:eastAsia="Times New Roman" w:hAnsi="Times New Roman"/>
          <w:sz w:val="19"/>
          <w:szCs w:val="19"/>
          <w:b w:val="1"/>
          <w:bCs w:val="1"/>
          <w:i w:val="1"/>
          <w:iCs w:val="1"/>
          <w:color w:val="auto"/>
        </w:rPr>
        <w:t>NYSE Issuance Proposal</w:t>
      </w:r>
      <w:r>
        <w:rPr>
          <w:rFonts w:ascii="Times New Roman" w:cs="Times New Roman" w:eastAsia="Times New Roman" w:hAnsi="Times New Roman"/>
          <w:sz w:val="19"/>
          <w:szCs w:val="19"/>
          <w:color w:val="auto"/>
        </w:rPr>
        <w:t>”); and</w:t>
      </w:r>
    </w:p>
    <w:p>
      <w:pPr>
        <w:spacing w:after="0" w:line="167" w:lineRule="exact"/>
        <w:rPr>
          <w:rFonts w:ascii="Times New Roman" w:cs="Times New Roman" w:eastAsia="Times New Roman" w:hAnsi="Times New Roman"/>
          <w:sz w:val="19"/>
          <w:szCs w:val="19"/>
          <w:color w:val="auto"/>
        </w:rPr>
      </w:pPr>
    </w:p>
    <w:p>
      <w:pPr>
        <w:jc w:val="both"/>
        <w:ind w:left="940" w:hanging="318"/>
        <w:spacing w:after="0" w:line="242" w:lineRule="auto"/>
        <w:tabs>
          <w:tab w:leader="none" w:pos="92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Reverse Stock Split and Related Matters Proposal. </w:t>
      </w:r>
      <w:r>
        <w:rPr>
          <w:rFonts w:ascii="Times New Roman" w:cs="Times New Roman" w:eastAsia="Times New Roman" w:hAnsi="Times New Roman"/>
          <w:sz w:val="19"/>
          <w:szCs w:val="19"/>
          <w:color w:val="auto"/>
        </w:rPr>
        <w:t>To consider and vote upon a proposal to effect a reverse stock split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outstanding Class A Common Stock and Class V Common Stock, par value $0.0001 per share (the “</w:t>
      </w:r>
      <w:r>
        <w:rPr>
          <w:rFonts w:ascii="Times New Roman" w:cs="Times New Roman" w:eastAsia="Times New Roman" w:hAnsi="Times New Roman"/>
          <w:sz w:val="19"/>
          <w:szCs w:val="19"/>
          <w:b w:val="1"/>
          <w:bCs w:val="1"/>
          <w:i w:val="1"/>
          <w:iCs w:val="1"/>
          <w:color w:val="auto"/>
        </w:rPr>
        <w:t>Class V Common Stock</w:t>
      </w:r>
      <w:r>
        <w:rPr>
          <w:rFonts w:ascii="Times New Roman" w:cs="Times New Roman" w:eastAsia="Times New Roman" w:hAnsi="Times New Roman"/>
          <w:sz w:val="19"/>
          <w:szCs w:val="19"/>
          <w:color w:val="auto"/>
        </w:rPr>
        <w:t>”, and together with the Class A Common Stock, the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at a ratio equal to 1-for-25 (the “</w:t>
      </w:r>
      <w:r>
        <w:rPr>
          <w:rFonts w:ascii="Times New Roman" w:cs="Times New Roman" w:eastAsia="Times New Roman" w:hAnsi="Times New Roman"/>
          <w:sz w:val="19"/>
          <w:szCs w:val="19"/>
          <w:b w:val="1"/>
          <w:bCs w:val="1"/>
          <w:i w:val="1"/>
          <w:iCs w:val="1"/>
          <w:color w:val="auto"/>
        </w:rPr>
        <w:t>Reverse Stock Split</w:t>
      </w:r>
      <w:r>
        <w:rPr>
          <w:rFonts w:ascii="Times New Roman" w:cs="Times New Roman" w:eastAsia="Times New Roman" w:hAnsi="Times New Roman"/>
          <w:sz w:val="19"/>
          <w:szCs w:val="19"/>
          <w:color w:val="auto"/>
        </w:rPr>
        <w:t>”) and, contemporaneously with the Reverse Stock Split, a reduction in the number of authorized shares of Common Stock by a ratio corresponding to that effected in the Reverse Stock Split (such proposal, the “</w:t>
      </w:r>
      <w:r>
        <w:rPr>
          <w:rFonts w:ascii="Times New Roman" w:cs="Times New Roman" w:eastAsia="Times New Roman" w:hAnsi="Times New Roman"/>
          <w:sz w:val="19"/>
          <w:szCs w:val="19"/>
          <w:b w:val="1"/>
          <w:bCs w:val="1"/>
          <w:i w:val="1"/>
          <w:iCs w:val="1"/>
          <w:color w:val="auto"/>
        </w:rPr>
        <w:t>Reverse Stock Split and Related Matters Proposal</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Holders of the Common Stock will not be entitled to appraisal, dissenters’ or similar rights in connection with these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Board’s recommendations on how to vote my shares?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Board unanimously recommends a vote:</w:t>
      </w:r>
    </w:p>
    <w:p>
      <w:pPr>
        <w:spacing w:after="0" w:line="203" w:lineRule="exact"/>
        <w:rPr>
          <w:sz w:val="20"/>
          <w:szCs w:val="20"/>
          <w:color w:val="auto"/>
        </w:rPr>
      </w:pPr>
    </w:p>
    <w:p>
      <w:pPr>
        <w:ind w:left="920" w:hanging="298"/>
        <w:spacing w:after="0"/>
        <w:tabs>
          <w:tab w:leader="none" w:pos="9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Proposal 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the approval of the NYSE Issuance Proposal.</w:t>
      </w:r>
    </w:p>
    <w:p>
      <w:pPr>
        <w:spacing w:after="0" w:line="194"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Proposal 2</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the approval of the Reverse Stock Split and Related Matters Proposal.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proxy?</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Chief Executive Officer, Andrew Main, our Chief Financial Officer, Karen Alexander, and our General Counsel and Secretary, Marc D’Annunzio, to serve as proxies for the Special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is the Company seeking approval of the NYSE Issuance Proposal?</w:t>
      </w:r>
    </w:p>
    <w:p>
      <w:pPr>
        <w:spacing w:after="0" w:line="20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On February 29, 2024, the Company entered into the ICE Purchase Agreement with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our majority stockholder, relating to the issuance and sale of up to 11,534,025 shares of Class A Common Stock, Class 1 Warrants to purchase up to 5,767,012 shares of Class A Common Stock, and Class 2 Warrants to purchase up to 5,767,012 shares of Class A Common Stock (collectively, the “</w:t>
      </w:r>
      <w:r>
        <w:rPr>
          <w:rFonts w:ascii="Times New Roman" w:cs="Times New Roman" w:eastAsia="Times New Roman" w:hAnsi="Times New Roman"/>
          <w:sz w:val="19"/>
          <w:szCs w:val="19"/>
          <w:b w:val="1"/>
          <w:bCs w:val="1"/>
          <w:i w:val="1"/>
          <w:iCs w:val="1"/>
          <w:color w:val="auto"/>
        </w:rPr>
        <w:t>ICE Offering</w:t>
      </w:r>
      <w:r>
        <w:rPr>
          <w:rFonts w:ascii="Times New Roman" w:cs="Times New Roman" w:eastAsia="Times New Roman" w:hAnsi="Times New Roman"/>
          <w:sz w:val="19"/>
          <w:szCs w:val="19"/>
          <w:color w:val="auto"/>
        </w:rPr>
        <w:t>”). Concurrently with the ICE Offering, the Company entered into a securities purchase agreement (the “</w:t>
      </w:r>
      <w:r>
        <w:rPr>
          <w:rFonts w:ascii="Times New Roman" w:cs="Times New Roman" w:eastAsia="Times New Roman" w:hAnsi="Times New Roman"/>
          <w:sz w:val="19"/>
          <w:szCs w:val="19"/>
          <w:b w:val="1"/>
          <w:bCs w:val="1"/>
          <w:i w:val="1"/>
          <w:iCs w:val="1"/>
          <w:color w:val="auto"/>
        </w:rPr>
        <w:t>Third-Party Purchase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together with the ICE Purchase Agreement, the “</w:t>
      </w:r>
      <w:r>
        <w:rPr>
          <w:rFonts w:ascii="Times New Roman" w:cs="Times New Roman" w:eastAsia="Times New Roman" w:hAnsi="Times New Roman"/>
          <w:sz w:val="19"/>
          <w:szCs w:val="19"/>
          <w:b w:val="1"/>
          <w:bCs w:val="1"/>
          <w:i w:val="1"/>
          <w:iCs w:val="1"/>
          <w:color w:val="auto"/>
        </w:rPr>
        <w:t>Purchase Agreements</w:t>
      </w:r>
      <w:r>
        <w:rPr>
          <w:rFonts w:ascii="Times New Roman" w:cs="Times New Roman" w:eastAsia="Times New Roman" w:hAnsi="Times New Roman"/>
          <w:sz w:val="19"/>
          <w:szCs w:val="19"/>
          <w:color w:val="auto"/>
        </w:rPr>
        <w:t>”) with certain institutional investors (the “</w:t>
      </w:r>
      <w:r>
        <w:rPr>
          <w:rFonts w:ascii="Times New Roman" w:cs="Times New Roman" w:eastAsia="Times New Roman" w:hAnsi="Times New Roman"/>
          <w:sz w:val="19"/>
          <w:szCs w:val="19"/>
          <w:b w:val="1"/>
          <w:bCs w:val="1"/>
          <w:i w:val="1"/>
          <w:iCs w:val="1"/>
          <w:color w:val="auto"/>
        </w:rPr>
        <w:t>Third-Party Purchasers</w:t>
      </w:r>
      <w:r>
        <w:rPr>
          <w:rFonts w:ascii="Times New Roman" w:cs="Times New Roman" w:eastAsia="Times New Roman" w:hAnsi="Times New Roman"/>
          <w:sz w:val="19"/>
          <w:szCs w:val="19"/>
          <w:color w:val="auto"/>
        </w:rPr>
        <w:t>”), whereby the Company agreed to issue and sell to the Third-Party Purchasers an aggregate of 34,917,532 shares of Class A Common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including 4,917,532 shares of Class A Common Stock issued upon exercise of certain of the Pre-Funded Warrants (as defined below) prior to the consummation of the transactions contemplated by the Third-Party Purchase Agreement (the “</w:t>
      </w:r>
      <w:r>
        <w:rPr>
          <w:rFonts w:ascii="Times New Roman" w:cs="Times New Roman" w:eastAsia="Times New Roman" w:hAnsi="Times New Roman"/>
          <w:sz w:val="19"/>
          <w:szCs w:val="19"/>
          <w:b w:val="1"/>
          <w:bCs w:val="1"/>
          <w:i w:val="1"/>
          <w:iCs w:val="1"/>
          <w:color w:val="auto"/>
        </w:rPr>
        <w:t>Third-Party Closing</w:t>
      </w:r>
      <w:r>
        <w:rPr>
          <w:rFonts w:ascii="Times New Roman" w:cs="Times New Roman" w:eastAsia="Times New Roman" w:hAnsi="Times New Roman"/>
          <w:sz w:val="19"/>
          <w:szCs w:val="19"/>
          <w:color w:val="auto"/>
        </w:rPr>
        <w:t>”), Class 1 Warrants to purchase an aggregate of 23,068,051 shares of Class A Common Stock, Class 2 Warrants to purchase an aggregate of 23,068,051 shares of Class A Common Stock and Pre-Funded Warrants (“</w:t>
      </w:r>
      <w:r>
        <w:rPr>
          <w:rFonts w:ascii="Times New Roman" w:cs="Times New Roman" w:eastAsia="Times New Roman" w:hAnsi="Times New Roman"/>
          <w:sz w:val="19"/>
          <w:szCs w:val="19"/>
          <w:b w:val="1"/>
          <w:bCs w:val="1"/>
          <w:i w:val="1"/>
          <w:iCs w:val="1"/>
          <w:color w:val="auto"/>
        </w:rPr>
        <w:t>Pre-Funded Warrants</w:t>
      </w:r>
      <w:r>
        <w:rPr>
          <w:rFonts w:ascii="Times New Roman" w:cs="Times New Roman" w:eastAsia="Times New Roman" w:hAnsi="Times New Roman"/>
          <w:sz w:val="19"/>
          <w:szCs w:val="19"/>
          <w:color w:val="auto"/>
        </w:rPr>
        <w:t>”) to purchase an aggregate of 11,218,570 shares of Class A Common Stock, which excluded Pre-Funded Warrants exercised prior to the Third-Party Closing (collectively, the “</w:t>
      </w:r>
      <w:r>
        <w:rPr>
          <w:rFonts w:ascii="Times New Roman" w:cs="Times New Roman" w:eastAsia="Times New Roman" w:hAnsi="Times New Roman"/>
          <w:sz w:val="19"/>
          <w:szCs w:val="19"/>
          <w:b w:val="1"/>
          <w:bCs w:val="1"/>
          <w:i w:val="1"/>
          <w:iCs w:val="1"/>
          <w:color w:val="auto"/>
        </w:rPr>
        <w:t>Third-Party Offering</w:t>
      </w:r>
      <w:r>
        <w:rPr>
          <w:rFonts w:ascii="Times New Roman" w:cs="Times New Roman" w:eastAsia="Times New Roman" w:hAnsi="Times New Roman"/>
          <w:sz w:val="19"/>
          <w:szCs w:val="19"/>
          <w:color w:val="auto"/>
        </w:rPr>
        <w:t>” and, together with the ICE Offering, the “</w:t>
      </w:r>
      <w:r>
        <w:rPr>
          <w:rFonts w:ascii="Times New Roman" w:cs="Times New Roman" w:eastAsia="Times New Roman" w:hAnsi="Times New Roman"/>
          <w:sz w:val="19"/>
          <w:szCs w:val="19"/>
          <w:b w:val="1"/>
          <w:bCs w:val="1"/>
          <w:i w:val="1"/>
          <w:iCs w:val="1"/>
          <w:color w:val="auto"/>
        </w:rPr>
        <w:t>Concurrent Offerings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On March 4, 2024, the Company closed the sale and issuance (1) to ICE of 2,762,009 shares of Class A Common Stock, Class 1 Warrants to purchase up to 1,381,004 shares of Class A Common Stock and Class 2 Warrants to purchase up to 1,381,004 shares of Class A Common Stock, and (2) of all of the securities to the Third-Party Purchasers under the Third-Party Offering. The closing of the issuance and sale of the remaining 8,772,016 shares of Class A Common Stock (the “</w:t>
      </w:r>
      <w:r>
        <w:rPr>
          <w:rFonts w:ascii="Times New Roman" w:cs="Times New Roman" w:eastAsia="Times New Roman" w:hAnsi="Times New Roman"/>
          <w:sz w:val="19"/>
          <w:szCs w:val="19"/>
          <w:b w:val="1"/>
          <w:bCs w:val="1"/>
          <w:i w:val="1"/>
          <w:iCs w:val="1"/>
          <w:color w:val="auto"/>
        </w:rPr>
        <w:t>Incremental ICE Shares</w:t>
      </w:r>
      <w:r>
        <w:rPr>
          <w:rFonts w:ascii="Times New Roman" w:cs="Times New Roman" w:eastAsia="Times New Roman" w:hAnsi="Times New Roman"/>
          <w:sz w:val="19"/>
          <w:szCs w:val="19"/>
          <w:color w:val="auto"/>
        </w:rPr>
        <w:t>”), Class 1 Warrants to purchase up to 4,386,008 shares of Class A Common Stock and Class 2 Warrants to purchase up to 4,386,008 shares of Class A Common Stock in the ICE Offering (the shares underlying such Class 1 Warrants and Class 2 Warrants, the “</w:t>
      </w:r>
      <w:r>
        <w:rPr>
          <w:rFonts w:ascii="Times New Roman" w:cs="Times New Roman" w:eastAsia="Times New Roman" w:hAnsi="Times New Roman"/>
          <w:sz w:val="19"/>
          <w:szCs w:val="19"/>
          <w:b w:val="1"/>
          <w:bCs w:val="1"/>
          <w:i w:val="1"/>
          <w:iCs w:val="1"/>
          <w:color w:val="auto"/>
        </w:rPr>
        <w:t>Incremental ICE Warrant Shares</w:t>
      </w:r>
      <w:r>
        <w:rPr>
          <w:rFonts w:ascii="Times New Roman" w:cs="Times New Roman" w:eastAsia="Times New Roman" w:hAnsi="Times New Roman"/>
          <w:sz w:val="19"/>
          <w:szCs w:val="19"/>
          <w:color w:val="auto"/>
        </w:rPr>
        <w:t>”) is conditioned on the Company obtaining stockholder approval for such issuances under the rules and regulations of the NYSE and other customary closing conditions. In addition, the Company agreed to seek stockholder approval for the issuance of the shares of Class A Common Stock issuable upon exercise of the alternative cashless exercise provision of the Class 2 Warrants.</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Our Board and management team have explored a wide variety of options that would allow us to raise funds and strengthen our balance sheet, including various equity fundraisings, PIPE transactions, structured products, strategic partnerships, and secured debt options. These have included potential transactions sourced with a range of capital markets advisors, as well as opportunities originated in-house by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rPr>
          <w:sz w:val="20"/>
          <w:szCs w:val="20"/>
          <w:color w:val="auto"/>
        </w:rPr>
      </w:pPr>
      <w:r>
        <w:rPr>
          <w:rFonts w:ascii="Times New Roman" w:cs="Times New Roman" w:eastAsia="Times New Roman" w:hAnsi="Times New Roman"/>
          <w:sz w:val="19"/>
          <w:szCs w:val="19"/>
          <w:color w:val="auto"/>
        </w:rPr>
        <w:t>Our Board and management team have concluded that the transactions with ICE and the Third-Party Purchasers, respectively, are in the best interest of the Company. We can provide no assurance that we would be successful in raising alternative funds through additional equity or debt financings or that such funds would be raised at prices that do not create substantial dilution for our existing stockholders. As a result, we are seeking stockholder approval of the NYSE Issuance Proposal, and the Board unanimously recommends that you vote (1) “FOR” the approval of the NYSE Issuance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is the Company seeking to implement the Reverse Stock Split and Related Matter Proposal?</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reverse stock split is being proposed to increase the market price of the Class A Common Stock to satisfy the $1.00 minimum closing bid price required under Section 802.01C of the NYSE Manual to avoid delisting of our Class A Common Stock from the NYSE. In addition, an increased stock price may, among other things, increase the attractiveness of our Class A Common Stock to the investment community.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NYSE Issuance Proposal is approved?</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If the NYSE Issuance Proposal is approved, we will, subject to the satisfaction of the other closing conditions set forth in the ICE Purchase Agreement, close on the issuance and sale of the Incremental ICE Shares and the accompanying Class 1 Warrants and Class 2 Warrants (together, the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i w:val="1"/>
          <w:iCs w:val="1"/>
          <w:color w:val="auto"/>
        </w:rPr>
        <w:t>Warrant</w:t>
      </w:r>
      <w:r>
        <w:rPr>
          <w:rFonts w:ascii="Times New Roman" w:cs="Times New Roman" w:eastAsia="Times New Roman" w:hAnsi="Times New Roman"/>
          <w:sz w:val="19"/>
          <w:szCs w:val="19"/>
          <w:color w:val="auto"/>
        </w:rPr>
        <w:t>”) for aggregate gross proceeds of approximately $7.6 million at a purchase price of $0.8670 per share of Class A Common Stock and accompanying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Reverse Stock Split and Related Matters Proposal is approved?</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If the Reverse Stock Split and Related Matters Proposal is approved, the Board will have the ability to determine whether to effect the Reverse Stock Split. If we effect the Reverse Stock Split, we will also contemporaneously undertake such action as is required to effect the Authorized Share Reduction.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consequences if the NYSE Issuance Proposal is not approved?</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If the Company is unable to obtain approval of this NYSE Issuance Proposal or a similar proposal in the future, it will be unable to issue and sell the ICE Incremental Shares and the accompanying Class 1 Warrants and Class 2 Warrants under the ICE Purchase Agreement, the issuance of which would result in aggregate gross proceeds to the Company of approximately $7.6 million. If the Company is unable to consummate such issuance, the Company may determine to adjust its operating plan or otherwise forego potential strategic initiatives aimed at growing the business. Further, the holders of the Class 2 Warrants will be unable to exercise such Warrants under the alternative cashless exercise provision contained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consequences if the Reverse Stock Split and Related Matters Proposal is not approved?</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If the Company is unable to obtain approval of this Reverse Stock Split and Related Matters Proposal, it does not anticipate that it will otherwise be able to meet the $1.00 minimum closing bid price continued listing requirement of the NYSE on or before the six-month anniversary following the NYSE notification, and its Class A Common Stock and the Public Warrants could be delisted from the NYSE. If the Company is delisted from the NYSE, it may be forced to seek to be traded on the OTC Bulletin Board or the “pink sheets,” which would require its market makers to request that the Company’s Class A Common Stock and/or Public Warrants be so listed. There are a number of negative consequences that could result from the Company’s delisting from the NYSE, including,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56" w:right="339" w:bottom="1440" w:gutter="0" w:footer="0" w:header="0"/>
        </w:sectPr>
      </w:pPr>
    </w:p>
    <w:bookmarkStart w:id="10" w:name="page11"/>
    <w:bookmarkEnd w:id="10"/>
    <w:p>
      <w:pPr>
        <w:spacing w:after="0" w:line="123" w:lineRule="exact"/>
        <w:rPr>
          <w:sz w:val="20"/>
          <w:szCs w:val="20"/>
          <w:color w:val="auto"/>
        </w:rPr>
      </w:pPr>
    </w:p>
    <w:p>
      <w:pPr>
        <w:ind w:left="940" w:hanging="318"/>
        <w:spacing w:after="0" w:line="255" w:lineRule="auto"/>
        <w:tabs>
          <w:tab w:leader="none" w:pos="92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liquidity and market price of the Company’s Class A Common Stock and Public Warrants may be negatively impacted and the spread between the “bid” and “asked” prices quoted by market makers may be increased;</w:t>
      </w:r>
    </w:p>
    <w:p>
      <w:pPr>
        <w:spacing w:after="0" w:line="193"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access to capital may be reduced, causing it to have less flexibility in responding to its capital requirements;</w:t>
      </w:r>
    </w:p>
    <w:p>
      <w:pPr>
        <w:spacing w:after="0" w:line="219" w:lineRule="exact"/>
        <w:rPr>
          <w:rFonts w:ascii="Times New Roman" w:cs="Times New Roman" w:eastAsia="Times New Roman" w:hAnsi="Times New Roman"/>
          <w:sz w:val="19"/>
          <w:szCs w:val="19"/>
          <w:color w:val="auto"/>
        </w:rPr>
      </w:pPr>
    </w:p>
    <w:p>
      <w:pPr>
        <w:ind w:left="940" w:hanging="318"/>
        <w:spacing w:after="0" w:line="269" w:lineRule="auto"/>
        <w:tabs>
          <w:tab w:leader="none" w:pos="92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institutional investors may be less interested in, or prohibited from, investing in its Class A Common Stock and Public Warrants, which may cause the market price of its Class A Common Stock and Public Warrants to decline;</w:t>
      </w:r>
    </w:p>
    <w:p>
      <w:pPr>
        <w:spacing w:after="0" w:line="167" w:lineRule="exact"/>
        <w:rPr>
          <w:rFonts w:ascii="Times New Roman" w:cs="Times New Roman" w:eastAsia="Times New Roman" w:hAnsi="Times New Roman"/>
          <w:sz w:val="19"/>
          <w:szCs w:val="19"/>
          <w:color w:val="auto"/>
        </w:rPr>
      </w:pPr>
    </w:p>
    <w:p>
      <w:pPr>
        <w:jc w:val="both"/>
        <w:ind w:left="940" w:hanging="318"/>
        <w:spacing w:after="0" w:line="247" w:lineRule="auto"/>
        <w:tabs>
          <w:tab w:leader="none" w:pos="92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securities would generally no longer be deemed “covered securities” under Section 18 of the Securities Act of 1933, as amended, and, as a result, the Company would be subject to additional state securities regulations in connection with the issuance of its securities to investors, employees and others; and</w:t>
      </w:r>
    </w:p>
    <w:p>
      <w:pPr>
        <w:spacing w:after="0" w:line="189"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Company’s stock is traded as a “penny stock,” transactions in its stock would be more difficult and cumbersome.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When are this proxy statement and the accompanying materials scheduled to be sent to stockholders?</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proxy statement and accompanying proxy card, or for shares held in street name (held for your account by a broker or other nominee), voting instruction form, are scheduled to be first sent to stockholders beginning on or about April [__],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When is the record date for the Special Meeting?</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Board has fixed the record date for the Special Meeting as of the close of business on March 21,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shares can I vote?</w:t>
      </w:r>
    </w:p>
    <w:p>
      <w:pPr>
        <w:spacing w:after="0" w:line="19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8"/>
          <w:szCs w:val="18"/>
          <w:color w:val="auto"/>
        </w:rPr>
        <w:t>Each share of our Class A Common Stock and share of our Class V Common Stock issued and outstanding as of the close of business on March 21, 2024, the record date for the Special 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141,798,069 shares of Class A Common Stock issued and outstanding and 179,883,479 shares of Class V Common Stock issued and outstanding.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many votes am I entitled to per share?</w:t>
      </w:r>
    </w:p>
    <w:p>
      <w:pPr>
        <w:spacing w:after="0" w:line="21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difference between holding shares as a stockholder of record and as a beneficial owner?</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17" w:lineRule="exact"/>
        <w:rPr>
          <w:sz w:val="20"/>
          <w:szCs w:val="20"/>
          <w:color w:val="auto"/>
        </w:rPr>
      </w:pPr>
    </w:p>
    <w:p>
      <w:pPr>
        <w:jc w:val="both"/>
        <w:ind w:left="940" w:hanging="318"/>
        <w:spacing w:after="0" w:line="242" w:lineRule="auto"/>
        <w:tabs>
          <w:tab w:leader="none" w:pos="92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Stockholder of Record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your shares are registered directly in your name with our transfer agent, Equiniti Trust Company, you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considered the stockholder of record with respect to those shares, and 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161" w:lineRule="exact"/>
        <w:rPr>
          <w:rFonts w:ascii="Times New Roman" w:cs="Times New Roman" w:eastAsia="Times New Roman" w:hAnsi="Times New Roman"/>
          <w:sz w:val="19"/>
          <w:szCs w:val="19"/>
          <w:color w:val="auto"/>
        </w:rPr>
      </w:pPr>
    </w:p>
    <w:p>
      <w:pPr>
        <w:jc w:val="both"/>
        <w:ind w:left="940" w:hanging="318"/>
        <w:spacing w:after="0" w:line="243" w:lineRule="auto"/>
        <w:tabs>
          <w:tab w:leader="none" w:pos="92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Beneficial Owner. </w:t>
      </w:r>
      <w:r>
        <w:rPr>
          <w:rFonts w:ascii="Times New Roman" w:cs="Times New Roman" w:eastAsia="Times New Roman" w:hAnsi="Times New Roman"/>
          <w:sz w:val="19"/>
          <w:szCs w:val="19"/>
          <w:color w:val="auto"/>
        </w:rPr>
        <w:t>If your shares are held in a brokerage account or by another intermediary, you are considered the beneficial owner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do I need to do to attend the Special Meeting?</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We will be hosting the Special Meeting via live audio webcast only.</w:t>
      </w:r>
    </w:p>
    <w:p>
      <w:pPr>
        <w:spacing w:after="0" w:line="201" w:lineRule="exact"/>
        <w:rPr>
          <w:sz w:val="20"/>
          <w:szCs w:val="20"/>
          <w:color w:val="auto"/>
        </w:rPr>
      </w:pPr>
    </w:p>
    <w:p>
      <w:pPr>
        <w:jc w:val="both"/>
        <w:ind w:left="940" w:hanging="318"/>
        <w:spacing w:after="0" w:line="239" w:lineRule="auto"/>
        <w:tabs>
          <w:tab w:leader="none" w:pos="92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Stockholder of Record. </w:t>
      </w:r>
      <w:r>
        <w:rPr>
          <w:rFonts w:ascii="Times New Roman" w:cs="Times New Roman" w:eastAsia="Times New Roman" w:hAnsi="Times New Roman"/>
          <w:sz w:val="19"/>
          <w:szCs w:val="19"/>
          <w:color w:val="auto"/>
        </w:rPr>
        <w:t>If you were a stockholder of record as of the record date, then you may attend the Special Meeting virtually,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will be able to submit your questions during the meeting and vote your shares electronically during the meeting by visiting [_________]. To attend and participate in the Special Meeting, you will need the control number included on your proxy card. The Special Meeting live audio webcast will begin promptly at [__], Eastern time. We encourage you to access the meeting prior to the start time. Online check-in will begin at [__], Eastern time, and you should allow ample time for the check-in procedures.</w:t>
      </w:r>
    </w:p>
    <w:p>
      <w:pPr>
        <w:spacing w:after="0" w:line="175" w:lineRule="exact"/>
        <w:rPr>
          <w:rFonts w:ascii="Times New Roman" w:cs="Times New Roman" w:eastAsia="Times New Roman" w:hAnsi="Times New Roman"/>
          <w:sz w:val="19"/>
          <w:szCs w:val="19"/>
          <w:color w:val="auto"/>
        </w:rPr>
      </w:pPr>
    </w:p>
    <w:p>
      <w:pPr>
        <w:jc w:val="both"/>
        <w:ind w:left="940" w:hanging="318"/>
        <w:spacing w:after="0" w:line="239" w:lineRule="auto"/>
        <w:tabs>
          <w:tab w:leader="none" w:pos="92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Street Name Stockholders. </w:t>
      </w:r>
      <w:r>
        <w:rPr>
          <w:rFonts w:ascii="Times New Roman" w:cs="Times New Roman" w:eastAsia="Times New Roman" w:hAnsi="Times New Roman"/>
          <w:sz w:val="19"/>
          <w:szCs w:val="19"/>
          <w:color w:val="auto"/>
        </w:rPr>
        <w:t>If you were a street name stockholder as of the record date and your voting instruction form indicates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you 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you do not comply with the procedures outlined above, you may not be admitted to the Special Meeting.</w:t>
      </w:r>
    </w:p>
    <w:p>
      <w:pPr>
        <w:spacing w:after="0" w:line="194"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Please let us know if you plan to attend the meeting virtually by indicating your plans when prompted if you vote online or by telephone, or by marking the appropriate box on your proxy card if you vote by mail.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Will the Special Meeting be webcast?</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Yes, it will be webcast at [</w:t>
      </w:r>
      <w:r>
        <w:rPr>
          <w:rFonts w:ascii="Times New Roman" w:cs="Times New Roman" w:eastAsia="Times New Roman" w:hAnsi="Times New Roman"/>
          <w:sz w:val="19"/>
          <w:szCs w:val="19"/>
          <w:i w:val="1"/>
          <w:iCs w:val="1"/>
          <w:color w:val="auto"/>
        </w:rPr>
        <w:t>________</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can I vote my shares at the Special Meeting, and what are the deadlines?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Stockholder of Record</w:t>
      </w:r>
      <w:r>
        <w:rPr>
          <w:rFonts w:ascii="Times New Roman" w:cs="Times New Roman" w:eastAsia="Times New Roman" w:hAnsi="Times New Roman"/>
          <w:sz w:val="19"/>
          <w:szCs w:val="19"/>
          <w:color w:val="auto"/>
        </w:rPr>
        <w:t>. If you are a stockholder of record, you may vote in one of the following ways:</w:t>
      </w:r>
    </w:p>
    <w:p>
      <w:pPr>
        <w:spacing w:after="0" w:line="211" w:lineRule="exact"/>
        <w:rPr>
          <w:sz w:val="20"/>
          <w:szCs w:val="20"/>
          <w:color w:val="auto"/>
        </w:rPr>
      </w:pPr>
    </w:p>
    <w:p>
      <w:pPr>
        <w:ind w:left="940" w:hanging="318"/>
        <w:spacing w:after="0" w:line="255" w:lineRule="auto"/>
        <w:tabs>
          <w:tab w:leader="none" w:pos="92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Internet at www.proxyvote.com, 24 hours a day, 7 days a week, until 11:59 pm, Eastern time, on April [__], 2024 (have your proxy card in hand when you visit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23" w:lineRule="exact"/>
        <w:rPr>
          <w:sz w:val="20"/>
          <w:szCs w:val="20"/>
          <w:color w:val="auto"/>
        </w:rPr>
      </w:pPr>
    </w:p>
    <w:p>
      <w:pPr>
        <w:ind w:left="940" w:hanging="318"/>
        <w:spacing w:after="0" w:line="255" w:lineRule="auto"/>
        <w:tabs>
          <w:tab w:leader="none" w:pos="9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toll-free telephone at the phone number listed on your proxy card, 24 hours a day, 7 days a week, until 11:59 pm, Eastern time, on April [__], 2024 (have your proxy card in hand when you call);</w:t>
      </w:r>
    </w:p>
    <w:p>
      <w:pPr>
        <w:spacing w:after="0" w:line="167"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completing, signing and mailing your proxy card, which must be received prior to the Special Meeting; or</w:t>
      </w:r>
    </w:p>
    <w:p>
      <w:pPr>
        <w:spacing w:after="0" w:line="190" w:lineRule="exact"/>
        <w:rPr>
          <w:rFonts w:ascii="Times New Roman" w:cs="Times New Roman" w:eastAsia="Times New Roman" w:hAnsi="Times New Roman"/>
          <w:sz w:val="19"/>
          <w:szCs w:val="19"/>
          <w:color w:val="auto"/>
        </w:rPr>
      </w:pPr>
    </w:p>
    <w:p>
      <w:pPr>
        <w:ind w:left="940" w:hanging="318"/>
        <w:spacing w:after="0" w:line="273" w:lineRule="auto"/>
        <w:tabs>
          <w:tab w:leader="none" w:pos="9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attending the Special Meeting virtually by [</w:t>
      </w:r>
      <w:r>
        <w:rPr>
          <w:rFonts w:ascii="Times New Roman" w:cs="Times New Roman" w:eastAsia="Times New Roman" w:hAnsi="Times New Roman"/>
          <w:sz w:val="19"/>
          <w:szCs w:val="19"/>
          <w:i w:val="1"/>
          <w:iCs w:val="1"/>
          <w:color w:val="auto"/>
        </w:rPr>
        <w:t>__________</w:t>
      </w:r>
      <w:r>
        <w:rPr>
          <w:rFonts w:ascii="Times New Roman" w:cs="Times New Roman" w:eastAsia="Times New Roman" w:hAnsi="Times New Roman"/>
          <w:sz w:val="19"/>
          <w:szCs w:val="19"/>
          <w:color w:val="auto"/>
        </w:rPr>
        <w:t>], where you may vote during the meeting (have your proxy card in hand when you visit the website).</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i w:val="1"/>
          <w:iCs w:val="1"/>
          <w:color w:val="auto"/>
        </w:rPr>
        <w:t>Street Name Stockholders</w:t>
      </w:r>
      <w:r>
        <w:rPr>
          <w:rFonts w:ascii="Times New Roman" w:cs="Times New Roman" w:eastAsia="Times New Roman" w:hAnsi="Times New Roman"/>
          <w:sz w:val="19"/>
          <w:szCs w:val="19"/>
          <w:color w:val="auto"/>
        </w:rPr>
        <w:t>. If you are a street name stockholder, then you will receive voting instructions from your broker, bank or other nominee.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deadline for voting my shares?</w:t>
      </w:r>
    </w:p>
    <w:p>
      <w:pPr>
        <w:spacing w:after="0" w:line="19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you hold shares as a stockholder of record, we must receive your vote before the polls close at the Special Meeting, except that proxies submitted via the Internet, telephone, or by mail must be received by 11:59 p.m. Eastern Time on April [__], 2024.</w:t>
      </w:r>
    </w:p>
    <w:p>
      <w:pPr>
        <w:spacing w:after="0" w:line="16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 I change my vote or revoke my proxy?</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there a list of stockholders entitled to vote at the Special Meeting?</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my vote confidential?</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Proxy instructions, ballots, and voting tabulations that identify individual stockholders are handled in a manner that protects your voting privacy. Your vote will not be disclosed either within Bakkt or to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parties, except as necessary to meet applicable legal requirements, to allow for the tabulation of votes and certification of the vote, or to facilitate a successful proxy solicitation.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many shares must be present or represented to conduct business at the Special Meeting?</w:t>
      </w:r>
    </w:p>
    <w:p>
      <w:pPr>
        <w:spacing w:after="0" w:line="198"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Because the NYSE Issuance Proposal requires the approval of the majority votes cast affirmatively or negatively by the holders of Common Stock, abstentions and “broker non-votes” will have no effect on the outcome of the NYSE Issuance Proposal. Abstentions and “broker non-votes” will count as votes “AGAINST” the Reverse Stock Split and Related Matters Proposal, because such proposal requires the affirmative vote of a majority of the voting power of outstanding shares of our capital stock as of the record date. If there is no quorum, the chairperson of the meeting or the holders of a majority of the issued and outstanding shares of stock present at the Special Meeting may adjourn the meeting to another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Who will solicit and who will bear the cost of soliciting proxies for the Special Meeting?</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to approve each item?</w:t>
      </w:r>
    </w:p>
    <w:p>
      <w:pPr>
        <w:spacing w:after="0" w:line="19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9"/>
          <w:szCs w:val="19"/>
          <w:i w:val="1"/>
          <w:iCs w:val="1"/>
          <w:color w:val="auto"/>
        </w:rPr>
        <w:t>Required Vote—NYSE Issuance Proposal (Proposal 1)</w:t>
      </w:r>
      <w:r>
        <w:rPr>
          <w:rFonts w:ascii="Times New Roman" w:cs="Times New Roman" w:eastAsia="Times New Roman" w:hAnsi="Times New Roman"/>
          <w:sz w:val="19"/>
          <w:szCs w:val="19"/>
          <w:i w:val="1"/>
          <w:iCs w:val="1"/>
          <w:color w:val="4F81BD"/>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proposal to approve, for purposes of complying with Section 312.03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NYSE Manual, the Company’s issuance of the Excess Shares (as defined below), must be approved by a majority of the votes cast affirmatively or negatively on such matter. However, in order to satisfy Section 312.03 of the NYSE Manual, the Company will not treat this NYSE Issuance Proposal as having passed unless it is approved by a majority of the votes cast affirmatively or negatively by the holders of shares of Common Stock, excluding shares of Class A Common Stock acquired under the Purchase Agreements, outstanding as of the record date. Abstentions and “broker non-votes”, if any, will have no effect on the vote on the NYSE Issuance Proposal.</w:t>
      </w:r>
    </w:p>
    <w:p>
      <w:pPr>
        <w:spacing w:after="0" w:line="177"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i w:val="1"/>
          <w:iCs w:val="1"/>
          <w:color w:val="auto"/>
        </w:rPr>
        <w:t>Required Vote—Reverse Stock Split and Related Matters (Proposal 2)</w:t>
      </w:r>
      <w:r>
        <w:rPr>
          <w:rFonts w:ascii="Times New Roman" w:cs="Times New Roman" w:eastAsia="Times New Roman" w:hAnsi="Times New Roman"/>
          <w:sz w:val="19"/>
          <w:szCs w:val="19"/>
          <w:i w:val="1"/>
          <w:iCs w:val="1"/>
          <w:color w:val="4F81BD"/>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affirmative vote of a majority of the voting power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shares of our capital stock as of the record date will be required to approve this Reverse Stock Split and Related Matters Proposal. Abstentions and broker non-votes will have the same effect as a vote “AGAINST” this proposal. In addition, the Company will not proceed with the Reverse Stock Split Amendment without also obtaining the affirmative vote of a majority of the voting power of the outstanding shares of Class A Common Stock and Class V Common Stock, in each case, as of the record date, voting separately on a class basis.</w:t>
      </w:r>
    </w:p>
    <w:p>
      <w:pPr>
        <w:spacing w:after="0" w:line="18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Could other matters be decided at the Special Meeting?</w:t>
      </w:r>
    </w:p>
    <w:p>
      <w:pPr>
        <w:spacing w:after="0" w:line="19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NYSE Issuance Proposal and the Reverse Stock Split and Related Matters Proposal.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Special Meeting is postponed?</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does it mean if I receive more than one proxy card or voting instruction form?</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It means that you have multiple accounts at the transfer agent or with brokers. Please complete and return all proxy cards or voting instruction forms to ensure that all of your shares are voted.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 can I find the voting results of the Special Meeting?</w:t>
      </w:r>
    </w:p>
    <w:p>
      <w:pPr>
        <w:spacing w:after="0" w:line="19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We will announce preliminary voting results at the Special Meeting. We will also disclose voting results in a Current Report on Form 8-K (a “</w:t>
      </w:r>
      <w:r>
        <w:rPr>
          <w:rFonts w:ascii="Times New Roman" w:cs="Times New Roman" w:eastAsia="Times New Roman" w:hAnsi="Times New Roman"/>
          <w:sz w:val="19"/>
          <w:szCs w:val="19"/>
          <w:b w:val="1"/>
          <w:bCs w:val="1"/>
          <w:i w:val="1"/>
          <w:iCs w:val="1"/>
          <w:color w:val="auto"/>
        </w:rPr>
        <w:t>Form 8-K</w:t>
      </w:r>
      <w:r>
        <w:rPr>
          <w:rFonts w:ascii="Times New Roman" w:cs="Times New Roman" w:eastAsia="Times New Roman" w:hAnsi="Times New Roman"/>
          <w:sz w:val="19"/>
          <w:szCs w:val="19"/>
          <w:color w:val="auto"/>
        </w:rPr>
        <w:t>”) filed with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PROPOSAL 1—THE NYSE ISSUANCE PROPOSAL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185"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On February 29, 2024, the Company entered into the Third-Party Purchase Agreement with the Third-Party Purchasers. The Third-Party Closing occurred on March 4, 2024. At the Third-Party Closing, pursuant to the Third-Party Purchase Agreement, the Company issued and sold to the Third-Party Purchasers an aggregate of 34,917,532 shares of Class A Common Stock, including 4,917,532 shares of Class A Common Stock issued upon exercise of certain of the Pre-Funded Warrants prior to the Third-Party Closing, Class 1 Warrants to purchase an aggregate of 23,068,051 shares of Class A Common Stock, Class 2 Warrants to purchase an aggregate of 23,068,051 shares of Class A Common Stock and Pre-Funded Warrants to purchase an aggregate of 11,218,570 shares of Class A Common Stock, which excluded Pre-Funded Warrants exercised prior to the Third-Party Closing. The offering of such securities was conducted in a registered direct offering. The purchase price of each share of Class A Common Stock and accompanying Class 1 Warrant or Class 2 Warrant was $0.8670 and the purchase price of each Pre-Funded Warrant and accompanying Warrant was $0.8669.</w:t>
      </w:r>
    </w:p>
    <w:p>
      <w:pPr>
        <w:spacing w:after="0" w:line="17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In the ICE Offering, on February 29, 2024, the Company entered into the ICE Purchase Agreement with ICE, pursuant to which the Company agreed to sell to ICE up to 11,534,025 shares of Class A Common Stock, Class 1 Warrants to purchase up to 5,767,012 shares of Class A Common Stock, and Class 2 Warrants to purchase up to 5,767,012 shares of Class A Common Stock. The purchase price of each share of Class A Common Stock and accompanying Warrant in the ICE Offering is $0.8670.</w:t>
      </w:r>
    </w:p>
    <w:p>
      <w:pPr>
        <w:spacing w:after="0" w:line="183"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On March 4, 2024, the Company closed the sale and issuance to ICE of 2,762,009 shares of Class A Common Stock, Class 1 Warrants to purchase up to 1,381,004 shares of Class A Common Stock and Class 2 Warrants to purchase up to 1,381,004 shares of Class A Common Stock. The closing of the issuance and sale of the remaining 8,772,016 shares of Class A Common Stock, Class 1 Warrants to purchase up to 4,386,008 shares of Class A Common Stock and Class 2 Warrants to purchase up to 4,386,008 shares of Class A Common Stock in the ICE Offering is conditioned on the Company obtaining stockholder approval for such issuances under the rules and regulations of the NYSE and other customary closing conditions.</w:t>
      </w:r>
    </w:p>
    <w:p>
      <w:pPr>
        <w:spacing w:after="0" w:line="17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The Class 1 Warrants and Class 2 Warrants have an exercise price of $1.0200 per share, which will be payable in cash or on a cashless basis, will generally be exercisable beginning on September 4, 2024 and will expire on September 4, 2029. The Class 1 Warrants and Class 2 Warrants have identical terms and conditions, except that the Class 2 Warrants also contain an alternative cashless exercise provision that, after the Company obtains the approval of the NYSE Issuance Proposal, will allow the holder of each Class 2 Warrant to exercise such Class 2 Warrant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each of the three (3) trading days ending on the trading day prior to the date on which notice of exercise is given. Each of the Third-Party Purchasers and ICE received Class 1 Warrants to purchase 50% of the number of shares of Class A Common Stock issued to such purchaser, rounded down to the nearest whole share, and Class 2 Warrants to purchase 50% of the number of shares of Class A Common Stock issued to such purchaser, rounded down to the nearest whole share. The Warrants contain customary adjustment, assumption or cash-out provisions in the event of a sale of the Company. The Pre-Funded Warrants have identical terms to the Class 1 Warrants except that each Pre-Funded Warrant is exercisable for one (1) share of Class A Common Stock at an exercise price of $0.0001 per share, the Pre-Funded Warrants are immediately exercisable and may be exercised at any time until all of the Pre-Funded Warrants are exercised in full and, in the event of a fundamental transaction, the holders of Pre-Funded Warrants are entitled to receive shares of Class A Common Stock of the successor or acquiring corporation or the Company, if it is the surviving corporation, and any additional consideration receivable by holders of Class A Common Stock in such fundamental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jc w:val="both"/>
        <w:ind w:firstLine="619"/>
        <w:spacing w:after="0"/>
        <w:rPr>
          <w:sz w:val="20"/>
          <w:szCs w:val="20"/>
          <w:color w:val="auto"/>
        </w:rPr>
      </w:pPr>
      <w:r>
        <w:rPr>
          <w:rFonts w:ascii="Times New Roman" w:cs="Times New Roman" w:eastAsia="Times New Roman" w:hAnsi="Times New Roman"/>
          <w:sz w:val="19"/>
          <w:szCs w:val="19"/>
          <w:color w:val="auto"/>
        </w:rPr>
        <w:t>Under the Purchase Agreements, the Company agreed to seek stockholder approval for the issuance of the Incremental ICE Shares, the Incremental ICE Warrant Shares and the shares of Class A Common Stock issuable upon exercise of the alternative cashless exercise provision of the Class 2 Warrants (together, the “</w:t>
      </w:r>
      <w:r>
        <w:rPr>
          <w:rFonts w:ascii="Times New Roman" w:cs="Times New Roman" w:eastAsia="Times New Roman" w:hAnsi="Times New Roman"/>
          <w:sz w:val="19"/>
          <w:szCs w:val="19"/>
          <w:b w:val="1"/>
          <w:bCs w:val="1"/>
          <w:i w:val="1"/>
          <w:iCs w:val="1"/>
          <w:color w:val="auto"/>
        </w:rPr>
        <w:t>Excess Shares</w:t>
      </w:r>
      <w:r>
        <w:rPr>
          <w:rFonts w:ascii="Times New Roman" w:cs="Times New Roman" w:eastAsia="Times New Roman" w:hAnsi="Times New Roman"/>
          <w:sz w:val="19"/>
          <w:szCs w:val="19"/>
          <w:color w:val="auto"/>
        </w:rPr>
        <w:t>”), each in accordance with the rules and regulations of the NYSE. The purpose of this NYSE Issuance Proposal is to seek the requisite approval for the issuance of the Excess Shares under Section 312.03 of the NYSE Manual.</w:t>
      </w:r>
    </w:p>
    <w:p>
      <w:pPr>
        <w:spacing w:after="0" w:line="177"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In connection with the Concurrent Offerings, ICE entered into a voting support agreement with the Company (the “</w:t>
      </w:r>
      <w:r>
        <w:rPr>
          <w:rFonts w:ascii="Times New Roman" w:cs="Times New Roman" w:eastAsia="Times New Roman" w:hAnsi="Times New Roman"/>
          <w:sz w:val="19"/>
          <w:szCs w:val="19"/>
          <w:b w:val="1"/>
          <w:bCs w:val="1"/>
          <w:i w:val="1"/>
          <w:iCs w:val="1"/>
          <w:color w:val="auto"/>
        </w:rPr>
        <w:t>Voting Support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pursuant to which ICE agreed, among other things, to vote in favor of the matters contemplated by this NYSE Issuance Proposal,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subject to the limitations set forth in the Voting Agreement between the Company and ICE (the “</w:t>
      </w:r>
      <w:r>
        <w:rPr>
          <w:rFonts w:ascii="Times New Roman" w:cs="Times New Roman" w:eastAsia="Times New Roman" w:hAnsi="Times New Roman"/>
          <w:sz w:val="19"/>
          <w:szCs w:val="19"/>
          <w:b w:val="1"/>
          <w:bCs w:val="1"/>
          <w:i w:val="1"/>
          <w:iCs w:val="1"/>
          <w:color w:val="auto"/>
        </w:rPr>
        <w:t>Voting Agreement</w:t>
      </w:r>
      <w:r>
        <w:rPr>
          <w:rFonts w:ascii="Times New Roman" w:cs="Times New Roman" w:eastAsia="Times New Roman" w:hAnsi="Times New Roman"/>
          <w:sz w:val="19"/>
          <w:szCs w:val="19"/>
          <w:color w:val="auto"/>
        </w:rPr>
        <w:t>”). Under the Voting Agreement, ICE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of the Company’s other stockholders. As such, under the Voting Support Agreement and the Voting Agreement, ICE has agreed (i) to vote the shares of Common Stock that it owns constituting 30% of the outstanding Common Stock in favor of this NYSE Issuance Proposal and (ii) to vote the remainder of its shares of Common Stock for and against this NYSE Issuance Proposal as votes are cast for and against this NYSE Issuance Proposal by all of the Company’s other stockholders.</w:t>
      </w:r>
    </w:p>
    <w:p>
      <w:pPr>
        <w:spacing w:after="0" w:line="17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In connection with the closings that occurred on March 4, 2024, the Company raised aggregate net proceeds from the Concurrent Offerings of approximately $[42.4] million, after deducting the placement agent’s fees and estimated offering expenses payable by the Company. The Company expects to raise gross proceeds of approximately $7.6 million from the issuance of the Incremental ICE Shares and the related Class 1 Warrants and Class 2 Warrants. The Company would not receive any proceeds to the extent the Class 2 Warrants are exercised under the alternative cashless exercise feature.</w:t>
      </w:r>
    </w:p>
    <w:p>
      <w:pPr>
        <w:spacing w:after="0" w:line="18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The numerical and price information included in this NYSE Issuance Proposal do not give effect to the potential actions contemplated by the Reverse Stock Split and Related Matters Proposal.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Reason for Request for Stockholder Approval</w:t>
      </w:r>
    </w:p>
    <w:p>
      <w:pPr>
        <w:spacing w:after="0" w:line="211"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The Class A Common Stock is listed on the NYSE and, as a result, the Company is subject to the rules and regulations of the NYSE. Section 312.03 of the NYSE Manual requires an issuer to obtain stockholder approval prior to the issuance of common stock in any transaction or series of related transactions, if, among other things: (i) the common stock has, or will have upon issuance, voting power equal to or in excess of 20% of the voting power outstanding before the issuance of such stock; or (ii) the number of shares of common stock to be issued is, or will be upon issuance, equal to or in excess of 20% of the number of shares of common stock outstanding before the issuance of common stock. The issuance of the Excess Shares would result in the aggregate shares of Class A Common Stock being issued in the Concurrent Offerings exceeding 20% of the voting power on the Company’s common stock before the issuances in the Concurrent Offerings.</w:t>
      </w:r>
    </w:p>
    <w:p>
      <w:pPr>
        <w:spacing w:after="0" w:line="185"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Additionally, Rule 312.03(b)(i) of the NYSE Manual requires stockholder approval prior to the issuance of common stock, or of securities convertible into or exercisable for common stock, where such securities are issued as consideration in a transaction or series of related transactions in which a director, officer, a controlling shareholder or member of a control group or any other substantial security holder of the company that has an affiliated person who is an officer or director of the Company (each an “</w:t>
      </w:r>
      <w:r>
        <w:rPr>
          <w:rFonts w:ascii="Times New Roman" w:cs="Times New Roman" w:eastAsia="Times New Roman" w:hAnsi="Times New Roman"/>
          <w:sz w:val="19"/>
          <w:szCs w:val="19"/>
          <w:b w:val="1"/>
          <w:bCs w:val="1"/>
          <w:i w:val="1"/>
          <w:iCs w:val="1"/>
          <w:color w:val="auto"/>
        </w:rPr>
        <w:t>Active Related Party</w:t>
      </w:r>
      <w:r>
        <w:rPr>
          <w:rFonts w:ascii="Times New Roman" w:cs="Times New Roman" w:eastAsia="Times New Roman" w:hAnsi="Times New Roman"/>
          <w:sz w:val="19"/>
          <w:szCs w:val="19"/>
          <w:color w:val="auto"/>
        </w:rPr>
        <w:t>”) if the number of shares of common stock to be issued, or if the number of shares of common stock into which the securities may be convertible or exercisable, exceeds either one percent of the number of shares of common stock or one percent of the voting power outstanding before the issuance ICE may be deemed to be an Active Related Party. As such, because the issuance to ICE of the Incremental ICE Shares would have resulted in ICE receiving greater than one percent of the voting power on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56"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9"/>
          <w:szCs w:val="19"/>
          <w:color w:val="auto"/>
        </w:rPr>
        <w:t>outstanding before the issuances in the Concurrent Offering, the Company is seeking approval for such issuance under this NYSE Issuance Proposal.</w:t>
      </w:r>
    </w:p>
    <w:p>
      <w:pPr>
        <w:spacing w:after="0" w:line="16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Excess Shares will have the same rights and privileges as the shares of Class A Common Stock currently authorized and outstanding. Holders of Class A Common Stock are not entitled to preemptive rights to purchase Class A Common Stock or other securities or to cumulative voting rights in relation to the potential issuance of the Excess Shares.</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Board believes that authorizing the issuance of the Excess Shares is fair to and in the best interests of the Company and the Company’s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of Vote in Favor of this NYSE Issuance Proposal</w:t>
      </w:r>
    </w:p>
    <w:p>
      <w:pPr>
        <w:spacing w:after="0" w:line="19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A vote in favor of this NYSE Issuance Proposal is a vote in favor of approving, for purposes of the rules of the NYSE, the issuance of the Incremental ICE Shares, the Incremental ICE Warrant Shares and the Alternative Cashless Exercise Warrant Shares, which (i) when aggregated with the other shares of Class A Common Stock issued previously under the Purchase Agreements would exceed 19.99% of the voting power of the Company’s Common Stock before the entrance into the Purchase Agreements and (ii) in respect of the Incremental ICE Shares and the Incremental ICE Warrant Shares, when aggregated with the other shares of Class A Common Stock issued to ICE on March 4, 2024, would result in ICE receiving shares of Class A Common Stock in excess one percent of the voting power of the Company’s Class A Common Stock before the entrance into the ICE Purchase Agreement. Obtaining stockholder approval for such issuance is a condition precedent to the Company being able to consummate the closing of the Incremental ICE Shares and the related Incremental ICE Warrant Shares. Further, the Company is obligated under the Purchase Agreements to seek approval for the issuance of the Excess Shares.</w:t>
      </w:r>
    </w:p>
    <w:p>
      <w:pPr>
        <w:spacing w:after="0" w:line="17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Approval of this NYSE Issuance Proposal will not affect the rights or privileges of current holders of outstanding shares of Class A Common Stock or Class V Common Stock. Approval will, however, allow the Company to, subject to the satisfaction of other conditions, issue the 8,772,016 Incremental ICE Shares and corresponding Incremental ICE Warrant Shares to purchase up to an aggregate of 8,772,016 shares of Class A Common Stock, at a purchase price of $0.8670 per share and accompanying warrant, which is higher than the current trading price for the Company’s Class A Common Stock.</w:t>
      </w:r>
    </w:p>
    <w:p>
      <w:pPr>
        <w:spacing w:after="0" w:line="17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Sales of substantial amounts of Class A Common Stock or warrants to purchase shares of Class A Common Stock could cause the market price of Class A Common Stock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Interests of Certain Persons</w:t>
      </w:r>
    </w:p>
    <w:p>
      <w:pPr>
        <w:spacing w:after="0" w:line="21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When you consider the Board’s recommendation in favor of this NYSE Issuance Proposal, you should be aware the Company's directors and some stockholders may have interests that may be different from, or in addition to, the interests of other stockholders. In particular, ICE is an existing stockholder of the Company and holds greater than ten percent (10%) of the Company’s capital stock. In addition, an affiliate of ICE employs David Clifton, who is currently serving on the Board. The Concurrent Offerings, however, were approved by a special committee of the Board comprised solely of disinterested directors, of which David Clifton was not a member.</w:t>
      </w:r>
    </w:p>
    <w:p>
      <w:pPr>
        <w:spacing w:after="0" w:line="18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Also, as described above, under the Voting Support Agreement and the Voting Agreement, ICE has agreed (i) to vote the shares of Common Stock that it owns constituting 30% of the outstanding Common Stock in favor of this NYSE Issuance Proposal and (ii) to vote the remainder of its shares of Common Stock for and against this NYSE Issuance Proposal as votes are cast for and against this NYSE Issuance Proposal by all of the Company’s other stockholders. As of the record date, ICE held 4,714,336 shares of Class A Common Stock and 170,079,462 shares of Class V Common Stock, which together constitute approximately 54.3% of the Company’s outstanding Common Stock. If the NYSE Issuance Proposal is approved and we close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56"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9"/>
          <w:szCs w:val="19"/>
          <w:color w:val="auto"/>
        </w:rPr>
        <w:t>issuance sale of an additional 8,722,016 shares of Class A Common Stock to ICE, ICE will hold approximately 57.0% of the Company’s outstanding Common Stock.</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Additionally, the Company has the following agreements and arrangements with ICE and its affiliates: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Opco LLC Agreement</w:t>
      </w:r>
    </w:p>
    <w:p>
      <w:pPr>
        <w:spacing w:after="0" w:line="227"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At the closing of the Company’s business combination with VPC Impact Acquisition Holdings (the “</w:t>
      </w:r>
      <w:r>
        <w:rPr>
          <w:rFonts w:ascii="Times New Roman" w:cs="Times New Roman" w:eastAsia="Times New Roman" w:hAnsi="Times New Roman"/>
          <w:sz w:val="19"/>
          <w:szCs w:val="19"/>
          <w:b w:val="1"/>
          <w:bCs w:val="1"/>
          <w:i w:val="1"/>
          <w:iCs w:val="1"/>
          <w:color w:val="auto"/>
        </w:rPr>
        <w:t>Sponsor</w:t>
      </w:r>
      <w:r>
        <w:rPr>
          <w:rFonts w:ascii="Times New Roman" w:cs="Times New Roman" w:eastAsia="Times New Roman" w:hAnsi="Times New Roman"/>
          <w:sz w:val="19"/>
          <w:szCs w:val="19"/>
          <w:color w:val="auto"/>
        </w:rPr>
        <w:t>”) on October 15, 2021 (the “</w:t>
      </w:r>
      <w:r>
        <w:rPr>
          <w:rFonts w:ascii="Times New Roman" w:cs="Times New Roman" w:eastAsia="Times New Roman" w:hAnsi="Times New Roman"/>
          <w:sz w:val="19"/>
          <w:szCs w:val="19"/>
          <w:b w:val="1"/>
          <w:bCs w:val="1"/>
          <w:i w:val="1"/>
          <w:iCs w:val="1"/>
          <w:color w:val="auto"/>
        </w:rPr>
        <w:t>Public Closing</w:t>
      </w:r>
      <w:r>
        <w:rPr>
          <w:rFonts w:ascii="Times New Roman" w:cs="Times New Roman" w:eastAsia="Times New Roman" w:hAnsi="Times New Roman"/>
          <w:sz w:val="19"/>
          <w:szCs w:val="19"/>
          <w:color w:val="auto"/>
        </w:rPr>
        <w:t>”), the existing second amended and restated limited liability company agreement of Bakkt Opco Holdings, LLC (f/k/a Bakkt Holdings, LLC) (“</w:t>
      </w:r>
      <w:r>
        <w:rPr>
          <w:rFonts w:ascii="Times New Roman" w:cs="Times New Roman" w:eastAsia="Times New Roman" w:hAnsi="Times New Roman"/>
          <w:sz w:val="19"/>
          <w:szCs w:val="19"/>
          <w:b w:val="1"/>
          <w:bCs w:val="1"/>
          <w:i w:val="1"/>
          <w:iCs w:val="1"/>
          <w:color w:val="auto"/>
        </w:rPr>
        <w:t>Opco</w:t>
      </w:r>
      <w:r>
        <w:rPr>
          <w:rFonts w:ascii="Times New Roman" w:cs="Times New Roman" w:eastAsia="Times New Roman" w:hAnsi="Times New Roman"/>
          <w:sz w:val="19"/>
          <w:szCs w:val="19"/>
          <w:color w:val="auto"/>
        </w:rPr>
        <w:t>”) was amended and restated in its entirety in accordance with its terms, and the third amended and restated limited liability company agreement of Opco (the “</w:t>
      </w:r>
      <w:r>
        <w:rPr>
          <w:rFonts w:ascii="Times New Roman" w:cs="Times New Roman" w:eastAsia="Times New Roman" w:hAnsi="Times New Roman"/>
          <w:sz w:val="19"/>
          <w:szCs w:val="19"/>
          <w:b w:val="1"/>
          <w:bCs w:val="1"/>
          <w:i w:val="1"/>
          <w:iCs w:val="1"/>
          <w:color w:val="auto"/>
        </w:rPr>
        <w:t>Opco LLC Agreement</w:t>
      </w:r>
      <w:r>
        <w:rPr>
          <w:rFonts w:ascii="Times New Roman" w:cs="Times New Roman" w:eastAsia="Times New Roman" w:hAnsi="Times New Roman"/>
          <w:sz w:val="19"/>
          <w:szCs w:val="19"/>
          <w:color w:val="auto"/>
        </w:rPr>
        <w: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w:t>
      </w:r>
      <w:r>
        <w:rPr>
          <w:rFonts w:ascii="Times New Roman" w:cs="Times New Roman" w:eastAsia="Times New Roman" w:hAnsi="Times New Roman"/>
          <w:sz w:val="19"/>
          <w:szCs w:val="19"/>
          <w:b w:val="1"/>
          <w:bCs w:val="1"/>
          <w:i w:val="1"/>
          <w:iCs w:val="1"/>
          <w:color w:val="auto"/>
        </w:rPr>
        <w:t>Opco Common Units</w:t>
      </w:r>
      <w:r>
        <w:rPr>
          <w:rFonts w:ascii="Times New Roman" w:cs="Times New Roman" w:eastAsia="Times New Roman" w:hAnsi="Times New Roman"/>
          <w:sz w:val="19"/>
          <w:szCs w:val="19"/>
          <w:color w:val="auto"/>
        </w:rPr>
        <w:t>”)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hand,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202"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9"/>
          <w:szCs w:val="19"/>
          <w:color w:val="auto"/>
        </w:rPr>
        <w:t>The Opco LLC Agreement provides for tax-related cash distributions to the holders of Opco Common Units (“</w:t>
      </w:r>
      <w:r>
        <w:rPr>
          <w:rFonts w:ascii="Times New Roman" w:cs="Times New Roman" w:eastAsia="Times New Roman" w:hAnsi="Times New Roman"/>
          <w:sz w:val="19"/>
          <w:szCs w:val="19"/>
          <w:b w:val="1"/>
          <w:bCs w:val="1"/>
          <w:i w:val="1"/>
          <w:iCs w:val="1"/>
          <w:color w:val="auto"/>
        </w:rPr>
        <w:t>tax distributions</w:t>
      </w:r>
      <w:r>
        <w:rPr>
          <w:rFonts w:ascii="Times New Roman" w:cs="Times New Roman" w:eastAsia="Times New Roman" w:hAnsi="Times New Roman"/>
          <w:sz w:val="19"/>
          <w:szCs w:val="19"/>
          <w:color w:val="auto"/>
        </w:rPr>
        <w:t>”).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 (as defined below).</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Registration Rights Agreement</w:t>
      </w:r>
    </w:p>
    <w:p>
      <w:pPr>
        <w:spacing w:after="0" w:line="214"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8"/>
          <w:szCs w:val="18"/>
          <w:color w:val="auto"/>
        </w:rPr>
        <w:t>Concurrently with the Public Closing, we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with the Sponsor, the Opco equity holders (“</w:t>
      </w:r>
      <w:r>
        <w:rPr>
          <w:rFonts w:ascii="Times New Roman" w:cs="Times New Roman" w:eastAsia="Times New Roman" w:hAnsi="Times New Roman"/>
          <w:sz w:val="18"/>
          <w:szCs w:val="18"/>
          <w:b w:val="1"/>
          <w:bCs w:val="1"/>
          <w:i w:val="1"/>
          <w:iCs w:val="1"/>
          <w:color w:val="auto"/>
        </w:rPr>
        <w:t>Opco Equity Holders</w:t>
      </w:r>
      <w:r>
        <w:rPr>
          <w:rFonts w:ascii="Times New Roman" w:cs="Times New Roman" w:eastAsia="Times New Roman" w:hAnsi="Times New Roman"/>
          <w:sz w:val="18"/>
          <w:szCs w:val="18"/>
          <w:color w:val="auto"/>
        </w:rPr>
        <w:t>”) and certain other parties named therein. Pursuant to the Registration Rights Agreement, we are obligated to file a registration statement covering the resale of registrable securities held by the Opco Equity Holders as soon as practicable after the Public Closing, but in any event within 30 days after the Public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56" w:right="339" w:bottom="1440" w:gutter="0" w:footer="0" w:header="0"/>
        </w:sectPr>
      </w:pPr>
    </w:p>
    <w:bookmarkStart w:id="19" w:name="page20"/>
    <w:bookmarkEnd w:id="19"/>
    <w:p>
      <w:pPr>
        <w:jc w:val="both"/>
        <w:ind w:firstLine="619"/>
        <w:spacing w:after="0"/>
        <w:rPr>
          <w:sz w:val="20"/>
          <w:szCs w:val="20"/>
          <w:color w:val="auto"/>
        </w:rPr>
      </w:pPr>
      <w:r>
        <w:rPr>
          <w:rFonts w:ascii="Times New Roman" w:cs="Times New Roman" w:eastAsia="Times New Roman" w:hAnsi="Times New Roman"/>
          <w:sz w:val="19"/>
          <w:szCs w:val="19"/>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Stockholders Agreement</w:t>
      </w:r>
    </w:p>
    <w:p>
      <w:pPr>
        <w:spacing w:after="0" w:line="214"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9"/>
          <w:szCs w:val="19"/>
          <w:color w:val="auto"/>
        </w:rPr>
        <w:t>At the Public Closing, we, the Sponsor and the Opco Equity Holders entered into a Stockholders Agreement (the “</w:t>
      </w:r>
      <w:r>
        <w:rPr>
          <w:rFonts w:ascii="Times New Roman" w:cs="Times New Roman" w:eastAsia="Times New Roman" w:hAnsi="Times New Roman"/>
          <w:sz w:val="19"/>
          <w:szCs w:val="19"/>
          <w:b w:val="1"/>
          <w:bCs w:val="1"/>
          <w:i w:val="1"/>
          <w:iCs w:val="1"/>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pursuant to which such parties caused the initial Board to be comprised of eight directors, (i) one of whom was designated by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Public Closing Voting Agreement</w:t>
      </w:r>
    </w:p>
    <w:p>
      <w:pPr>
        <w:spacing w:after="0" w:line="220"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 xml:space="preserve">As discussed above, we entered into the Voting Agreement with ICE. The Voting Agreement will terminate if the voting power represented by the shares of Class A Common Stock and shares of Class V Common Stock beneficially owned by ICE and its affiliates falls below 50% of the total voting power of the Common Stock issued and outstanding and entitled to vote at any time. See </w:t>
      </w: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xml:space="preserve"> above for more information.</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Exchange Agreement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At the Public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8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Pursuant to the terms of the Exchange Agreement, the Opco Equity Holders may, after the six-month anniversary of the Public Closing, at any time and from time to time, but no more than once per calendar month without our or Opco’s prior written consent, exchange all or any portion of their vested Opco Common Units (along with the cancellation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Tax Receivable Agreement</w:t>
      </w:r>
    </w:p>
    <w:p>
      <w:pPr>
        <w:spacing w:after="0" w:line="22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At the Public Closing, we, and certain Opco Equity Holders entered into a Tax Receivable Agreement (the “</w:t>
      </w:r>
      <w:r>
        <w:rPr>
          <w:rFonts w:ascii="Times New Roman" w:cs="Times New Roman" w:eastAsia="Times New Roman" w:hAnsi="Times New Roman"/>
          <w:sz w:val="19"/>
          <w:szCs w:val="19"/>
          <w:b w:val="1"/>
          <w:bCs w:val="1"/>
          <w:i w:val="1"/>
          <w:iCs w:val="1"/>
          <w:color w:val="auto"/>
        </w:rPr>
        <w:t>Tax Receivable Agreement</w:t>
      </w:r>
      <w:r>
        <w:rPr>
          <w:rFonts w:ascii="Times New Roman" w:cs="Times New Roman" w:eastAsia="Times New Roman" w:hAnsi="Times New Roman"/>
          <w:sz w:val="19"/>
          <w:szCs w:val="19"/>
          <w:color w:val="auto"/>
        </w:rPr>
        <w:t>”). Pursuant to the Tax Receivable Agreement, among other things, Opco Equity Holders may, subject to certain conditions exchange the Opco Common Units held by them (along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356" w:right="339" w:bottom="1440" w:gutter="0" w:footer="0" w:header="0"/>
        </w:sectPr>
      </w:pPr>
    </w:p>
    <w:bookmarkStart w:id="20" w:name="page21"/>
    <w:bookmarkEnd w:id="20"/>
    <w:p>
      <w:pPr>
        <w:jc w:val="both"/>
        <w:spacing w:after="0"/>
        <w:rPr>
          <w:sz w:val="20"/>
          <w:szCs w:val="20"/>
          <w:color w:val="auto"/>
        </w:rPr>
      </w:pPr>
      <w:r>
        <w:rPr>
          <w:rFonts w:ascii="Times New Roman" w:cs="Times New Roman" w:eastAsia="Times New Roman" w:hAnsi="Times New Roman"/>
          <w:sz w:val="19"/>
          <w:szCs w:val="19"/>
          <w:color w:val="auto"/>
        </w:rPr>
        <w:t>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9"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Cooperation Agreement</w:t>
      </w:r>
    </w:p>
    <w:p>
      <w:pPr>
        <w:spacing w:after="0" w:line="23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At the Public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of Not Obtaining Required Vote for Approval of this NYSE Issuance Proposal</w:t>
      </w:r>
    </w:p>
    <w:p>
      <w:pPr>
        <w:spacing w:after="0" w:line="198"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8"/>
          <w:szCs w:val="18"/>
          <w:color w:val="auto"/>
        </w:rPr>
        <w:t>If the Company is unable to obtain approval of this NYSE Issuance Proposal or a similar proposal in the future, it will be unable to issue and sell the ICE Incremental Shares and the accompanying Class 1 Warrants and Class 2 Warrants under the ICE Purchase Agreement, the issuance of which would result in aggregate gross proceeds to the Company of approximately $7.6 million. If the Company is unable to consummate such issuance, the Company may determine to adjust its operating plan or otherwise forego potential strategic initiatives aimed at growing the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Required Vote</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approval of the issuance of the Excess Shares must be approved by a majority of the votes cast affirmatively or negatively on such matter. However, in order to satisfy Section 312.03 of the NYSE Manual, the Company will not treat this NYSE Issuance Proposal as having passed unless it is approved by a majority of the votes cast affirmatively or negatively by the holders of shares of Common Stock, excluding shares of Class A Common Stock acquired under the Purchase Agreements, outstanding as of the record date. Abstentions and “broker non-votes”, if any, will have no effect on the vote on the NYSE Issuance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EVERY VOTE MATTERS. THE BOARD RECOMMEND YOU VOTE “FOR” APPROVAL OF THIS NYSE ISSUANCE PROPOSAL.</w:t>
      </w:r>
    </w:p>
    <w:p>
      <w:pPr>
        <w:sectPr>
          <w:pgSz w:w="11900" w:h="16838" w:orient="portrait"/>
          <w:cols w:equalWidth="0" w:num="1">
            <w:col w:w="11020"/>
          </w:cols>
          <w:pgMar w:left="320" w:top="135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020"/>
          </w:cols>
          <w:pgMar w:left="320" w:top="1352" w:right="559" w:bottom="1440" w:gutter="0" w:footer="0" w:header="0"/>
          <w:type w:val="continuous"/>
        </w:sectPr>
      </w:pPr>
    </w:p>
    <w:bookmarkStart w:id="22" w:name="page23"/>
    <w:bookmarkEnd w:id="22"/>
    <w:p>
      <w:pPr>
        <w:spacing w:after="0" w:line="106" w:lineRule="exact"/>
        <w:rPr>
          <w:sz w:val="20"/>
          <w:szCs w:val="20"/>
          <w:color w:val="auto"/>
        </w:rPr>
      </w:pPr>
    </w:p>
    <w:p>
      <w:pPr>
        <w:ind w:right="1900" w:firstLine="1899"/>
        <w:spacing w:after="0" w:line="441" w:lineRule="auto"/>
        <w:rPr>
          <w:sz w:val="20"/>
          <w:szCs w:val="20"/>
          <w:color w:val="auto"/>
        </w:rPr>
      </w:pPr>
      <w:r>
        <w:rPr>
          <w:rFonts w:ascii="Times New Roman" w:cs="Times New Roman" w:eastAsia="Times New Roman" w:hAnsi="Times New Roman"/>
          <w:sz w:val="19"/>
          <w:szCs w:val="19"/>
          <w:b w:val="1"/>
          <w:bCs w:val="1"/>
          <w:color w:val="auto"/>
        </w:rPr>
        <w:t>PROPOSAL 2—THE REVERSE STOCK SPLIT AND RELATED MATTERS PROPOSAL Background and Considerations</w:t>
      </w: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On March 13, 2024, we were notified by the NYSE that we were not in compliance with Section 802.01C of the NYSE Manual (the “</w:t>
      </w:r>
      <w:r>
        <w:rPr>
          <w:rFonts w:ascii="Times New Roman" w:cs="Times New Roman" w:eastAsia="Times New Roman" w:hAnsi="Times New Roman"/>
          <w:sz w:val="19"/>
          <w:szCs w:val="19"/>
          <w:b w:val="1"/>
          <w:bCs w:val="1"/>
          <w:i w:val="1"/>
          <w:iCs w:val="1"/>
          <w:color w:val="auto"/>
        </w:rPr>
        <w:t>Listing Rule</w:t>
      </w:r>
      <w:r>
        <w:rPr>
          <w:rFonts w:ascii="Times New Roman" w:cs="Times New Roman" w:eastAsia="Times New Roman" w:hAnsi="Times New Roman"/>
          <w:sz w:val="19"/>
          <w:szCs w:val="19"/>
          <w:color w:val="auto"/>
        </w:rPr>
        <w:t>”) because the average closing stock price of a share of our Class A Common Stock was less than $1.00 per share over a consecutive 30 trading-day period.</w:t>
      </w:r>
    </w:p>
    <w:p>
      <w:pPr>
        <w:spacing w:after="0" w:line="17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Pursuant to the Listing Rule, the Company has six months following the NYSE notification to regain compliance with the Listing Rule, during which time the Class A Common Stock will continue to be listed on the NYSE.</w:t>
      </w:r>
    </w:p>
    <w:p>
      <w:pPr>
        <w:spacing w:after="0" w:line="15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Though we continue to monitor the closing bid price for our Class A Common Stock and to assess potential actions to regain compliance with the Listing Rule, the Board has determined that it would be advisable and in our best interests and in the best interests of our stockholders to pursue the Reverse Stock Split.</w:t>
      </w:r>
    </w:p>
    <w:p>
      <w:pPr>
        <w:spacing w:after="0" w:line="176"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On April [__], 2024, the Board voted unanimously to approve, adopt and declare advisable, and to recommend to our stockholders that they approve at this Special Meeting, an amendment of our current Certificate of Incorporation (the “</w:t>
      </w:r>
      <w:r>
        <w:rPr>
          <w:rFonts w:ascii="Times New Roman" w:cs="Times New Roman" w:eastAsia="Times New Roman" w:hAnsi="Times New Roman"/>
          <w:sz w:val="19"/>
          <w:szCs w:val="19"/>
          <w:b w:val="1"/>
          <w:bCs w:val="1"/>
          <w:i w:val="1"/>
          <w:iCs w:val="1"/>
          <w:color w:val="auto"/>
        </w:rPr>
        <w:t>Reverse Stock Split Amendment</w:t>
      </w:r>
      <w:r>
        <w:rPr>
          <w:rFonts w:ascii="Times New Roman" w:cs="Times New Roman" w:eastAsia="Times New Roman" w:hAnsi="Times New Roman"/>
          <w:sz w:val="19"/>
          <w:szCs w:val="19"/>
          <w:color w:val="auto"/>
        </w:rPr>
        <w:t>”) to effect, at the discretion of the Board, at any time prior to the one year anniversary of the date of this Special Meeting (the “</w:t>
      </w:r>
      <w:r>
        <w:rPr>
          <w:rFonts w:ascii="Times New Roman" w:cs="Times New Roman" w:eastAsia="Times New Roman" w:hAnsi="Times New Roman"/>
          <w:sz w:val="19"/>
          <w:szCs w:val="19"/>
          <w:b w:val="1"/>
          <w:bCs w:val="1"/>
          <w:i w:val="1"/>
          <w:iCs w:val="1"/>
          <w:color w:val="auto"/>
        </w:rPr>
        <w:t>Anniversary Date</w:t>
      </w:r>
      <w:r>
        <w:rPr>
          <w:rFonts w:ascii="Times New Roman" w:cs="Times New Roman" w:eastAsia="Times New Roman" w:hAnsi="Times New Roman"/>
          <w:sz w:val="19"/>
          <w:szCs w:val="19"/>
          <w:color w:val="auto"/>
        </w:rPr>
        <w:t xml:space="preserve">”), the Reverse Stock Split and contemporaneously with the Reverse Stock Split, a reduction to the number of shares authorized in the same proportion as the Reverse Stock Split Ratio. If approved by our stockholders at the Special Meeting and at the discretion of the Board, the Company would effect the Reverse Stock Split and the Authorized Share Reduction by causing the filing of an amendment to the Current Certificate, a copy of which is attached as </w:t>
      </w:r>
      <w:r>
        <w:rPr>
          <w:rFonts w:ascii="Times New Roman" w:cs="Times New Roman" w:eastAsia="Times New Roman" w:hAnsi="Times New Roman"/>
          <w:sz w:val="19"/>
          <w:szCs w:val="19"/>
          <w:b w:val="1"/>
          <w:bCs w:val="1"/>
          <w:color w:val="auto"/>
        </w:rPr>
        <w:t>Annex A</w:t>
      </w:r>
      <w:r>
        <w:rPr>
          <w:rFonts w:ascii="Times New Roman" w:cs="Times New Roman" w:eastAsia="Times New Roman" w:hAnsi="Times New Roman"/>
          <w:sz w:val="19"/>
          <w:szCs w:val="19"/>
          <w:color w:val="auto"/>
        </w:rPr>
        <w:t xml:space="preserve"> to this proxy statement, with the Delaware Secretary of State.</w:t>
      </w:r>
    </w:p>
    <w:p>
      <w:pPr>
        <w:spacing w:after="0" w:line="18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As described below, the Board, in its discretion, also may determine not to effect the Reverse Stock Split and the Authorized Share Reduction. The Company will not effect the Reverse Stock Split without also effecting the Authorized Share Reduction, and vice versa. If the Board, in its discretion, determines not to effect the Reverse Stock Split and Authorized Share Reduction prior to the Anniversary Date, the Reverse Stock Split and Authorized Share Reduction will both be abandoned. If our stockholders approve the Reverse Stock Split Amendment at this Special Meeting, no further action on the part of stockholders will be required to either implement or abandon the Reverse Stock Split or the Authorized Share Reduction.</w:t>
      </w:r>
    </w:p>
    <w:p>
      <w:pPr>
        <w:spacing w:after="0" w:line="17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The Reverse Stock Split Amendment, if effected, will effect a Reverse Stock Split of the issued and outstanding shares of Common Stock at a reverse stock split ratio of 1-for-25 (the “</w:t>
      </w:r>
      <w:r>
        <w:rPr>
          <w:rFonts w:ascii="Times New Roman" w:cs="Times New Roman" w:eastAsia="Times New Roman" w:hAnsi="Times New Roman"/>
          <w:sz w:val="19"/>
          <w:szCs w:val="19"/>
          <w:b w:val="1"/>
          <w:bCs w:val="1"/>
          <w:i w:val="1"/>
          <w:iCs w:val="1"/>
          <w:color w:val="auto"/>
        </w:rPr>
        <w:t>Reverse Stock Split Ratio</w:t>
      </w:r>
      <w:r>
        <w:rPr>
          <w:rFonts w:ascii="Times New Roman" w:cs="Times New Roman" w:eastAsia="Times New Roman" w:hAnsi="Times New Roman"/>
          <w:sz w:val="19"/>
          <w:szCs w:val="19"/>
          <w:color w:val="auto"/>
        </w:rPr>
        <w:t>”). If the Reverse Stock Split is effected, we would contemporaneously effect the Authorized Share Reduction, such that the 1,000,000,000 authorized shares of Common Stock, consisting of 750,000,000 shares of Class A Common Stock and 250,000,000 shares of Class V Common Stock would be reduced proportionately pursuant to the Reverse Stock Split Ratio, such that the Company would have 40,000,000 authorized shares of common stock, consisting of 30,000,000 shares of Class A Common Stock and 10,000,000 shares of Class V Common Stock. See “</w:t>
      </w:r>
      <w:r>
        <w:rPr>
          <w:rFonts w:ascii="Times New Roman" w:cs="Times New Roman" w:eastAsia="Times New Roman" w:hAnsi="Times New Roman"/>
          <w:sz w:val="19"/>
          <w:szCs w:val="19"/>
          <w:i w:val="1"/>
          <w:iCs w:val="1"/>
          <w:color w:val="auto"/>
        </w:rPr>
        <w:t>—Implementation of the Reverse Stock Split—Effect on Common Stock</w:t>
      </w:r>
      <w:r>
        <w:rPr>
          <w:rFonts w:ascii="Times New Roman" w:cs="Times New Roman" w:eastAsia="Times New Roman" w:hAnsi="Times New Roman"/>
          <w:sz w:val="19"/>
          <w:szCs w:val="19"/>
          <w:color w:val="auto"/>
        </w:rPr>
        <w:t>” below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Reasons for the Reverse Stock Split</w:t>
      </w:r>
    </w:p>
    <w:p>
      <w:pPr>
        <w:spacing w:after="0" w:line="21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The purpose of the Reverse Stock Split is to increase the trading price per share of our Class A Common Stock, as fewer shares will be outstanding. The Board believes that the increased trading price per share of our Class A Common Stock expected as a result of implementing the Reverse Stock Split may improve the marketability and liquidity of our Class A Common Stock, as well as the marketability of our securities that are convertible into shares of Class A Common Stock, including our public warrants to purchase Class A Common Stock listed on the NYSE (the “</w:t>
      </w:r>
      <w:r>
        <w:rPr>
          <w:rFonts w:ascii="Times New Roman" w:cs="Times New Roman" w:eastAsia="Times New Roman" w:hAnsi="Times New Roman"/>
          <w:sz w:val="19"/>
          <w:szCs w:val="19"/>
          <w:b w:val="1"/>
          <w:bCs w:val="1"/>
          <w:i w:val="1"/>
          <w:iCs w:val="1"/>
          <w:color w:val="auto"/>
        </w:rPr>
        <w:t>Public Warrants</w:t>
      </w:r>
      <w:r>
        <w:rPr>
          <w:rFonts w:ascii="Times New Roman" w:cs="Times New Roman" w:eastAsia="Times New Roman" w:hAnsi="Times New Roman"/>
          <w:sz w:val="19"/>
          <w:szCs w:val="19"/>
          <w:color w:val="auto"/>
        </w:rPr>
        <w:t>”). It is also anticipated that an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9"/>
          <w:szCs w:val="19"/>
          <w:color w:val="auto"/>
        </w:rPr>
        <w:t>the trading price per share of our Class A Common Stock will encourage institutional and retail interest and trading in our Class A Common Stock, as well as increase the number of investment analysts that provide research reports on the Company and our Class A Common Stock.</w:t>
      </w:r>
    </w:p>
    <w:p>
      <w:pPr>
        <w:spacing w:after="0" w:line="16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8"/>
          <w:szCs w:val="18"/>
          <w:color w:val="auto"/>
        </w:rPr>
        <w:t>In addition, the Board recognizes that brokerage commissions, as a percentage of total transaction value, tend to be relatively higher for lower-priced stocks. As a result, certain stockholders and investors may also be dissuaded from purchasing lower-priced stocks due to anticipated transaction costs. It is possible that an increase in the trading price per share of our Class A Common Stock anticipated after the Reverse Stock Split may reduce this concern among stockholders and investors, which may increase the marketability and liquidity of our Class A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Share Reduction</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Delaware law does not require a reduction in the total number of authorized shares of Class A Common Stock or Class V Common Stock contemporaneously with the implementation of the Reverse Stock Split. However, if approved by our stockholders at the Special Meeting and implemented by the Board, in its discretion, the authorized number of shares of Common Stock also would be reduced proportionately pursuant to the Reverse Stock Split Ratio. The Board believes that after the Authorized Share Reduction, the number of shares of Class A Common Stock available for future issuance is sufficient for current anticipated future needs, and does not anticipate future issuance of shares of Class V Common Stock at this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Implementation of the Reverse Stock Split</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Effect on Common Stock</w:t>
      </w:r>
    </w:p>
    <w:p>
      <w:pPr>
        <w:spacing w:after="0" w:line="19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If the Reverse Stock Split Amendment is approved by stockholders at the Special Meeting, there will be no impact on stockholders until the Board, in its discretion, determines to implement the Reverse Stock Split. The Reverse Stock Split, once implemented through the adoption of the certificate of amendment attached hereto as </w:t>
      </w:r>
      <w:r>
        <w:rPr>
          <w:rFonts w:ascii="Times New Roman" w:cs="Times New Roman" w:eastAsia="Times New Roman" w:hAnsi="Times New Roman"/>
          <w:sz w:val="19"/>
          <w:szCs w:val="19"/>
          <w:b w:val="1"/>
          <w:bCs w:val="1"/>
          <w:color w:val="auto"/>
        </w:rPr>
        <w:t>Annex A</w:t>
      </w:r>
      <w:r>
        <w:rPr>
          <w:rFonts w:ascii="Times New Roman" w:cs="Times New Roman" w:eastAsia="Times New Roman" w:hAnsi="Times New Roman"/>
          <w:sz w:val="19"/>
          <w:szCs w:val="19"/>
          <w:color w:val="auto"/>
        </w:rPr>
        <w:t>, would uniformly affect all holders of Common Stock and other securities exercisable or exchangeable for, or convertible into, Common Stock, including our outstanding warrants and equity grants, and would not affect any such holder’s percentage ownership interest or proportionate voting power, except for the elimination of fractional shares of Common Stock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18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approved by our stockholders at the Special Meeting and implemented by the Board, in its discretion, the principal effects of the Reverse Stock Split Amendment on holders of Common Stock would be that:</w:t>
      </w:r>
    </w:p>
    <w:p>
      <w:pPr>
        <w:spacing w:after="0" w:line="167" w:lineRule="exact"/>
        <w:rPr>
          <w:sz w:val="20"/>
          <w:szCs w:val="20"/>
          <w:color w:val="auto"/>
        </w:rPr>
      </w:pPr>
    </w:p>
    <w:p>
      <w:pPr>
        <w:jc w:val="both"/>
        <w:ind w:left="620" w:hanging="307"/>
        <w:spacing w:after="0" w:line="238"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issued and outstanding shares of Common Stock owned by a stockholder (or held by the Company in treasury) will be combined into a lower number of shares of Common Stock based on the Reverse Stock Split Ratio, with any fractional shares being treated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1" w:lineRule="exact"/>
        <w:rPr>
          <w:rFonts w:ascii="Times New Roman" w:cs="Times New Roman" w:eastAsia="Times New Roman" w:hAnsi="Times New Roman"/>
          <w:sz w:val="19"/>
          <w:szCs w:val="19"/>
          <w:color w:val="auto"/>
        </w:rPr>
      </w:pPr>
    </w:p>
    <w:p>
      <w:pPr>
        <w:jc w:val="both"/>
        <w:ind w:left="620" w:hanging="307"/>
        <w:spacing w:after="0" w:line="231"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number of issued and outstanding shares of Common Stock (or shares held by the Company in treasury) would be reduced based on the Reverse Stock Split Ratio, with any fractional shares being treated as described under “</w:t>
      </w:r>
      <w:r>
        <w:rPr>
          <w:rFonts w:ascii="Times New Roman" w:cs="Times New Roman" w:eastAsia="Times New Roman" w:hAnsi="Times New Roman"/>
          <w:sz w:val="19"/>
          <w:szCs w:val="19"/>
          <w:i w:val="1"/>
          <w:iCs w:val="1"/>
          <w:color w:val="auto"/>
        </w:rPr>
        <w:t>—Implementation of the Reverse Stock Split—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Fractional Shares</w:t>
      </w:r>
      <w:r>
        <w:rPr>
          <w:rFonts w:ascii="Times New Roman" w:cs="Times New Roman" w:eastAsia="Times New Roman" w:hAnsi="Times New Roman"/>
          <w:sz w:val="19"/>
          <w:szCs w:val="19"/>
          <w:color w:val="auto"/>
        </w:rPr>
        <w:t>” below; and</w:t>
      </w:r>
    </w:p>
    <w:p>
      <w:pPr>
        <w:ind w:left="620" w:hanging="307"/>
        <w:spacing w:after="0" w:line="247"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authorized shares of Common Stock (and each of the Class A Common Stock and Class V Common Stock) will be contemporaneously and proportionally reduced based upon the Reverse Stock Split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56" w:right="339" w:bottom="1440" w:gutter="0" w:footer="0" w:header="0"/>
        </w:sectPr>
      </w:pPr>
    </w:p>
    <w:bookmarkStart w:id="24" w:name="page25"/>
    <w:bookmarkEnd w:id="24"/>
    <w:p>
      <w:pPr>
        <w:spacing w:after="0" w:line="123" w:lineRule="exact"/>
        <w:rPr>
          <w:sz w:val="20"/>
          <w:szCs w:val="20"/>
          <w:color w:val="auto"/>
        </w:rPr>
      </w:pPr>
    </w:p>
    <w:p>
      <w:pPr>
        <w:jc w:val="both"/>
        <w:ind w:right="100" w:firstLine="619"/>
        <w:spacing w:after="0" w:line="247" w:lineRule="auto"/>
        <w:rPr>
          <w:sz w:val="20"/>
          <w:szCs w:val="20"/>
          <w:color w:val="auto"/>
        </w:rPr>
      </w:pPr>
      <w:r>
        <w:rPr>
          <w:rFonts w:ascii="Times New Roman" w:cs="Times New Roman" w:eastAsia="Times New Roman" w:hAnsi="Times New Roman"/>
          <w:sz w:val="19"/>
          <w:szCs w:val="19"/>
          <w:color w:val="auto"/>
        </w:rPr>
        <w:t>The following table contains approximate information, based on share information as of the record date, relating to our Common Stock based on the Reverse Stock Split assuming that the Reverse Stock Split Amendment is approved by stockholders at the Special Meeting and implemented by the Board, in its discretion:</w:t>
      </w:r>
    </w:p>
    <w:p>
      <w:pPr>
        <w:spacing w:after="0" w:line="198"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5680" w:type="dxa"/>
            <w:vAlign w:val="bottom"/>
            <w:tcBorders>
              <w:bottom w:val="single" w:sz="8" w:color="DBEEF3"/>
            </w:tcBorders>
          </w:tcPr>
          <w:p>
            <w:pPr>
              <w:spacing w:after="0"/>
              <w:rPr>
                <w:sz w:val="21"/>
                <w:szCs w:val="21"/>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Pre-Reverse Stock Split</w:t>
            </w:r>
          </w:p>
        </w:tc>
        <w:tc>
          <w:tcPr>
            <w:tcW w:w="2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9"/>
                <w:szCs w:val="19"/>
                <w:b w:val="1"/>
                <w:bCs w:val="1"/>
                <w:color w:val="auto"/>
              </w:rPr>
              <w:t>Post-Reverse Stock Split</w:t>
            </w:r>
          </w:p>
        </w:tc>
      </w:tr>
      <w:tr>
        <w:trPr>
          <w:trHeight w:val="229"/>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Authorized shares</w:t>
            </w:r>
          </w:p>
        </w:tc>
        <w:tc>
          <w:tcPr>
            <w:tcW w:w="2360" w:type="dxa"/>
            <w:vAlign w:val="bottom"/>
            <w:shd w:val="clear" w:color="auto" w:fill="DBEEF3"/>
          </w:tcPr>
          <w:p>
            <w:pPr>
              <w:spacing w:after="0"/>
              <w:rPr>
                <w:sz w:val="19"/>
                <w:szCs w:val="19"/>
                <w:color w:val="auto"/>
              </w:rPr>
            </w:pPr>
          </w:p>
        </w:tc>
        <w:tc>
          <w:tcPr>
            <w:tcW w:w="2680" w:type="dxa"/>
            <w:vAlign w:val="bottom"/>
            <w:shd w:val="clear" w:color="auto" w:fill="DBEEF3"/>
          </w:tcPr>
          <w:p>
            <w:pPr>
              <w:spacing w:after="0"/>
              <w:rPr>
                <w:sz w:val="19"/>
                <w:szCs w:val="19"/>
                <w:color w:val="auto"/>
              </w:rPr>
            </w:pP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Authorized Class A Common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750,000,000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30,000,000</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Authorized Class V Common Stock</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250,000,000</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10,000,000</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Authorized preferred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1,000,000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1,000,000</w:t>
            </w:r>
          </w:p>
        </w:tc>
      </w:tr>
      <w:tr>
        <w:trPr>
          <w:trHeight w:val="245"/>
        </w:trPr>
        <w:tc>
          <w:tcPr>
            <w:tcW w:w="5680" w:type="dxa"/>
            <w:vAlign w:val="bottom"/>
            <w:shd w:val="clear" w:color="auto" w:fill="DBEEF3"/>
          </w:tcPr>
          <w:p>
            <w:pPr>
              <w:ind w:left="60"/>
              <w:spacing w:after="0" w:line="245" w:lineRule="exact"/>
              <w:rPr>
                <w:sz w:val="20"/>
                <w:szCs w:val="20"/>
                <w:color w:val="auto"/>
              </w:rPr>
            </w:pPr>
            <w:r>
              <w:rPr>
                <w:rFonts w:ascii="Times New Roman" w:cs="Times New Roman" w:eastAsia="Times New Roman" w:hAnsi="Times New Roman"/>
                <w:sz w:val="19"/>
                <w:szCs w:val="19"/>
                <w:color w:val="auto"/>
              </w:rPr>
              <w:t xml:space="preserve">Total authorized shares </w:t>
            </w:r>
            <w:r>
              <w:rPr>
                <w:rFonts w:ascii="Times New Roman" w:cs="Times New Roman" w:eastAsia="Times New Roman" w:hAnsi="Times New Roman"/>
                <w:sz w:val="24"/>
                <w:szCs w:val="24"/>
                <w:b w:val="1"/>
                <w:bCs w:val="1"/>
                <w:color w:val="auto"/>
                <w:vertAlign w:val="superscript"/>
              </w:rPr>
              <w:t>(1)</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1,001,000,000</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41,000,000</w:t>
            </w:r>
          </w:p>
        </w:tc>
      </w:tr>
      <w:tr>
        <w:trPr>
          <w:trHeight w:val="245"/>
        </w:trPr>
        <w:tc>
          <w:tcPr>
            <w:tcW w:w="5680" w:type="dxa"/>
            <w:vAlign w:val="bottom"/>
          </w:tcPr>
          <w:p>
            <w:pPr>
              <w:ind w:left="60"/>
              <w:spacing w:after="0" w:line="245" w:lineRule="exact"/>
              <w:rPr>
                <w:sz w:val="20"/>
                <w:szCs w:val="20"/>
                <w:color w:val="auto"/>
              </w:rPr>
            </w:pPr>
            <w:r>
              <w:rPr>
                <w:rFonts w:ascii="Times New Roman" w:cs="Times New Roman" w:eastAsia="Times New Roman" w:hAnsi="Times New Roman"/>
                <w:sz w:val="19"/>
                <w:szCs w:val="19"/>
                <w:b w:val="1"/>
                <w:bCs w:val="1"/>
                <w:color w:val="auto"/>
              </w:rPr>
              <w:t xml:space="preserve">Shares issued and outstanding </w:t>
            </w:r>
            <w:r>
              <w:rPr>
                <w:rFonts w:ascii="Times New Roman" w:cs="Times New Roman" w:eastAsia="Times New Roman" w:hAnsi="Times New Roman"/>
                <w:sz w:val="24"/>
                <w:szCs w:val="24"/>
                <w:b w:val="1"/>
                <w:bCs w:val="1"/>
                <w:color w:val="auto"/>
                <w:vertAlign w:val="superscript"/>
              </w:rPr>
              <w:t>(2)</w:t>
            </w:r>
          </w:p>
        </w:tc>
        <w:tc>
          <w:tcPr>
            <w:tcW w:w="236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Class A Common Stock</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141,798,069</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5,671,923</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Class V Common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179,883,479</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7,195,339</w:t>
            </w:r>
          </w:p>
        </w:tc>
      </w:tr>
      <w:tr>
        <w:trPr>
          <w:trHeight w:val="245"/>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color w:val="auto"/>
              </w:rPr>
              <w:t>Total shares issued and outstanding</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321,681,548</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12,867,262</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Outstanding warrants</w:t>
            </w:r>
          </w:p>
        </w:tc>
        <w:tc>
          <w:tcPr>
            <w:tcW w:w="236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Public warrants</w:t>
            </w:r>
          </w:p>
        </w:tc>
        <w:tc>
          <w:tcPr>
            <w:tcW w:w="2360" w:type="dxa"/>
            <w:vAlign w:val="bottom"/>
            <w:shd w:val="clear" w:color="auto" w:fill="DBEEF3"/>
          </w:tcPr>
          <w:p>
            <w:pPr>
              <w:ind w:left="100"/>
              <w:spacing w:after="0"/>
              <w:rPr>
                <w:sz w:val="20"/>
                <w:szCs w:val="20"/>
                <w:color w:val="auto"/>
              </w:rPr>
            </w:pPr>
            <w:r>
              <w:rPr>
                <w:rFonts w:ascii="Times New Roman" w:cs="Times New Roman" w:eastAsia="Times New Roman" w:hAnsi="Times New Roman"/>
                <w:sz w:val="19"/>
                <w:szCs w:val="19"/>
                <w:color w:val="auto"/>
              </w:rPr>
              <w:t>7,140,808</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285,632</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Class 1 warrants</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7,148,016</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285,921</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Class 2 warrants</w:t>
            </w:r>
          </w:p>
        </w:tc>
        <w:tc>
          <w:tcPr>
            <w:tcW w:w="2360" w:type="dxa"/>
            <w:vAlign w:val="bottom"/>
            <w:shd w:val="clear" w:color="auto" w:fill="DBEEF3"/>
          </w:tcPr>
          <w:p>
            <w:pPr>
              <w:ind w:left="100"/>
              <w:spacing w:after="0"/>
              <w:rPr>
                <w:sz w:val="20"/>
                <w:szCs w:val="20"/>
                <w:color w:val="auto"/>
              </w:rPr>
            </w:pPr>
            <w:r>
              <w:rPr>
                <w:rFonts w:ascii="Times New Roman" w:cs="Times New Roman" w:eastAsia="Times New Roman" w:hAnsi="Times New Roman"/>
                <w:sz w:val="19"/>
                <w:szCs w:val="19"/>
                <w:color w:val="auto"/>
              </w:rPr>
              <w:t>7,148,016</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285,921</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warrants issued and outstanding</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21,436,840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857,474</w:t>
            </w:r>
          </w:p>
        </w:tc>
      </w:tr>
      <w:tr>
        <w:trPr>
          <w:trHeight w:val="245"/>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Outstanding options, restricted stock units, and other awards</w:t>
            </w:r>
          </w:p>
        </w:tc>
        <w:tc>
          <w:tcPr>
            <w:tcW w:w="2360" w:type="dxa"/>
            <w:vAlign w:val="bottom"/>
            <w:shd w:val="clear" w:color="auto" w:fill="DBEEF3"/>
          </w:tcPr>
          <w:p>
            <w:pPr>
              <w:spacing w:after="0"/>
              <w:rPr>
                <w:sz w:val="21"/>
                <w:szCs w:val="21"/>
                <w:color w:val="auto"/>
              </w:rPr>
            </w:pPr>
          </w:p>
        </w:tc>
        <w:tc>
          <w:tcPr>
            <w:tcW w:w="2680" w:type="dxa"/>
            <w:vAlign w:val="bottom"/>
            <w:shd w:val="clear" w:color="auto" w:fill="DBEEF3"/>
          </w:tcPr>
          <w:p>
            <w:pPr>
              <w:spacing w:after="0"/>
              <w:rPr>
                <w:sz w:val="21"/>
                <w:szCs w:val="21"/>
                <w:color w:val="auto"/>
              </w:rPr>
            </w:pP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Outstanding stock options</w:t>
            </w:r>
          </w:p>
        </w:tc>
        <w:tc>
          <w:tcPr>
            <w:tcW w:w="2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0</w:t>
            </w:r>
          </w:p>
        </w:tc>
        <w:tc>
          <w:tcPr>
            <w:tcW w:w="26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0</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Outstanding restricted stock units</w:t>
            </w:r>
          </w:p>
        </w:tc>
        <w:tc>
          <w:tcPr>
            <w:tcW w:w="236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color w:val="auto"/>
              </w:rPr>
              <w:t>9,206,910</w:t>
            </w:r>
          </w:p>
        </w:tc>
        <w:tc>
          <w:tcPr>
            <w:tcW w:w="2680" w:type="dxa"/>
            <w:vAlign w:val="bottom"/>
            <w:shd w:val="clear" w:color="auto" w:fill="DBEEF3"/>
          </w:tcPr>
          <w:p>
            <w:pPr>
              <w:ind w:left="440"/>
              <w:spacing w:after="0"/>
              <w:rPr>
                <w:sz w:val="20"/>
                <w:szCs w:val="20"/>
                <w:color w:val="auto"/>
              </w:rPr>
            </w:pPr>
            <w:r>
              <w:rPr>
                <w:rFonts w:ascii="Times New Roman" w:cs="Times New Roman" w:eastAsia="Times New Roman" w:hAnsi="Times New Roman"/>
                <w:sz w:val="19"/>
                <w:szCs w:val="19"/>
                <w:color w:val="auto"/>
              </w:rPr>
              <w:t>368,277</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outstanding options, restricted stock units, and other awards</w:t>
            </w:r>
          </w:p>
        </w:tc>
        <w:tc>
          <w:tcPr>
            <w:tcW w:w="2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9,206,910</w:t>
            </w:r>
          </w:p>
        </w:tc>
        <w:tc>
          <w:tcPr>
            <w:tcW w:w="26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368,277</w:t>
            </w:r>
          </w:p>
        </w:tc>
      </w:tr>
      <w:tr>
        <w:trPr>
          <w:trHeight w:val="182"/>
        </w:trPr>
        <w:tc>
          <w:tcPr>
            <w:tcW w:w="8040" w:type="dxa"/>
            <w:vAlign w:val="bottom"/>
            <w:gridSpan w:val="2"/>
            <w:shd w:val="clear" w:color="auto" w:fill="DBEEF3"/>
          </w:tcPr>
          <w:p>
            <w:pPr>
              <w:ind w:left="20"/>
              <w:spacing w:after="0" w:line="182" w:lineRule="exact"/>
              <w:rPr>
                <w:sz w:val="20"/>
                <w:szCs w:val="20"/>
                <w:color w:val="auto"/>
              </w:rPr>
            </w:pPr>
            <w:r>
              <w:rPr>
                <w:rFonts w:ascii="Times New Roman" w:cs="Times New Roman" w:eastAsia="Times New Roman" w:hAnsi="Times New Roman"/>
                <w:sz w:val="19"/>
                <w:szCs w:val="19"/>
                <w:b w:val="1"/>
                <w:bCs w:val="1"/>
                <w:color w:val="auto"/>
              </w:rPr>
              <w:t xml:space="preserve">Shares  available  for  future  issuance  under  the  2021  Omnibus </w:t>
            </w:r>
            <w:r>
              <w:rPr>
                <w:rFonts w:ascii="Times New Roman" w:cs="Times New Roman" w:eastAsia="Times New Roman" w:hAnsi="Times New Roman"/>
                <w:sz w:val="19"/>
                <w:szCs w:val="19"/>
                <w:color w:val="auto"/>
              </w:rPr>
              <w:t>33,636,903</w:t>
            </w:r>
          </w:p>
        </w:tc>
        <w:tc>
          <w:tcPr>
            <w:tcW w:w="2680" w:type="dxa"/>
            <w:vAlign w:val="bottom"/>
            <w:shd w:val="clear" w:color="auto" w:fill="DBEEF3"/>
          </w:tcPr>
          <w:p>
            <w:pPr>
              <w:ind w:left="440"/>
              <w:spacing w:after="0" w:line="182" w:lineRule="exact"/>
              <w:rPr>
                <w:sz w:val="20"/>
                <w:szCs w:val="20"/>
                <w:color w:val="auto"/>
              </w:rPr>
            </w:pPr>
            <w:r>
              <w:rPr>
                <w:rFonts w:ascii="Times New Roman" w:cs="Times New Roman" w:eastAsia="Times New Roman" w:hAnsi="Times New Roman"/>
                <w:sz w:val="19"/>
                <w:szCs w:val="19"/>
                <w:color w:val="auto"/>
              </w:rPr>
              <w:t>1,345,477</w:t>
            </w:r>
          </w:p>
        </w:tc>
      </w:tr>
      <w:tr>
        <w:trPr>
          <w:trHeight w:val="244"/>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Incentive Plan</w:t>
            </w:r>
          </w:p>
        </w:tc>
        <w:tc>
          <w:tcPr>
            <w:tcW w:w="2360" w:type="dxa"/>
            <w:vAlign w:val="bottom"/>
            <w:shd w:val="clear" w:color="auto" w:fill="DBEEF3"/>
          </w:tcPr>
          <w:p>
            <w:pPr>
              <w:spacing w:after="0"/>
              <w:rPr>
                <w:sz w:val="21"/>
                <w:szCs w:val="21"/>
                <w:color w:val="auto"/>
              </w:rPr>
            </w:pPr>
          </w:p>
        </w:tc>
        <w:tc>
          <w:tcPr>
            <w:tcW w:w="2680" w:type="dxa"/>
            <w:vAlign w:val="bottom"/>
            <w:shd w:val="clear" w:color="auto" w:fill="DBEEF3"/>
          </w:tcPr>
          <w:p>
            <w:pPr>
              <w:spacing w:after="0"/>
              <w:rPr>
                <w:sz w:val="21"/>
                <w:szCs w:val="21"/>
                <w:color w:val="auto"/>
              </w:rPr>
            </w:pPr>
          </w:p>
        </w:tc>
      </w:tr>
    </w:tbl>
    <w:p>
      <w:pPr>
        <w:spacing w:after="0" w:line="276" w:lineRule="exact"/>
        <w:rPr>
          <w:sz w:val="20"/>
          <w:szCs w:val="20"/>
          <w:color w:val="auto"/>
        </w:rPr>
      </w:pPr>
    </w:p>
    <w:p>
      <w:pPr>
        <w:ind w:left="1100" w:hanging="478"/>
        <w:spacing w:after="0"/>
        <w:tabs>
          <w:tab w:leader="none" w:pos="11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authorized shares of preferred stock will remain unchanged, but is displayed in the foregoing table for the sake of</w:t>
      </w:r>
    </w:p>
    <w:p>
      <w:pPr>
        <w:spacing w:after="0" w:line="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completeness.</w:t>
      </w:r>
    </w:p>
    <w:p>
      <w:pPr>
        <w:spacing w:after="0" w:line="186" w:lineRule="exact"/>
        <w:rPr>
          <w:rFonts w:ascii="Times New Roman" w:cs="Times New Roman" w:eastAsia="Times New Roman" w:hAnsi="Times New Roman"/>
          <w:sz w:val="19"/>
          <w:szCs w:val="19"/>
          <w:color w:val="auto"/>
        </w:rPr>
      </w:pPr>
    </w:p>
    <w:p>
      <w:pPr>
        <w:ind w:right="100" w:firstLine="622"/>
        <w:spacing w:after="0" w:line="255" w:lineRule="auto"/>
        <w:tabs>
          <w:tab w:leader="none" w:pos="106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of Common Stock issued and outstanding and issued but not outstanding reflect rounding down to the nearest whole share. Any fractional shares will be treated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Effect on Equity Compensation Arrangements and Warrants</w:t>
      </w:r>
    </w:p>
    <w:p>
      <w:pPr>
        <w:spacing w:after="0" w:line="194" w:lineRule="exact"/>
        <w:rPr>
          <w:sz w:val="20"/>
          <w:szCs w:val="20"/>
          <w:color w:val="auto"/>
        </w:rPr>
      </w:pPr>
    </w:p>
    <w:p>
      <w:pPr>
        <w:jc w:val="both"/>
        <w:ind w:right="100" w:firstLine="619"/>
        <w:spacing w:after="0" w:line="247" w:lineRule="auto"/>
        <w:rPr>
          <w:sz w:val="20"/>
          <w:szCs w:val="20"/>
          <w:color w:val="auto"/>
        </w:rPr>
      </w:pPr>
      <w:r>
        <w:rPr>
          <w:rFonts w:ascii="Times New Roman" w:cs="Times New Roman" w:eastAsia="Times New Roman" w:hAnsi="Times New Roman"/>
          <w:sz w:val="19"/>
          <w:szCs w:val="19"/>
          <w:color w:val="auto"/>
        </w:rPr>
        <w:t>If approved by our stockholders at the Special Meeting and implemented by the Board, in its discretion, the principal effects of the Reverse Stock Split Amendment on the holders of the restricted stock units and other securities granted or issued and outstanding under the 2021 Omnibus Incentive Plan would be that:</w:t>
      </w:r>
    </w:p>
    <w:p>
      <w:pPr>
        <w:spacing w:after="0" w:line="163" w:lineRule="exact"/>
        <w:rPr>
          <w:sz w:val="20"/>
          <w:szCs w:val="20"/>
          <w:color w:val="auto"/>
        </w:rPr>
      </w:pPr>
    </w:p>
    <w:p>
      <w:pPr>
        <w:jc w:val="both"/>
        <w:ind w:left="620" w:right="100" w:hanging="307"/>
        <w:spacing w:after="0" w:line="243" w:lineRule="auto"/>
        <w:tabs>
          <w:tab w:leader="none" w:pos="60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PSUs, RSUs and Other Equity-Based Awards — The number of shares issuable under outstanding PSUs, RSUs and all other outstanding equity-based awards would be reduced proportionately by the Reverse Stock Split Ratio and any applicable market-based performance metrics for any PSUs or RSUs would be adjusted accordingly;</w:t>
      </w:r>
    </w:p>
    <w:p>
      <w:pPr>
        <w:ind w:left="620" w:right="100" w:hanging="307"/>
        <w:spacing w:after="0" w:line="236" w:lineRule="auto"/>
        <w:tabs>
          <w:tab w:leader="none" w:pos="60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Available for Issuance under Equity Incentive Plans — The number of shares of Common Stock authorized for future issuance under our equity incentive plans would be proportionately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340"/>
          </w:cols>
          <w:pgMar w:left="320" w:top="1440"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9"/>
          <w:szCs w:val="19"/>
          <w:color w:val="auto"/>
        </w:rPr>
        <w:t>reduced by the Reverse Stock Split Ratio and other similar adjustments would be made under the 2021 Omnibus Incentive Plan; and</w:t>
      </w:r>
    </w:p>
    <w:p>
      <w:pPr>
        <w:spacing w:after="0" w:line="8" w:lineRule="exact"/>
        <w:rPr>
          <w:sz w:val="20"/>
          <w:szCs w:val="20"/>
          <w:color w:val="auto"/>
        </w:rPr>
      </w:pPr>
    </w:p>
    <w:p>
      <w:pPr>
        <w:jc w:val="both"/>
        <w:ind w:left="620" w:hanging="307"/>
        <w:spacing w:after="0" w:line="235"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Warrants and Other Securities Exercisable or Exchangeable for, or Convertible into Common Stock — The exercise, exchange or conversion price of all other outstanding securities that are exercisable or exchangeable for, or convertible into, shares of Common Stock, including the Class 1 Warrants, Class 2 Warrants, Public Warrants and the shares of Class A Common Stock payable as contingent consideration pursuant to that certain Membership Interest Purchase Agreement, dated as of November 2, 2022, by and among the Company and certain parties thereto, would be increased proportionately by the inverse of the Reverse Stock Split Ratio and the number of shares of Common Stock issuable upon such exercise, exchange or conversion would be reduced proportionately by the Reverse Stock Split Ratio.</w:t>
      </w:r>
    </w:p>
    <w:p>
      <w:pPr>
        <w:spacing w:after="0" w:line="171" w:lineRule="exact"/>
        <w:rPr>
          <w:rFonts w:ascii="Times New Roman" w:cs="Times New Roman" w:eastAsia="Times New Roman" w:hAnsi="Times New Roman"/>
          <w:sz w:val="19"/>
          <w:szCs w:val="19"/>
          <w:color w:val="auto"/>
        </w:rPr>
      </w:pPr>
    </w:p>
    <w:p>
      <w:pPr>
        <w:ind w:left="620" w:right="4660"/>
        <w:spacing w:after="0" w:line="4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effects of the Reverse Stock Split Amendment are discussed below. </w:t>
      </w:r>
      <w:r>
        <w:rPr>
          <w:rFonts w:ascii="Times New Roman" w:cs="Times New Roman" w:eastAsia="Times New Roman" w:hAnsi="Times New Roman"/>
          <w:sz w:val="19"/>
          <w:szCs w:val="19"/>
          <w:u w:val="single" w:color="auto"/>
          <w:color w:val="auto"/>
        </w:rPr>
        <w:t>Effect on Par Value</w:t>
      </w: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The Reverse Stock Split Amendment will not affect the par value of our Common Stock, which will remain at $0.0001 per share. As a result, the stated capital on our balance sheet attributable to Common Stock, which consists of the par value per share of Common Stock multiplied by the aggregate number of shares of Common Stock issued as of the date of such balance sheet, will be reduced in proportion to the Reverse Stock Split Ratio upon implementation (subject to minor adjustments in respect of the treatment of fractional shares). Our additional paid-in capital account, which consists of the difference between our stated capital and the aggregate amount paid to us upon issuance of all currently issued shares of Common Stock, will be credited with the corresponding amount by which the stated capital is reduced. Our total stockholders’ equity, in the aggregate, will remain unchanged as a result of the Reverse Stock Split and Authorized Share Reduction. The shares of our Common Stock held in treasury will also be reduced proportionally based on the Reverse Stock Split Ratio. After the implementation of the Reverse Stock Split, our net income or net loss per share and the net book value per share of Common Stock will increase, as compared to the per share amounts absent the Reverse Stock Split, because there will be fewer shares of Common Stock outstanding. All historic and per share amounts in our financial statements and related footnotes (for periods after the Reverse Stock Split and, on a pro forma basis, for periods prior to the Reverse Stock Split) in future SEC filings will be revised to reflect the Reverse Stock Split.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Fractional Shares</w:t>
      </w:r>
    </w:p>
    <w:p>
      <w:pPr>
        <w:spacing w:after="0" w:line="20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do not plan to issue fractional shares in connection with the Reverse Stock Split. Stockholders who would otherwise hold fractional shares because the number of shares of Class A Common Stock or Class V Common Stock they hold before the Reverse Stock Split is not evenly divisible by the Reverse Stock Split Ratio will be entitled to receive cash (without interest, and subject to any required tax withholding applicable to a holder) in lieu of such fractional shares.</w:t>
      </w:r>
    </w:p>
    <w:p>
      <w:pPr>
        <w:spacing w:after="0" w:line="17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The cash amount to be paid to each holder of shares of Class A Common Stock would be equal to the resulting fractional interest in one share of our Class A Common Stock to which the stockholder would otherwise be entitled, multiplied by the closing trading price of our Class A Common Stock on the trading day immediately after the effectiveness of the Reverse Stock Split (as adjusted to give effect to the Reverse Stock Split), without interest. Fractional interests in the common units of Bakkt Opco Holdings, LLC would also be paid out in cash, applying the same per-share price, and fractional interests in the related shares of Class V Common Stock would be paid out in cash with reference to their right to receive $0.0001 upon specified events in our Current Certificate We do not anticipate that the aggregate cash amount paid by us for fractional interests will be material. Stockholders should be aware that, under the escheat laws of certain jurisdictions, sums due for fractional interests that are not timely claimed after the funds are made available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56"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9"/>
          <w:szCs w:val="19"/>
          <w:color w:val="auto"/>
        </w:rPr>
        <w:t>to be paid to the designated agent for each such jurisdiction. Thereafter, stockholders otherwise entitled to receive such funds may have to obtain the funds directly from the state to which they were paid.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Risks and Potential Disadvantages Associated with the Reverse Stock Split and the Authorized Share Reduction</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Stockholders should recognize that, if the Reverse Stock Split is effected, they will own a lower number of shares than they currently own. Except for minor adjustments that may result from the treatment of fractional shares as described above, the Reverse Stock Split will not have any substantial dilutive effect on our stockholders since each stockholder will hold the same percentage of Class A Common Stock or Class V Common Stock outstanding immediately following the Reverse Stock Split as such stockholder held immediately prior to the Reverse Stock Split (subject to the treatment of fractional shares as described herein).</w:t>
      </w:r>
    </w:p>
    <w:p>
      <w:pPr>
        <w:spacing w:after="0" w:line="17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While we expect that the Reverse Stock Split will result in an increase in the trading price per share of our Class A Common Stock and the Public Warrants, the Reverse Stock Split may not increase the trading price per share of Class A Common Stock or price per Public Warrant in proportion to the reduction in the number of shares of our Class A Common Stock issued and outstanding. The history of reverse stock splits for other companies is varied, particularly since some stockholders and investors may view a reverse stock split negatively. The Company can provide no assurance that the Reverse Stock Split will result in a permanent increase in the trading price per share of Class A Common Stock or price per Public Warrant, which depends on many factors. Although we believe the Reverse Stock Split may enhance the marketability of our Class A Common Stock and Public Warrants to certain potential investors, we cannot assure you that, if implemented, our Common Stock and Public Warrants will be more attractive to investors.</w:t>
      </w:r>
    </w:p>
    <w:p>
      <w:pPr>
        <w:spacing w:after="0" w:line="18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If a Reverse Stock Split is effected and the trading price per share of Class A Common Stock declines, the percentage decline as an absolute number and as a percentage of our overall market capitalization may be greater than would occur in the absence of a Reverse Stock Split. The liquidity of our Class A Common Stock and Public Warrants may be negatively impacted by the Reverse Stock Split, given the reduced number of shares of Class A Common Stock that would be outstanding after the Reverse Stock Split, particularly if the trading price per share of Class A Common Stock or price per Public Warrant does not increase as a result of the Reverse Stock Split. In addition, the Reverse Stock Split will likely increase the number of stockholders who own odd lots (i.e., shares in increments of less than 100 shares). Stockholders who hold odd lots typically experience an increase in the cost of selling their shares, as well as possible greater difficulty in effecting such sales. Accordingly, a Reverse Stock Split may not achieve all of the desired results described in this Reverse Stock Split and Related Matters Proposal.</w:t>
      </w:r>
    </w:p>
    <w:p>
      <w:pPr>
        <w:spacing w:after="0" w:line="16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Board considered all of the foregoing factors and determined that seeking stockholder approval for the Reverse Stock Split Amendment is in the best interests of the Company and its stockholders. As noted below, even if stockholders approve the Reverse Stock Split Amendment, the Board, in its discretion, reserves the right not to effect the Reverse Stock Split Amendment if the Board, in its discretion, does not deem it to be in the best interests of the Company or its stockholders at the time.</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Implementation of the Reverse Stock Split Amendment</w:t>
      </w:r>
    </w:p>
    <w:p>
      <w:pPr>
        <w:spacing w:after="0" w:line="19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Assuming that stockholder approval of the Reverse Stock Split Amendment is obtained, the Board retains the discretion to effect, or not to effect, the Reverse Stock Split and the Authorized Share Reduction at any time prior to the Anniversary Date. The Company will not effect the Reverse Stock Split without also effecting the Authorized Share Reduction, and vice versa. The Reverse Stock Split and Authorized Share Reduction would be implemented by filing the Reverse Stock Split Amendment with the Delaware Secretary of State, which would be effective immediately upon filing or at such time as the Company may specify at the time of filing (the “</w:t>
      </w:r>
      <w:r>
        <w:rPr>
          <w:rFonts w:ascii="Times New Roman" w:cs="Times New Roman" w:eastAsia="Times New Roman" w:hAnsi="Times New Roman"/>
          <w:sz w:val="19"/>
          <w:szCs w:val="19"/>
          <w:b w:val="1"/>
          <w:bCs w:val="1"/>
          <w:i w:val="1"/>
          <w:iCs w:val="1"/>
          <w:color w:val="auto"/>
        </w:rPr>
        <w:t>Effective Time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56" w:right="339" w:bottom="1440" w:gutter="0" w:footer="0" w:header="0"/>
        </w:sectPr>
      </w:pPr>
    </w:p>
    <w:bookmarkStart w:id="27" w:name="page28"/>
    <w:bookmarkEnd w:id="27"/>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If the Board, in its discretion, determines not to effect the Reverse Stock Split and Authorized Share Reduction prior to the Anniversary Date, the Reverse Stock Split Amendment will be abandoned and may not be effected without further stockholder approval. If our stockholders approve the Reverse Stock Split Amendment at the Special Meeting, no further action on the part of stockholders will be required to either implement or abandon the Reverse Stock Split or the Authorized Share Reduction. By voting in favor of the approval of the Reverse Stock Split Amendment, each stockholder is expressly also authorizing the Board to determine not to proceed with, and to abandon, the Reverse Stock Split Amendment if it should so decide.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Continued SEC Reporting Requirements and NYSE Stock Listing</w:t>
      </w:r>
    </w:p>
    <w:p>
      <w:pPr>
        <w:spacing w:after="0" w:line="19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After the Effective Time, Bakkt would continue to be subject to periodic reporting and other requirements under the Exchange Act, the Class A Common Stock and Public Warrants would continue to be listed on the NYSE under the symbol “BKKT” and “BKKT WS,”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CUSIP Numbers</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After the Effective Time, the post-Reverse Stock Split shares of Class A Common Stock would have a new Committee on Uniform Securities Identification Procedures (“</w:t>
      </w:r>
      <w:r>
        <w:rPr>
          <w:rFonts w:ascii="Times New Roman" w:cs="Times New Roman" w:eastAsia="Times New Roman" w:hAnsi="Times New Roman"/>
          <w:sz w:val="19"/>
          <w:szCs w:val="19"/>
          <w:b w:val="1"/>
          <w:bCs w:val="1"/>
          <w:i w:val="1"/>
          <w:iCs w:val="1"/>
          <w:color w:val="auto"/>
        </w:rPr>
        <w:t>CUSIP</w:t>
      </w:r>
      <w:r>
        <w:rPr>
          <w:rFonts w:ascii="Times New Roman" w:cs="Times New Roman" w:eastAsia="Times New Roman" w:hAnsi="Times New Roman"/>
          <w:sz w:val="19"/>
          <w:szCs w:val="19"/>
          <w:color w:val="auto"/>
        </w:rPr>
        <w:t>”) number, which is a number used to identify the Company’s equity securities. We do not currently expect that the Public Warrants will require a new CUSIP number after the Effective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on Registered and Beneficial Holders of Common Stock and Public Warrants</w:t>
      </w:r>
    </w:p>
    <w:p>
      <w:pPr>
        <w:spacing w:after="0" w:line="211"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After the Effective Time, shares of Common Stock held by stockholders and Public Warrants held by warrant holders, in each case that hold their shares through a broker or other nominee, will be treated in the same manner as shares held by registered stockholders or warrant holders that hold their shares or Warrants in their names. Brokers and other nominees that hold shares of Class A Common Stock or Public Warrants will be instructed to effect the Reverse Stock Split for the beneficial owners of such shares of Class A Common Stock or Public Warrants, as applicable. However, those brokers or other nominees may implement different procedures than those to be followed by registered stockholders and registered warrant holders for processing the Reverse Stock Split, particularly with respect to the treatment of fractional shares. Stockholders and warrant holders whose shares of Class A Common Stock or Public Warrants, as applicable, are held in the name of a broker or other nominee are encouraged to contact their broker or other nominee with any questions regarding the procedure of implementing the Reverse Stock Split with respect to their shares of Class A Common Stock and Public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on Registered “Book-Entry” Holders of Common Stock and Warrants</w:t>
      </w:r>
    </w:p>
    <w:p>
      <w:pPr>
        <w:spacing w:after="0" w:line="19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Registered holders of shares of Common Stock may hold some or all of their shares of Common Stock electronically in book-entry form under the direct registration system for the securities. Those stockholders will not have stock certificates evidencing their ownership of shares of Class A Common Stock or Class V Common Stock, but generally have a statement reflecting the number of shares of Class A Common Stock or Class V Common Stock registered in their accounts. Stockholders that hold registered shares of Class A Common Stock or Class V Common Stock in book-entry form do not need to take any action to receive post-Reverse Stock Split shares of Class A Common Stock or Class V Common Stock. Any such stockholder that is entitled to post-Reverse Stock Split shares of Common Stock will automatically receive, at the stockholder’s address of record, a transaction statement indicating the number of post-Reverse Stock Split shares of Class A Common Stock or Class V Common Stock held following the implementation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356" w:right="339" w:bottom="1440" w:gutter="0" w:footer="0" w:header="0"/>
        </w:sectPr>
      </w:pPr>
    </w:p>
    <w:bookmarkStart w:id="28" w:name="page29"/>
    <w:bookmarkEnd w:id="28"/>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Impact on Preferred Stock</w:t>
      </w:r>
    </w:p>
    <w:p>
      <w:pPr>
        <w:spacing w:after="0" w:line="19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The Reverse Stock Split and Authorized Share Reduction will not change the number of authorized shares of preferred stock under the Current Certificate. Likewise, the Reverse Stock Split Amendment will not impact the ability of the Company to issue preferred stock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Going-Private Transaction</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Neither the Reverse Stock Split nor the Authorized Share Reduction is intended to be a first step in a series of steps leading to a “going private transaction” pursuant to Rule 13e-3 under the Exchange Act. Implementing the Reverse Stock Split and Authorized Share Reduction would not be reasonably likely to result in, and would not have a purpose to, produce a “going private”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Anticipated Impact on Dividend</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Company has not historically paid dividends to stockholders. Although the Board reserves the right to change the Company’s dividend policy in the future, the Board does not currently anticipate that the Reverse Stock Split, if implemented by the Board, in its discretion, will result in a change to the Company’s dividend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Appraisal or Dissenters’ Rights</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Under Delaware law and the Current Certificate, holders of Common Stock will not be entitled to dissenter’s rights or appraisal rights with respect to the Reverse Stock Split Amendment.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Interests of Directors and Executive Officers</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Certain of our directors and executive officers have an interest in this Reverse Stock Split and Related Matters Proposal as a result of their ownership of shares of Common Stock and other securities that are convertible into shares of Common Stock. However, we do not believe that directors and executive officers have interests in this Reverse Stock Split and Related Matters Proposal that are different than or greater than those of any of our other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Material U.S. Federal Income Tax Consequences of the Reverse Stock Split Amendment</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following is a summary of material U.S. federal income tax consequences of the Reverse Stock Split to holders of Class A Common Stock and Class V Common Stock. This summary is based on the provisions of the Code, U.S. Treasury regulations, administrative rulings and judicial decisions, all as in effect on the date hereof, and all of which are subject to change or differing interpretations, possibly with retroactive effect. Any such change or differing interpretation could affect the tax consequences described below.</w:t>
      </w:r>
    </w:p>
    <w:p>
      <w:pPr>
        <w:spacing w:after="0" w:line="164"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We have not sought and will not seek an opinion of counsel or ruling from the Internal Revenue Service (the “</w:t>
      </w:r>
      <w:r>
        <w:rPr>
          <w:rFonts w:ascii="Times New Roman" w:cs="Times New Roman" w:eastAsia="Times New Roman" w:hAnsi="Times New Roman"/>
          <w:sz w:val="19"/>
          <w:szCs w:val="19"/>
          <w:b w:val="1"/>
          <w:bCs w:val="1"/>
          <w:i w:val="1"/>
          <w:iCs w:val="1"/>
          <w:color w:val="auto"/>
        </w:rPr>
        <w:t>IRS</w:t>
      </w:r>
      <w:r>
        <w:rPr>
          <w:rFonts w:ascii="Times New Roman" w:cs="Times New Roman" w:eastAsia="Times New Roman" w:hAnsi="Times New Roman"/>
          <w:sz w:val="19"/>
          <w:szCs w:val="19"/>
          <w:color w:val="auto"/>
        </w:rPr>
        <w:t>”) with respect to the statements made and the conclusions reached in the following summary, and there can be no assurance that the IRS or a court will agree with such statements and conclusions.</w:t>
      </w:r>
    </w:p>
    <w:p>
      <w:pPr>
        <w:spacing w:after="0" w:line="17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This summary is limited to holders of Class A Common Stock and Class V Common Stock that are U.S. holders, as defined below, and that hold Class A Common Stock or Class V Common Stock as a capital asset (generally, property held for investment).</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summary is for general information only and does not address all U.S. federal income tax considerations that may be applicable to a holder’s particular circumstances or to holders that may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36" w:lineRule="auto"/>
        <w:rPr>
          <w:sz w:val="20"/>
          <w:szCs w:val="20"/>
          <w:color w:val="auto"/>
        </w:rPr>
      </w:pPr>
      <w:r>
        <w:rPr>
          <w:rFonts w:ascii="Times New Roman" w:cs="Times New Roman" w:eastAsia="Times New Roman" w:hAnsi="Times New Roman"/>
          <w:sz w:val="19"/>
          <w:szCs w:val="19"/>
          <w:color w:val="auto"/>
        </w:rPr>
        <w:t>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United States, insurance companies, persons holding shares of Class A Common Stock or Class V Common Stock as part of a hedging, integrated, or conversion transaction or a straddle or persons deemed to sell shares of Class A Common Stock or Class V Common Stock under the constructive sale provisions of the Code, persons that hold more than 5% of the outstanding Class A Common Stock or Class V Common Stock, persons that hold Class A Common Stock or Class V Common Stock in an individual retirement account, 401(k) plan or similar tax-favored account, or partnerships or other pass-through entities for U.S. federal income tax purposes and investors in such entities. This summary does not address any U.S. federal tax consequences other than U.S. federal income tax consequences (such as estate or gift tax consequences), the Medicare tax on net investment income, the alternative minimum tax or any U.S. state, local or foreign tax consequences.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For purposes of this summary, a “U.S. holder” means a beneficial owner of Class A Common Stock, Class V Common Stock that is,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federal income tax purposes:</w:t>
      </w:r>
    </w:p>
    <w:p>
      <w:pPr>
        <w:spacing w:after="0" w:line="174"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individual who is a citizen or resident of the United States;</w:t>
      </w:r>
    </w:p>
    <w:p>
      <w:pPr>
        <w:spacing w:after="0" w:line="7"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corporation created or organized in or under the laws of the United States, any state thereof or the District of Columbia;</w:t>
      </w:r>
    </w:p>
    <w:p>
      <w:pPr>
        <w:ind w:left="620" w:hanging="307"/>
        <w:spacing w:after="0" w:line="226" w:lineRule="auto"/>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estate the income of which is subject to U.S. federal income taxation regardless of its source; or</w:t>
      </w:r>
    </w:p>
    <w:p>
      <w:pPr>
        <w:jc w:val="both"/>
        <w:ind w:left="620" w:hanging="307"/>
        <w:spacing w:after="0" w:line="237"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 if (1) it is subject to the primary supervision of a court within the United States and one or more U.S. persons have the authority to control all substantial decisions of the trust, or (2) it has a valid election in effect under applicable U.S. Treasury regulations to be treated as a U.S. person.</w:t>
      </w:r>
    </w:p>
    <w:p>
      <w:pPr>
        <w:spacing w:after="0" w:line="18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If an entity (or arrangement) classified as a partnership for U.S. federal income tax purposes holds shares of Class A Common Stock or Class V Common Stock, the tax treatment of a partner in the partnership will generally depend upon the status of the partner and the activities of the partnership. If a holder of Class A Common Stock or Class V Common Stock is a partner of a partnership holding shares of Class A Common Stock or Class V Common Stock, as applicable, such holder should consult his or her own tax advisor.</w:t>
      </w:r>
    </w:p>
    <w:p>
      <w:pPr>
        <w:spacing w:after="0" w:line="17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This summary of certain U.S. federal income tax consequences is for general information only and is not tax advice. Holders of Class A Common Stock and Class V Common Stock are urged to consult their own tax advisor with respect to the application of United States federal income tax laws to their particular situation as well as any tax considerations arising under other United States federal tax laws (such as the estate or gift tax laws) or under the laws of any state, local, foreign or other taxing jurisdiction or under any applicable tax treaty.</w:t>
      </w:r>
    </w:p>
    <w:p>
      <w:pPr>
        <w:spacing w:after="0" w:line="16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The Reverse Stock Split is intended to be treated as a “recapitalization” for U.S. federal income tax purposes under Section 368(a)(1)(E) of the Internal Revenue Code of 1986, as amended.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our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our Common Stock surrendered in the Reverse Stock Split in exchange therefor.</w:t>
      </w:r>
    </w:p>
    <w:p>
      <w:pPr>
        <w:spacing w:after="0" w:line="17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In general, a U.S. holder who receives a cash payment in lieu of a fractional share will recognize capital gain or loss equal to the difference between the amount of cash received in lieu of the fractional share and the portion of the U.S. holder’s tax basis of our Common Stock surrendered in the Reverse Stock Split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356" w:right="339" w:bottom="1440" w:gutter="0" w:footer="0" w:header="0"/>
        </w:sectPr>
      </w:pPr>
    </w:p>
    <w:bookmarkStart w:id="30" w:name="page31"/>
    <w:bookmarkEnd w:id="30"/>
    <w:p>
      <w:pPr>
        <w:jc w:val="both"/>
        <w:spacing w:after="0" w:line="247" w:lineRule="auto"/>
        <w:rPr>
          <w:sz w:val="20"/>
          <w:szCs w:val="20"/>
          <w:color w:val="auto"/>
        </w:rPr>
      </w:pPr>
      <w:r>
        <w:rPr>
          <w:rFonts w:ascii="Times New Roman" w:cs="Times New Roman" w:eastAsia="Times New Roman" w:hAnsi="Times New Roman"/>
          <w:sz w:val="19"/>
          <w:szCs w:val="19"/>
          <w:color w:val="auto"/>
        </w:rPr>
        <w:t>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w:t>
      </w:r>
    </w:p>
    <w:p>
      <w:pPr>
        <w:spacing w:after="0" w:line="16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U.S. holders that have acquired different blocks of Class A Common Stock or Class V Common Stock at different times or at different prices are urged to consult their own tax advisors regarding the allocation of their aggregated adjusted basis among, and the holding period of, Class A Common Stock or Class V Common Stock.</w:t>
      </w:r>
    </w:p>
    <w:p>
      <w:pPr>
        <w:spacing w:after="0" w:line="17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Information returns generally will be required to be filed with the IRS with respect to the payment of cash in lieu of a fractional share made pursuant to the Reverse Stock Split unless such U.S. holder is an exempt recipient and timely and properly establishes the exemption. In addition, payments of cash in lieu of a fractional share made pursuant to the Reverse Stock Split may, under certain circumstances, be subject to backup withholding, unless a U.S. holder timely provides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Vote Required</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affirmative vote of a majority of the voting power of the outstanding shares of our capital stock as of the record date will be required to approve this Reverse Stock Split and Related Matters. In addition, the Company will not proceed with the Reverse Stock Split Amendment without also obtaining the affirmative vote of a majority of the voting power of the outstanding shares of Class A Common Stock and Class V Common Stock, in each case, as of the record date, voting separately on a class basis. Any abstentions or “broker non-votes”, or failing to vote by ballot at the Special Meeting or proxy, will have the same effect as votes against this Reverse Stock Split and Related Matters Proposal.</w:t>
      </w:r>
    </w:p>
    <w:p>
      <w:pPr>
        <w:spacing w:after="0" w:line="16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9"/>
          <w:szCs w:val="19"/>
          <w:b w:val="1"/>
          <w:bCs w:val="1"/>
          <w:color w:val="auto"/>
        </w:rPr>
        <w:t>EVERY VOTE MATTERS. THE BOARD OF DIRECTORS RECOMMENDS A VOTE “FOR” APPROVAL OF THE REVERSE STOCK SPLIT AND RELATED MATTERS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56"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9"/>
          <w:szCs w:val="19"/>
          <w:b w:val="1"/>
          <w:bCs w:val="1"/>
          <w:color w:val="auto"/>
        </w:rPr>
        <w:t>SECURITY OWNERSHIP OF CERTAIN BENEFICIAL OWNERS, DIRECTORS AND MANAGEMENT</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the beneficial ownership of our common stock as of March 21, 2024 by:</w:t>
      </w:r>
    </w:p>
    <w:p>
      <w:pPr>
        <w:spacing w:after="0" w:line="207" w:lineRule="exact"/>
        <w:rPr>
          <w:sz w:val="20"/>
          <w:szCs w:val="20"/>
          <w:color w:val="auto"/>
        </w:rPr>
      </w:pPr>
    </w:p>
    <w:p>
      <w:pPr>
        <w:ind w:left="1220" w:hanging="289"/>
        <w:spacing w:after="0"/>
        <w:tabs>
          <w:tab w:leader="none" w:pos="12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or group of affiliated persons, known by us to beneficially own more than 5% of our common stock;</w:t>
      </w:r>
    </w:p>
    <w:p>
      <w:pPr>
        <w:spacing w:after="0" w:line="7"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named executive officers;</w:t>
      </w:r>
    </w:p>
    <w:p>
      <w:pPr>
        <w:ind w:left="1220" w:hanging="289"/>
        <w:spacing w:after="0" w:line="226" w:lineRule="auto"/>
        <w:tabs>
          <w:tab w:leader="none" w:pos="12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directors; and</w:t>
      </w:r>
    </w:p>
    <w:p>
      <w:pPr>
        <w:ind w:left="1220" w:hanging="289"/>
        <w:spacing w:after="0"/>
        <w:tabs>
          <w:tab w:leader="none" w:pos="12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executive officers and directors as a group.</w:t>
      </w:r>
    </w:p>
    <w:p>
      <w:pPr>
        <w:spacing w:after="0" w:line="18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7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We have based our calculation of the percentage of beneficial ownership on (1) 141,798,069 shares of our Class A common stock and (2) 179,883,479 shares of Class V common stock, each outstanding as of March 21, 2024. We have deemed shares of our common stock subject to stock options that are currently exercisable or exercisable within 60 days of March 21, 2024 or issuable pursuant to RSUs which are subject to vesting and settlement conditions expected to occur within 60 days of March 21, 2024,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8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Unless otherwise indicated, the address for each person or entity listed in the table is c/o Bakkt Holdings, Inc., 10000 Avalon Boulevard, Suite 1000, Alpharetta, Georgia 30009.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52"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98"/>
        </w:trPr>
        <w:tc>
          <w:tcPr>
            <w:tcW w:w="2220" w:type="dxa"/>
            <w:vAlign w:val="bottom"/>
            <w:tcBorders>
              <w:top w:val="single" w:sz="8" w:color="auto"/>
              <w:left w:val="single" w:sz="8" w:color="auto"/>
            </w:tcBorders>
            <w:shd w:val="clear" w:color="auto" w:fill="B8CCE4"/>
          </w:tcPr>
          <w:p>
            <w:pPr>
              <w:spacing w:after="0"/>
              <w:rPr>
                <w:sz w:val="17"/>
                <w:szCs w:val="17"/>
                <w:color w:val="auto"/>
              </w:rPr>
            </w:pPr>
          </w:p>
        </w:tc>
        <w:tc>
          <w:tcPr>
            <w:tcW w:w="1580" w:type="dxa"/>
            <w:vAlign w:val="bottom"/>
            <w:tcBorders>
              <w:top w:val="single" w:sz="8" w:color="auto"/>
            </w:tcBorders>
            <w:shd w:val="clear" w:color="auto" w:fill="B8CCE4"/>
          </w:tcPr>
          <w:p>
            <w:pPr>
              <w:spacing w:after="0"/>
              <w:rPr>
                <w:sz w:val="17"/>
                <w:szCs w:val="17"/>
                <w:color w:val="auto"/>
              </w:rPr>
            </w:pPr>
          </w:p>
        </w:tc>
        <w:tc>
          <w:tcPr>
            <w:tcW w:w="1460" w:type="dxa"/>
            <w:vAlign w:val="bottom"/>
            <w:tcBorders>
              <w:top w:val="single" w:sz="8" w:color="auto"/>
            </w:tcBorders>
            <w:shd w:val="clear" w:color="auto" w:fill="B8CCE4"/>
          </w:tcPr>
          <w:p>
            <w:pPr>
              <w:spacing w:after="0"/>
              <w:rPr>
                <w:sz w:val="17"/>
                <w:szCs w:val="17"/>
                <w:color w:val="auto"/>
              </w:rPr>
            </w:pPr>
          </w:p>
        </w:tc>
        <w:tc>
          <w:tcPr>
            <w:tcW w:w="1620" w:type="dxa"/>
            <w:vAlign w:val="bottom"/>
            <w:tcBorders>
              <w:top w:val="single" w:sz="8" w:color="auto"/>
            </w:tcBorders>
            <w:shd w:val="clear" w:color="auto" w:fill="B8CCE4"/>
          </w:tcPr>
          <w:p>
            <w:pPr>
              <w:spacing w:after="0"/>
              <w:rPr>
                <w:sz w:val="17"/>
                <w:szCs w:val="17"/>
                <w:color w:val="auto"/>
              </w:rPr>
            </w:pPr>
          </w:p>
        </w:tc>
        <w:tc>
          <w:tcPr>
            <w:tcW w:w="1380" w:type="dxa"/>
            <w:vAlign w:val="bottom"/>
            <w:tcBorders>
              <w:top w:val="single" w:sz="8" w:color="auto"/>
            </w:tcBorders>
            <w:shd w:val="clear" w:color="auto" w:fill="B8CCE4"/>
          </w:tcPr>
          <w:p>
            <w:pPr>
              <w:spacing w:after="0"/>
              <w:rPr>
                <w:sz w:val="17"/>
                <w:szCs w:val="17"/>
                <w:color w:val="auto"/>
              </w:rPr>
            </w:pPr>
          </w:p>
        </w:tc>
        <w:tc>
          <w:tcPr>
            <w:tcW w:w="1500" w:type="dxa"/>
            <w:vAlign w:val="bottom"/>
            <w:tcBorders>
              <w:top w:val="single" w:sz="8" w:color="auto"/>
            </w:tcBorders>
            <w:shd w:val="clear" w:color="auto" w:fill="B8CCE4"/>
          </w:tcPr>
          <w:p>
            <w:pPr>
              <w:jc w:val="center"/>
              <w:spacing w:after="0" w:line="198" w:lineRule="exact"/>
              <w:rPr>
                <w:sz w:val="20"/>
                <w:szCs w:val="20"/>
                <w:color w:val="auto"/>
              </w:rPr>
            </w:pPr>
            <w:r>
              <w:rPr>
                <w:rFonts w:ascii="Times New Roman" w:cs="Times New Roman" w:eastAsia="Times New Roman" w:hAnsi="Times New Roman"/>
                <w:sz w:val="19"/>
                <w:szCs w:val="19"/>
                <w:color w:val="auto"/>
                <w:w w:val="98"/>
              </w:rPr>
              <w:t>Total Number of</w:t>
            </w:r>
          </w:p>
        </w:tc>
        <w:tc>
          <w:tcPr>
            <w:tcW w:w="1500" w:type="dxa"/>
            <w:vAlign w:val="bottom"/>
            <w:tcBorders>
              <w:top w:val="single" w:sz="8" w:color="auto"/>
              <w:right w:val="single" w:sz="8" w:color="auto"/>
            </w:tcBorders>
            <w:shd w:val="clear" w:color="auto" w:fill="B8CCE4"/>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shd w:val="clear" w:color="auto" w:fill="B8CCE4"/>
          </w:tcPr>
          <w:p>
            <w:pPr>
              <w:spacing w:after="0"/>
              <w:rPr>
                <w:sz w:val="16"/>
                <w:szCs w:val="16"/>
                <w:color w:val="auto"/>
              </w:rPr>
            </w:pPr>
          </w:p>
        </w:tc>
        <w:tc>
          <w:tcPr>
            <w:tcW w:w="1580" w:type="dxa"/>
            <w:vAlign w:val="bottom"/>
            <w:vMerge w:val="restart"/>
            <w:shd w:val="clear" w:color="auto" w:fill="B8CCE4"/>
          </w:tcPr>
          <w:p>
            <w:pPr>
              <w:jc w:val="center"/>
              <w:spacing w:after="0"/>
              <w:rPr>
                <w:sz w:val="20"/>
                <w:szCs w:val="20"/>
                <w:color w:val="auto"/>
              </w:rPr>
            </w:pPr>
            <w:r>
              <w:rPr>
                <w:rFonts w:ascii="Times New Roman" w:cs="Times New Roman" w:eastAsia="Times New Roman" w:hAnsi="Times New Roman"/>
                <w:sz w:val="19"/>
                <w:szCs w:val="19"/>
                <w:color w:val="auto"/>
                <w:w w:val="98"/>
              </w:rPr>
              <w:t>Number of</w:t>
            </w:r>
          </w:p>
        </w:tc>
        <w:tc>
          <w:tcPr>
            <w:tcW w:w="1460" w:type="dxa"/>
            <w:vAlign w:val="bottom"/>
            <w:shd w:val="clear" w:color="auto" w:fill="B8CCE4"/>
          </w:tcPr>
          <w:p>
            <w:pPr>
              <w:spacing w:after="0"/>
              <w:rPr>
                <w:sz w:val="16"/>
                <w:szCs w:val="16"/>
                <w:color w:val="auto"/>
              </w:rPr>
            </w:pPr>
          </w:p>
        </w:tc>
        <w:tc>
          <w:tcPr>
            <w:tcW w:w="1620" w:type="dxa"/>
            <w:vAlign w:val="bottom"/>
            <w:shd w:val="clear" w:color="auto" w:fill="B8CCE4"/>
          </w:tcPr>
          <w:p>
            <w:pPr>
              <w:spacing w:after="0"/>
              <w:rPr>
                <w:sz w:val="16"/>
                <w:szCs w:val="16"/>
                <w:color w:val="auto"/>
              </w:rPr>
            </w:pPr>
          </w:p>
        </w:tc>
        <w:tc>
          <w:tcPr>
            <w:tcW w:w="1380" w:type="dxa"/>
            <w:vAlign w:val="bottom"/>
            <w:shd w:val="clear" w:color="auto" w:fill="B8CCE4"/>
          </w:tcPr>
          <w:p>
            <w:pPr>
              <w:spacing w:after="0"/>
              <w:rPr>
                <w:sz w:val="16"/>
                <w:szCs w:val="16"/>
                <w:color w:val="auto"/>
              </w:rPr>
            </w:pPr>
          </w:p>
        </w:tc>
        <w:tc>
          <w:tcPr>
            <w:tcW w:w="150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rPr>
              <w:t>Shares of Class A</w:t>
            </w:r>
          </w:p>
        </w:tc>
        <w:tc>
          <w:tcPr>
            <w:tcW w:w="1500" w:type="dxa"/>
            <w:vAlign w:val="bottom"/>
            <w:tcBorders>
              <w:right w:val="single" w:sz="8" w:color="auto"/>
            </w:tcBorders>
            <w:shd w:val="clear" w:color="auto" w:fill="B8CC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20" w:type="dxa"/>
            <w:vAlign w:val="bottom"/>
            <w:tcBorders>
              <w:left w:val="single" w:sz="8" w:color="auto"/>
            </w:tcBorders>
            <w:shd w:val="clear" w:color="auto" w:fill="B8CCE4"/>
          </w:tcPr>
          <w:p>
            <w:pPr>
              <w:spacing w:after="0"/>
              <w:rPr>
                <w:sz w:val="16"/>
                <w:szCs w:val="16"/>
                <w:color w:val="auto"/>
              </w:rPr>
            </w:pPr>
          </w:p>
        </w:tc>
        <w:tc>
          <w:tcPr>
            <w:tcW w:w="1580" w:type="dxa"/>
            <w:vAlign w:val="bottom"/>
            <w:vMerge w:val="continue"/>
            <w:shd w:val="clear" w:color="auto" w:fill="B8CCE4"/>
          </w:tcPr>
          <w:p>
            <w:pPr>
              <w:spacing w:after="0"/>
              <w:rPr>
                <w:sz w:val="16"/>
                <w:szCs w:val="16"/>
                <w:color w:val="auto"/>
              </w:rPr>
            </w:pPr>
          </w:p>
        </w:tc>
        <w:tc>
          <w:tcPr>
            <w:tcW w:w="1460" w:type="dxa"/>
            <w:vAlign w:val="bottom"/>
            <w:vMerge w:val="restart"/>
            <w:shd w:val="clear" w:color="auto" w:fill="B8CCE4"/>
          </w:tcPr>
          <w:p>
            <w:pPr>
              <w:jc w:val="right"/>
              <w:ind w:right="166"/>
              <w:spacing w:after="0"/>
              <w:rPr>
                <w:sz w:val="20"/>
                <w:szCs w:val="20"/>
                <w:color w:val="auto"/>
              </w:rPr>
            </w:pPr>
            <w:r>
              <w:rPr>
                <w:rFonts w:ascii="Times New Roman" w:cs="Times New Roman" w:eastAsia="Times New Roman" w:hAnsi="Times New Roman"/>
                <w:sz w:val="19"/>
                <w:szCs w:val="19"/>
                <w:color w:val="auto"/>
              </w:rPr>
              <w:t>% of Class A</w:t>
            </w:r>
          </w:p>
        </w:tc>
        <w:tc>
          <w:tcPr>
            <w:tcW w:w="1620" w:type="dxa"/>
            <w:vAlign w:val="bottom"/>
            <w:vMerge w:val="restart"/>
            <w:shd w:val="clear" w:color="auto" w:fill="B8CCE4"/>
          </w:tcPr>
          <w:p>
            <w:pPr>
              <w:jc w:val="right"/>
              <w:ind w:right="106"/>
              <w:spacing w:after="0"/>
              <w:rPr>
                <w:sz w:val="20"/>
                <w:szCs w:val="20"/>
                <w:color w:val="auto"/>
              </w:rPr>
            </w:pPr>
            <w:r>
              <w:rPr>
                <w:rFonts w:ascii="Times New Roman" w:cs="Times New Roman" w:eastAsia="Times New Roman" w:hAnsi="Times New Roman"/>
                <w:sz w:val="19"/>
                <w:szCs w:val="19"/>
                <w:color w:val="auto"/>
              </w:rPr>
              <w:t>Number of Paired</w:t>
            </w:r>
          </w:p>
        </w:tc>
        <w:tc>
          <w:tcPr>
            <w:tcW w:w="1380" w:type="dxa"/>
            <w:vAlign w:val="bottom"/>
            <w:vMerge w:val="restart"/>
            <w:shd w:val="clear" w:color="auto" w:fill="B8CCE4"/>
          </w:tcPr>
          <w:p>
            <w:pPr>
              <w:jc w:val="right"/>
              <w:ind w:right="206"/>
              <w:spacing w:after="0"/>
              <w:rPr>
                <w:sz w:val="20"/>
                <w:szCs w:val="20"/>
                <w:color w:val="auto"/>
              </w:rPr>
            </w:pPr>
            <w:r>
              <w:rPr>
                <w:rFonts w:ascii="Times New Roman" w:cs="Times New Roman" w:eastAsia="Times New Roman" w:hAnsi="Times New Roman"/>
                <w:sz w:val="19"/>
                <w:szCs w:val="19"/>
                <w:color w:val="auto"/>
              </w:rPr>
              <w:t>% of Paired</w:t>
            </w:r>
          </w:p>
        </w:tc>
        <w:tc>
          <w:tcPr>
            <w:tcW w:w="1500" w:type="dxa"/>
            <w:vAlign w:val="bottom"/>
            <w:shd w:val="clear" w:color="auto" w:fill="B8CCE4"/>
          </w:tcPr>
          <w:p>
            <w:pPr>
              <w:jc w:val="center"/>
              <w:spacing w:after="0" w:line="185" w:lineRule="exact"/>
              <w:rPr>
                <w:sz w:val="20"/>
                <w:szCs w:val="20"/>
                <w:color w:val="auto"/>
              </w:rPr>
            </w:pPr>
            <w:r>
              <w:rPr>
                <w:rFonts w:ascii="Times New Roman" w:cs="Times New Roman" w:eastAsia="Times New Roman" w:hAnsi="Times New Roman"/>
                <w:sz w:val="19"/>
                <w:szCs w:val="19"/>
                <w:color w:val="auto"/>
                <w:w w:val="99"/>
              </w:rPr>
              <w:t>Common Stock</w:t>
            </w:r>
          </w:p>
        </w:tc>
        <w:tc>
          <w:tcPr>
            <w:tcW w:w="1500" w:type="dxa"/>
            <w:vAlign w:val="bottom"/>
            <w:tcBorders>
              <w:right w:val="single" w:sz="8" w:color="auto"/>
            </w:tcBorders>
            <w:vMerge w:val="restart"/>
            <w:shd w:val="clear" w:color="auto" w:fill="B8CCE4"/>
          </w:tcPr>
          <w:p>
            <w:pPr>
              <w:jc w:val="right"/>
              <w:ind w:right="6"/>
              <w:spacing w:after="0"/>
              <w:rPr>
                <w:sz w:val="20"/>
                <w:szCs w:val="20"/>
                <w:color w:val="auto"/>
              </w:rPr>
            </w:pPr>
            <w:r>
              <w:rPr>
                <w:rFonts w:ascii="Times New Roman" w:cs="Times New Roman" w:eastAsia="Times New Roman" w:hAnsi="Times New Roman"/>
                <w:sz w:val="19"/>
                <w:szCs w:val="19"/>
                <w:color w:val="auto"/>
                <w:w w:val="99"/>
              </w:rPr>
              <w:t>% of Total Voting</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vMerge w:val="restart"/>
            <w:shd w:val="clear" w:color="auto" w:fill="B8CCE4"/>
          </w:tcPr>
          <w:p>
            <w:pPr>
              <w:ind w:left="80"/>
              <w:spacing w:after="0"/>
              <w:rPr>
                <w:sz w:val="20"/>
                <w:szCs w:val="20"/>
                <w:color w:val="auto"/>
              </w:rPr>
            </w:pPr>
            <w:r>
              <w:rPr>
                <w:rFonts w:ascii="Times New Roman" w:cs="Times New Roman" w:eastAsia="Times New Roman" w:hAnsi="Times New Roman"/>
                <w:sz w:val="19"/>
                <w:szCs w:val="19"/>
                <w:color w:val="auto"/>
              </w:rPr>
              <w:t>Name of Beneficial Owner</w:t>
            </w:r>
          </w:p>
        </w:tc>
        <w:tc>
          <w:tcPr>
            <w:tcW w:w="158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w w:val="98"/>
              </w:rPr>
              <w:t>Shares of Class A</w:t>
            </w:r>
          </w:p>
        </w:tc>
        <w:tc>
          <w:tcPr>
            <w:tcW w:w="1460" w:type="dxa"/>
            <w:vAlign w:val="bottom"/>
            <w:vMerge w:val="continue"/>
            <w:shd w:val="clear" w:color="auto" w:fill="B8CCE4"/>
          </w:tcPr>
          <w:p>
            <w:pPr>
              <w:spacing w:after="0"/>
              <w:rPr>
                <w:sz w:val="16"/>
                <w:szCs w:val="16"/>
                <w:color w:val="auto"/>
              </w:rPr>
            </w:pPr>
          </w:p>
        </w:tc>
        <w:tc>
          <w:tcPr>
            <w:tcW w:w="1620" w:type="dxa"/>
            <w:vAlign w:val="bottom"/>
            <w:vMerge w:val="continue"/>
            <w:shd w:val="clear" w:color="auto" w:fill="B8CCE4"/>
          </w:tcPr>
          <w:p>
            <w:pPr>
              <w:spacing w:after="0"/>
              <w:rPr>
                <w:sz w:val="16"/>
                <w:szCs w:val="16"/>
                <w:color w:val="auto"/>
              </w:rPr>
            </w:pPr>
          </w:p>
        </w:tc>
        <w:tc>
          <w:tcPr>
            <w:tcW w:w="1380" w:type="dxa"/>
            <w:vAlign w:val="bottom"/>
            <w:vMerge w:val="continue"/>
            <w:shd w:val="clear" w:color="auto" w:fill="B8CCE4"/>
          </w:tcPr>
          <w:p>
            <w:pPr>
              <w:spacing w:after="0"/>
              <w:rPr>
                <w:sz w:val="16"/>
                <w:szCs w:val="16"/>
                <w:color w:val="auto"/>
              </w:rPr>
            </w:pPr>
          </w:p>
        </w:tc>
        <w:tc>
          <w:tcPr>
            <w:tcW w:w="150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rPr>
              <w:t>and Class V</w:t>
            </w:r>
          </w:p>
        </w:tc>
        <w:tc>
          <w:tcPr>
            <w:tcW w:w="1500" w:type="dxa"/>
            <w:vAlign w:val="bottom"/>
            <w:tcBorders>
              <w:right w:val="single" w:sz="8" w:color="auto"/>
            </w:tcBorders>
            <w:vMerge w:val="continue"/>
            <w:shd w:val="clear" w:color="auto" w:fill="B8CCE4"/>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20" w:type="dxa"/>
            <w:vAlign w:val="bottom"/>
            <w:tcBorders>
              <w:left w:val="single" w:sz="8" w:color="auto"/>
              <w:bottom w:val="single" w:sz="8" w:color="auto"/>
            </w:tcBorders>
            <w:vMerge w:val="continue"/>
            <w:shd w:val="clear" w:color="auto" w:fill="B8CCE4"/>
          </w:tcPr>
          <w:p>
            <w:pPr>
              <w:spacing w:after="0"/>
              <w:rPr>
                <w:sz w:val="21"/>
                <w:szCs w:val="21"/>
                <w:color w:val="auto"/>
              </w:rPr>
            </w:pPr>
          </w:p>
        </w:tc>
        <w:tc>
          <w:tcPr>
            <w:tcW w:w="1580" w:type="dxa"/>
            <w:vAlign w:val="bottom"/>
            <w:tcBorders>
              <w:bottom w:val="single" w:sz="8" w:color="auto"/>
            </w:tcBorders>
            <w:shd w:val="clear" w:color="auto" w:fill="B8CCE4"/>
          </w:tcPr>
          <w:p>
            <w:pPr>
              <w:jc w:val="center"/>
              <w:spacing w:after="0" w:line="245" w:lineRule="exact"/>
              <w:rPr>
                <w:sz w:val="20"/>
                <w:szCs w:val="20"/>
                <w:color w:val="auto"/>
              </w:rPr>
            </w:pPr>
            <w:r>
              <w:rPr>
                <w:rFonts w:ascii="Times New Roman" w:cs="Times New Roman" w:eastAsia="Times New Roman" w:hAnsi="Times New Roman"/>
                <w:sz w:val="19"/>
                <w:szCs w:val="19"/>
                <w:color w:val="auto"/>
                <w:w w:val="96"/>
              </w:rPr>
              <w:t>Common Stock</w:t>
            </w:r>
            <w:r>
              <w:rPr>
                <w:rFonts w:ascii="Times New Roman" w:cs="Times New Roman" w:eastAsia="Times New Roman" w:hAnsi="Times New Roman"/>
                <w:sz w:val="24"/>
                <w:szCs w:val="24"/>
                <w:color w:val="auto"/>
                <w:w w:val="96"/>
                <w:vertAlign w:val="superscript"/>
              </w:rPr>
              <w:t>(1)</w:t>
            </w:r>
          </w:p>
        </w:tc>
        <w:tc>
          <w:tcPr>
            <w:tcW w:w="1460" w:type="dxa"/>
            <w:vAlign w:val="bottom"/>
            <w:tcBorders>
              <w:bottom w:val="single" w:sz="8" w:color="auto"/>
            </w:tcBorders>
            <w:shd w:val="clear" w:color="auto" w:fill="B8CCE4"/>
          </w:tcPr>
          <w:p>
            <w:pPr>
              <w:jc w:val="right"/>
              <w:ind w:right="66"/>
              <w:spacing w:after="0"/>
              <w:rPr>
                <w:sz w:val="20"/>
                <w:szCs w:val="20"/>
                <w:color w:val="auto"/>
              </w:rPr>
            </w:pPr>
            <w:r>
              <w:rPr>
                <w:rFonts w:ascii="Times New Roman" w:cs="Times New Roman" w:eastAsia="Times New Roman" w:hAnsi="Times New Roman"/>
                <w:sz w:val="19"/>
                <w:szCs w:val="19"/>
                <w:color w:val="auto"/>
              </w:rPr>
              <w:t>Common Stock</w:t>
            </w:r>
          </w:p>
        </w:tc>
        <w:tc>
          <w:tcPr>
            <w:tcW w:w="1620" w:type="dxa"/>
            <w:vAlign w:val="bottom"/>
            <w:tcBorders>
              <w:bottom w:val="single" w:sz="8" w:color="auto"/>
            </w:tcBorders>
            <w:shd w:val="clear" w:color="auto" w:fill="B8CCE4"/>
          </w:tcPr>
          <w:p>
            <w:pPr>
              <w:jc w:val="right"/>
              <w:ind w:right="386"/>
              <w:spacing w:after="0" w:line="245" w:lineRule="exact"/>
              <w:rPr>
                <w:sz w:val="20"/>
                <w:szCs w:val="20"/>
                <w:color w:val="auto"/>
              </w:rPr>
            </w:pPr>
            <w:r>
              <w:rPr>
                <w:rFonts w:ascii="Times New Roman" w:cs="Times New Roman" w:eastAsia="Times New Roman" w:hAnsi="Times New Roman"/>
                <w:sz w:val="19"/>
                <w:szCs w:val="19"/>
                <w:color w:val="auto"/>
              </w:rPr>
              <w:t>Interests</w:t>
            </w:r>
            <w:r>
              <w:rPr>
                <w:rFonts w:ascii="Times New Roman" w:cs="Times New Roman" w:eastAsia="Times New Roman" w:hAnsi="Times New Roman"/>
                <w:sz w:val="24"/>
                <w:szCs w:val="24"/>
                <w:color w:val="auto"/>
                <w:vertAlign w:val="superscript"/>
              </w:rPr>
              <w:t>(2)</w:t>
            </w:r>
          </w:p>
        </w:tc>
        <w:tc>
          <w:tcPr>
            <w:tcW w:w="1380" w:type="dxa"/>
            <w:vAlign w:val="bottom"/>
            <w:tcBorders>
              <w:bottom w:val="single" w:sz="8" w:color="auto"/>
            </w:tcBorders>
            <w:shd w:val="clear" w:color="auto" w:fill="B8CCE4"/>
          </w:tcPr>
          <w:p>
            <w:pPr>
              <w:jc w:val="right"/>
              <w:ind w:right="346"/>
              <w:spacing w:after="0"/>
              <w:rPr>
                <w:sz w:val="20"/>
                <w:szCs w:val="20"/>
                <w:color w:val="auto"/>
              </w:rPr>
            </w:pPr>
            <w:r>
              <w:rPr>
                <w:rFonts w:ascii="Times New Roman" w:cs="Times New Roman" w:eastAsia="Times New Roman" w:hAnsi="Times New Roman"/>
                <w:sz w:val="19"/>
                <w:szCs w:val="19"/>
                <w:color w:val="auto"/>
              </w:rPr>
              <w:t>Interests</w:t>
            </w:r>
          </w:p>
        </w:tc>
        <w:tc>
          <w:tcPr>
            <w:tcW w:w="1500" w:type="dxa"/>
            <w:vAlign w:val="bottom"/>
            <w:tcBorders>
              <w:bottom w:val="single" w:sz="8" w:color="auto"/>
            </w:tcBorders>
            <w:shd w:val="clear" w:color="auto" w:fill="B8CCE4"/>
          </w:tcPr>
          <w:p>
            <w:pPr>
              <w:jc w:val="center"/>
              <w:spacing w:after="0"/>
              <w:rPr>
                <w:sz w:val="20"/>
                <w:szCs w:val="20"/>
                <w:color w:val="auto"/>
              </w:rPr>
            </w:pPr>
            <w:r>
              <w:rPr>
                <w:rFonts w:ascii="Times New Roman" w:cs="Times New Roman" w:eastAsia="Times New Roman" w:hAnsi="Times New Roman"/>
                <w:sz w:val="19"/>
                <w:szCs w:val="19"/>
                <w:color w:val="auto"/>
                <w:w w:val="99"/>
              </w:rPr>
              <w:t>Common Stock</w:t>
            </w:r>
          </w:p>
        </w:tc>
        <w:tc>
          <w:tcPr>
            <w:tcW w:w="1500" w:type="dxa"/>
            <w:vAlign w:val="bottom"/>
            <w:tcBorders>
              <w:bottom w:val="single" w:sz="8" w:color="auto"/>
              <w:right w:val="single" w:sz="8" w:color="auto"/>
            </w:tcBorders>
            <w:shd w:val="clear" w:color="auto" w:fill="B8CCE4"/>
          </w:tcPr>
          <w:p>
            <w:pPr>
              <w:jc w:val="right"/>
              <w:ind w:right="346"/>
              <w:spacing w:after="0" w:line="245" w:lineRule="exact"/>
              <w:rPr>
                <w:sz w:val="20"/>
                <w:szCs w:val="20"/>
                <w:color w:val="auto"/>
              </w:rPr>
            </w:pPr>
            <w:r>
              <w:rPr>
                <w:rFonts w:ascii="Times New Roman" w:cs="Times New Roman" w:eastAsia="Times New Roman" w:hAnsi="Times New Roman"/>
                <w:sz w:val="19"/>
                <w:szCs w:val="19"/>
                <w:color w:val="auto"/>
              </w:rPr>
              <w:t>Power</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38"/>
        </w:trPr>
        <w:tc>
          <w:tcPr>
            <w:tcW w:w="3800" w:type="dxa"/>
            <w:vAlign w:val="bottom"/>
            <w:tcBorders>
              <w:left w:val="single" w:sz="8" w:color="auto"/>
              <w:bottom w:val="single" w:sz="8" w:color="auto"/>
            </w:tcBorders>
            <w:gridSpan w:val="2"/>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Greater than 5% Stockholders:</w:t>
            </w:r>
          </w:p>
        </w:tc>
        <w:tc>
          <w:tcPr>
            <w:tcW w:w="1460" w:type="dxa"/>
            <w:vAlign w:val="bottom"/>
            <w:tcBorders>
              <w:bottom w:val="single" w:sz="8" w:color="auto"/>
            </w:tcBorders>
            <w:shd w:val="clear" w:color="auto" w:fill="DBE5F1"/>
          </w:tcPr>
          <w:p>
            <w:pPr>
              <w:spacing w:after="0"/>
              <w:rPr>
                <w:sz w:val="20"/>
                <w:szCs w:val="20"/>
                <w:color w:val="auto"/>
              </w:rPr>
            </w:pPr>
          </w:p>
        </w:tc>
        <w:tc>
          <w:tcPr>
            <w:tcW w:w="1620" w:type="dxa"/>
            <w:vAlign w:val="bottom"/>
            <w:tcBorders>
              <w:bottom w:val="single" w:sz="8" w:color="auto"/>
            </w:tcBorders>
            <w:shd w:val="clear" w:color="auto" w:fill="DBE5F1"/>
          </w:tcPr>
          <w:p>
            <w:pPr>
              <w:spacing w:after="0"/>
              <w:rPr>
                <w:sz w:val="20"/>
                <w:szCs w:val="20"/>
                <w:color w:val="auto"/>
              </w:rPr>
            </w:pPr>
          </w:p>
        </w:tc>
        <w:tc>
          <w:tcPr>
            <w:tcW w:w="138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20" w:type="dxa"/>
            <w:vAlign w:val="bottom"/>
            <w:tcBorders>
              <w:left w:val="single" w:sz="8" w:color="auto"/>
            </w:tcBorders>
          </w:tcPr>
          <w:p>
            <w:pPr>
              <w:ind w:left="80"/>
              <w:spacing w:after="0" w:line="179" w:lineRule="exact"/>
              <w:rPr>
                <w:sz w:val="20"/>
                <w:szCs w:val="20"/>
                <w:color w:val="auto"/>
              </w:rPr>
            </w:pPr>
            <w:r>
              <w:rPr>
                <w:rFonts w:ascii="Times New Roman" w:cs="Times New Roman" w:eastAsia="Times New Roman" w:hAnsi="Times New Roman"/>
                <w:sz w:val="19"/>
                <w:szCs w:val="19"/>
                <w:color w:val="auto"/>
              </w:rPr>
              <w:t>Intercontinental Exchange</w:t>
            </w:r>
          </w:p>
        </w:tc>
        <w:tc>
          <w:tcPr>
            <w:tcW w:w="1580" w:type="dxa"/>
            <w:vAlign w:val="bottom"/>
            <w:vMerge w:val="restart"/>
          </w:tcPr>
          <w:p>
            <w:pPr>
              <w:jc w:val="right"/>
              <w:ind w:right="6"/>
              <w:spacing w:after="0"/>
              <w:rPr>
                <w:sz w:val="20"/>
                <w:szCs w:val="20"/>
                <w:color w:val="auto"/>
              </w:rPr>
            </w:pPr>
            <w:r>
              <w:rPr>
                <w:rFonts w:ascii="Times New Roman" w:cs="Times New Roman" w:eastAsia="Times New Roman" w:hAnsi="Times New Roman"/>
                <w:sz w:val="19"/>
                <w:szCs w:val="19"/>
                <w:color w:val="auto"/>
              </w:rPr>
              <w:t>7,476,345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5.27%</w:t>
            </w:r>
          </w:p>
        </w:tc>
        <w:tc>
          <w:tcPr>
            <w:tcW w:w="1620" w:type="dxa"/>
            <w:vAlign w:val="bottom"/>
            <w:vMerge w:val="restart"/>
          </w:tcPr>
          <w:p>
            <w:pPr>
              <w:jc w:val="right"/>
              <w:ind w:right="86"/>
              <w:spacing w:after="0"/>
              <w:rPr>
                <w:sz w:val="20"/>
                <w:szCs w:val="20"/>
                <w:color w:val="auto"/>
              </w:rPr>
            </w:pPr>
            <w:r>
              <w:rPr>
                <w:rFonts w:ascii="Times New Roman" w:cs="Times New Roman" w:eastAsia="Times New Roman" w:hAnsi="Times New Roman"/>
                <w:sz w:val="19"/>
                <w:szCs w:val="19"/>
                <w:color w:val="auto"/>
              </w:rPr>
              <w:t>170,079,462</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94.55%</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177,555,807</w:t>
            </w:r>
          </w:p>
        </w:tc>
        <w:tc>
          <w:tcPr>
            <w:tcW w:w="1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55.20%</w:t>
            </w: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bottom w:val="single" w:sz="8" w:color="auto"/>
            </w:tcBorders>
          </w:tcPr>
          <w:p>
            <w:pPr>
              <w:ind w:left="80"/>
              <w:spacing w:after="0" w:line="240" w:lineRule="exact"/>
              <w:rPr>
                <w:sz w:val="20"/>
                <w:szCs w:val="20"/>
                <w:color w:val="auto"/>
              </w:rPr>
            </w:pPr>
            <w:r>
              <w:rPr>
                <w:rFonts w:ascii="Times New Roman" w:cs="Times New Roman" w:eastAsia="Times New Roman" w:hAnsi="Times New Roman"/>
                <w:sz w:val="19"/>
                <w:szCs w:val="19"/>
                <w:color w:val="auto"/>
              </w:rPr>
              <w:t>Holdings, Inc.</w:t>
            </w:r>
            <w:r>
              <w:rPr>
                <w:rFonts w:ascii="Times New Roman" w:cs="Times New Roman" w:eastAsia="Times New Roman" w:hAnsi="Times New Roman"/>
                <w:sz w:val="24"/>
                <w:szCs w:val="24"/>
                <w:color w:val="auto"/>
                <w:vertAlign w:val="superscript"/>
              </w:rPr>
              <w:t>(4)</w:t>
            </w:r>
          </w:p>
        </w:tc>
        <w:tc>
          <w:tcPr>
            <w:tcW w:w="158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tcBorders>
              <w:left w:val="single" w:sz="8" w:color="auto"/>
              <w:bottom w:val="single" w:sz="8" w:color="auto"/>
            </w:tcBorders>
            <w:gridSpan w:val="2"/>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Named Executive Officers and Directors:</w:t>
            </w:r>
          </w:p>
        </w:tc>
        <w:tc>
          <w:tcPr>
            <w:tcW w:w="1460" w:type="dxa"/>
            <w:vAlign w:val="bottom"/>
            <w:tcBorders>
              <w:bottom w:val="single" w:sz="8" w:color="auto"/>
            </w:tcBorders>
            <w:shd w:val="clear" w:color="auto" w:fill="DBE5F1"/>
          </w:tcPr>
          <w:p>
            <w:pPr>
              <w:spacing w:after="0"/>
              <w:rPr>
                <w:sz w:val="20"/>
                <w:szCs w:val="20"/>
                <w:color w:val="auto"/>
              </w:rPr>
            </w:pPr>
          </w:p>
        </w:tc>
        <w:tc>
          <w:tcPr>
            <w:tcW w:w="1620" w:type="dxa"/>
            <w:vAlign w:val="bottom"/>
            <w:tcBorders>
              <w:bottom w:val="single" w:sz="8" w:color="auto"/>
            </w:tcBorders>
            <w:shd w:val="clear" w:color="auto" w:fill="DBE5F1"/>
          </w:tcPr>
          <w:p>
            <w:pPr>
              <w:spacing w:after="0"/>
              <w:rPr>
                <w:sz w:val="20"/>
                <w:szCs w:val="20"/>
                <w:color w:val="auto"/>
              </w:rPr>
            </w:pPr>
          </w:p>
        </w:tc>
        <w:tc>
          <w:tcPr>
            <w:tcW w:w="138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9"/>
                <w:szCs w:val="19"/>
                <w:color w:val="auto"/>
              </w:rPr>
              <w:t>Gavin Michael</w:t>
            </w:r>
            <w:r>
              <w:rPr>
                <w:rFonts w:ascii="Times New Roman" w:cs="Times New Roman" w:eastAsia="Times New Roman" w:hAnsi="Times New Roman"/>
                <w:sz w:val="24"/>
                <w:szCs w:val="24"/>
                <w:color w:val="auto"/>
                <w:vertAlign w:val="superscript"/>
              </w:rPr>
              <w:t>(5)</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2,886,210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2.04%</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2,886,210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Karen Alexander</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166,267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166,267</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9" w:lineRule="exact"/>
              <w:rPr>
                <w:sz w:val="20"/>
                <w:szCs w:val="20"/>
                <w:color w:val="auto"/>
              </w:rPr>
            </w:pPr>
            <w:r>
              <w:rPr>
                <w:rFonts w:ascii="Times New Roman" w:cs="Times New Roman" w:eastAsia="Times New Roman" w:hAnsi="Times New Roman"/>
                <w:sz w:val="19"/>
                <w:szCs w:val="19"/>
                <w:color w:val="auto"/>
              </w:rPr>
              <w:t>Marc D'Annunzio</w:t>
            </w:r>
            <w:r>
              <w:rPr>
                <w:rFonts w:ascii="Times New Roman" w:cs="Times New Roman" w:eastAsia="Times New Roman" w:hAnsi="Times New Roman"/>
                <w:sz w:val="24"/>
                <w:szCs w:val="24"/>
                <w:color w:val="auto"/>
                <w:vertAlign w:val="superscript"/>
              </w:rPr>
              <w:t>(6)</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423,170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1,204,712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1,627,882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De'Ana Dow</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194,320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194,320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Michelle J. Goldberg</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99,686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99,686</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9" w:lineRule="exact"/>
              <w:rPr>
                <w:sz w:val="20"/>
                <w:szCs w:val="20"/>
                <w:color w:val="auto"/>
              </w:rPr>
            </w:pPr>
            <w:r>
              <w:rPr>
                <w:rFonts w:ascii="Times New Roman" w:cs="Times New Roman" w:eastAsia="Times New Roman" w:hAnsi="Times New Roman"/>
                <w:sz w:val="19"/>
                <w:szCs w:val="19"/>
                <w:color w:val="auto"/>
              </w:rPr>
              <w:t>David Clifton</w:t>
            </w:r>
            <w:r>
              <w:rPr>
                <w:rFonts w:ascii="Times New Roman" w:cs="Times New Roman" w:eastAsia="Times New Roman" w:hAnsi="Times New Roman"/>
                <w:sz w:val="24"/>
                <w:szCs w:val="24"/>
                <w:color w:val="auto"/>
                <w:vertAlign w:val="superscript"/>
              </w:rPr>
              <w:t>(6)</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100,077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100,077</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Gordon Watson</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122,108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122,108</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Sean Collins</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10,090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10,090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Richard Lumb</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99,686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99,686</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Andrew Main</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311,462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311,462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Jill Simeone</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104,634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104,634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79"/>
        </w:trPr>
        <w:tc>
          <w:tcPr>
            <w:tcW w:w="2220" w:type="dxa"/>
            <w:vAlign w:val="bottom"/>
            <w:tcBorders>
              <w:left w:val="single" w:sz="8" w:color="auto"/>
            </w:tcBorders>
            <w:shd w:val="clear" w:color="auto" w:fill="DBE5F1"/>
          </w:tcPr>
          <w:p>
            <w:pPr>
              <w:ind w:left="80"/>
              <w:spacing w:after="0" w:line="179" w:lineRule="exact"/>
              <w:rPr>
                <w:sz w:val="20"/>
                <w:szCs w:val="20"/>
                <w:color w:val="auto"/>
              </w:rPr>
            </w:pPr>
            <w:r>
              <w:rPr>
                <w:rFonts w:ascii="Times New Roman" w:cs="Times New Roman" w:eastAsia="Times New Roman" w:hAnsi="Times New Roman"/>
                <w:sz w:val="19"/>
                <w:szCs w:val="19"/>
                <w:color w:val="auto"/>
              </w:rPr>
              <w:t>All directors and executive</w:t>
            </w:r>
          </w:p>
        </w:tc>
        <w:tc>
          <w:tcPr>
            <w:tcW w:w="1580" w:type="dxa"/>
            <w:vAlign w:val="bottom"/>
            <w:shd w:val="clear" w:color="auto" w:fill="DBE5F1"/>
          </w:tcPr>
          <w:p>
            <w:pPr>
              <w:spacing w:after="0"/>
              <w:rPr>
                <w:sz w:val="15"/>
                <w:szCs w:val="15"/>
                <w:color w:val="auto"/>
              </w:rPr>
            </w:pPr>
          </w:p>
        </w:tc>
        <w:tc>
          <w:tcPr>
            <w:tcW w:w="1460" w:type="dxa"/>
            <w:vAlign w:val="bottom"/>
            <w:shd w:val="clear" w:color="auto" w:fill="DBE5F1"/>
          </w:tcPr>
          <w:p>
            <w:pPr>
              <w:spacing w:after="0"/>
              <w:rPr>
                <w:sz w:val="15"/>
                <w:szCs w:val="15"/>
                <w:color w:val="auto"/>
              </w:rPr>
            </w:pPr>
          </w:p>
        </w:tc>
        <w:tc>
          <w:tcPr>
            <w:tcW w:w="1620" w:type="dxa"/>
            <w:vAlign w:val="bottom"/>
            <w:shd w:val="clear" w:color="auto" w:fill="DBE5F1"/>
          </w:tcPr>
          <w:p>
            <w:pPr>
              <w:spacing w:after="0"/>
              <w:rPr>
                <w:sz w:val="15"/>
                <w:szCs w:val="15"/>
                <w:color w:val="auto"/>
              </w:rPr>
            </w:pPr>
          </w:p>
        </w:tc>
        <w:tc>
          <w:tcPr>
            <w:tcW w:w="138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500" w:type="dxa"/>
            <w:vAlign w:val="bottom"/>
            <w:tcBorders>
              <w:right w:val="single" w:sz="8" w:color="auto"/>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shd w:val="clear" w:color="auto" w:fill="DBE5F1"/>
          </w:tcPr>
          <w:p>
            <w:pPr>
              <w:ind w:left="80"/>
              <w:spacing w:after="0" w:line="188" w:lineRule="exact"/>
              <w:rPr>
                <w:sz w:val="20"/>
                <w:szCs w:val="20"/>
                <w:color w:val="auto"/>
              </w:rPr>
            </w:pPr>
            <w:r>
              <w:rPr>
                <w:rFonts w:ascii="Times New Roman" w:cs="Times New Roman" w:eastAsia="Times New Roman" w:hAnsi="Times New Roman"/>
                <w:sz w:val="19"/>
                <w:szCs w:val="19"/>
                <w:color w:val="auto"/>
              </w:rPr>
              <w:t>officers as a group (11</w:t>
            </w:r>
          </w:p>
        </w:tc>
        <w:tc>
          <w:tcPr>
            <w:tcW w:w="1580" w:type="dxa"/>
            <w:vAlign w:val="bottom"/>
            <w:vMerge w:val="restart"/>
            <w:shd w:val="clear" w:color="auto" w:fill="DBE5F1"/>
          </w:tcPr>
          <w:p>
            <w:pPr>
              <w:jc w:val="right"/>
              <w:ind w:right="6"/>
              <w:spacing w:after="0"/>
              <w:rPr>
                <w:sz w:val="20"/>
                <w:szCs w:val="20"/>
                <w:color w:val="auto"/>
              </w:rPr>
            </w:pPr>
            <w:r>
              <w:rPr>
                <w:rFonts w:ascii="Times New Roman" w:cs="Times New Roman" w:eastAsia="Times New Roman" w:hAnsi="Times New Roman"/>
                <w:sz w:val="19"/>
                <w:szCs w:val="19"/>
                <w:color w:val="auto"/>
              </w:rPr>
              <w:t>4,417,633</w:t>
            </w:r>
          </w:p>
        </w:tc>
        <w:tc>
          <w:tcPr>
            <w:tcW w:w="1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3.09%</w:t>
            </w:r>
          </w:p>
        </w:tc>
        <w:tc>
          <w:tcPr>
            <w:tcW w:w="1620" w:type="dxa"/>
            <w:vAlign w:val="bottom"/>
            <w:vMerge w:val="restart"/>
            <w:shd w:val="clear" w:color="auto" w:fill="DBE5F1"/>
          </w:tcPr>
          <w:p>
            <w:pPr>
              <w:jc w:val="right"/>
              <w:ind w:right="86"/>
              <w:spacing w:after="0"/>
              <w:rPr>
                <w:sz w:val="20"/>
                <w:szCs w:val="20"/>
                <w:color w:val="auto"/>
              </w:rPr>
            </w:pPr>
            <w:r>
              <w:rPr>
                <w:rFonts w:ascii="Times New Roman" w:cs="Times New Roman" w:eastAsia="Times New Roman" w:hAnsi="Times New Roman"/>
                <w:sz w:val="19"/>
                <w:szCs w:val="19"/>
                <w:color w:val="auto"/>
              </w:rPr>
              <w:t>1,304,789</w:t>
            </w:r>
          </w:p>
        </w:tc>
        <w:tc>
          <w:tcPr>
            <w:tcW w:w="13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5,722,422</w:t>
            </w:r>
          </w:p>
        </w:tc>
        <w:tc>
          <w:tcPr>
            <w:tcW w:w="1500" w:type="dxa"/>
            <w:vAlign w:val="bottom"/>
            <w:tcBorders>
              <w:right w:val="single" w:sz="8" w:color="auto"/>
            </w:tcBorders>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1.77%</w:t>
            </w:r>
          </w:p>
        </w:tc>
        <w:tc>
          <w:tcPr>
            <w:tcW w:w="0" w:type="dxa"/>
            <w:vAlign w:val="bottom"/>
          </w:tcPr>
          <w:p>
            <w:pPr>
              <w:spacing w:after="0"/>
              <w:rPr>
                <w:sz w:val="1"/>
                <w:szCs w:val="1"/>
                <w:color w:val="auto"/>
              </w:rPr>
            </w:pPr>
          </w:p>
        </w:tc>
      </w:tr>
      <w:tr>
        <w:trPr>
          <w:trHeight w:val="245"/>
        </w:trPr>
        <w:tc>
          <w:tcPr>
            <w:tcW w:w="2220" w:type="dxa"/>
            <w:vAlign w:val="bottom"/>
            <w:tcBorders>
              <w:left w:val="single" w:sz="8" w:color="auto"/>
              <w:bottom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person)</w:t>
            </w:r>
          </w:p>
        </w:tc>
        <w:tc>
          <w:tcPr>
            <w:tcW w:w="1580" w:type="dxa"/>
            <w:vAlign w:val="bottom"/>
            <w:tcBorders>
              <w:bottom w:val="single" w:sz="8" w:color="auto"/>
            </w:tcBorders>
            <w:vMerge w:val="continue"/>
            <w:shd w:val="clear" w:color="auto" w:fill="DBE5F1"/>
          </w:tcPr>
          <w:p>
            <w:pPr>
              <w:spacing w:after="0"/>
              <w:rPr>
                <w:sz w:val="21"/>
                <w:szCs w:val="21"/>
                <w:color w:val="auto"/>
              </w:rPr>
            </w:pPr>
          </w:p>
        </w:tc>
        <w:tc>
          <w:tcPr>
            <w:tcW w:w="1460" w:type="dxa"/>
            <w:vAlign w:val="bottom"/>
            <w:tcBorders>
              <w:bottom w:val="single" w:sz="8" w:color="auto"/>
            </w:tcBorders>
            <w:vMerge w:val="continue"/>
            <w:shd w:val="clear" w:color="auto" w:fill="DBE5F1"/>
          </w:tcPr>
          <w:p>
            <w:pPr>
              <w:spacing w:after="0"/>
              <w:rPr>
                <w:sz w:val="21"/>
                <w:szCs w:val="21"/>
                <w:color w:val="auto"/>
              </w:rPr>
            </w:pPr>
          </w:p>
        </w:tc>
        <w:tc>
          <w:tcPr>
            <w:tcW w:w="1620" w:type="dxa"/>
            <w:vAlign w:val="bottom"/>
            <w:tcBorders>
              <w:bottom w:val="single" w:sz="8" w:color="auto"/>
            </w:tcBorders>
            <w:vMerge w:val="continue"/>
            <w:shd w:val="clear" w:color="auto" w:fill="DBE5F1"/>
          </w:tcPr>
          <w:p>
            <w:pPr>
              <w:spacing w:after="0"/>
              <w:rPr>
                <w:sz w:val="21"/>
                <w:szCs w:val="21"/>
                <w:color w:val="auto"/>
              </w:rPr>
            </w:pPr>
          </w:p>
        </w:tc>
        <w:tc>
          <w:tcPr>
            <w:tcW w:w="1380" w:type="dxa"/>
            <w:vAlign w:val="bottom"/>
            <w:tcBorders>
              <w:bottom w:val="single" w:sz="8" w:color="auto"/>
            </w:tcBorders>
            <w:vMerge w:val="continue"/>
            <w:shd w:val="clear" w:color="auto" w:fill="DBE5F1"/>
          </w:tcPr>
          <w:p>
            <w:pPr>
              <w:spacing w:after="0"/>
              <w:rPr>
                <w:sz w:val="21"/>
                <w:szCs w:val="21"/>
                <w:color w:val="auto"/>
              </w:rPr>
            </w:pPr>
          </w:p>
        </w:tc>
        <w:tc>
          <w:tcPr>
            <w:tcW w:w="1500" w:type="dxa"/>
            <w:vAlign w:val="bottom"/>
            <w:tcBorders>
              <w:bottom w:val="single" w:sz="8" w:color="auto"/>
            </w:tcBorders>
            <w:vMerge w:val="continue"/>
            <w:shd w:val="clear" w:color="auto" w:fill="DBE5F1"/>
          </w:tcPr>
          <w:p>
            <w:pPr>
              <w:spacing w:after="0"/>
              <w:rPr>
                <w:sz w:val="21"/>
                <w:szCs w:val="21"/>
                <w:color w:val="auto"/>
              </w:rPr>
            </w:pPr>
          </w:p>
        </w:tc>
        <w:tc>
          <w:tcPr>
            <w:tcW w:w="1500" w:type="dxa"/>
            <w:vAlign w:val="bottom"/>
            <w:tcBorders>
              <w:bottom w:val="single" w:sz="8" w:color="auto"/>
              <w:right w:val="single" w:sz="8" w:color="auto"/>
            </w:tcBorders>
            <w:vMerge w:val="continue"/>
            <w:shd w:val="clear" w:color="auto" w:fill="DBE5F1"/>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00" w:hanging="632"/>
        <w:spacing w:after="0"/>
        <w:tabs>
          <w:tab w:leader="none" w:pos="9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less than 1%.</w:t>
      </w:r>
    </w:p>
    <w:p>
      <w:pPr>
        <w:spacing w:after="0" w:line="34" w:lineRule="exact"/>
        <w:rPr>
          <w:sz w:val="20"/>
          <w:szCs w:val="20"/>
          <w:color w:val="auto"/>
        </w:rPr>
      </w:pPr>
    </w:p>
    <w:p>
      <w:pPr>
        <w:ind w:left="900" w:hanging="632"/>
        <w:spacing w:after="0"/>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Class A Common Stock entitles the holder thereof to one vote per share.</w:t>
      </w:r>
    </w:p>
    <w:p>
      <w:pPr>
        <w:spacing w:after="0" w:line="33" w:lineRule="exact"/>
        <w:rPr>
          <w:rFonts w:ascii="Times New Roman" w:cs="Times New Roman" w:eastAsia="Times New Roman" w:hAnsi="Times New Roman"/>
          <w:sz w:val="15"/>
          <w:szCs w:val="15"/>
          <w:color w:val="auto"/>
        </w:rPr>
      </w:pPr>
    </w:p>
    <w:p>
      <w:pPr>
        <w:ind w:left="900" w:right="160" w:hanging="632"/>
        <w:spacing w:after="0" w:line="230" w:lineRule="auto"/>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9" w:lineRule="exact"/>
        <w:rPr>
          <w:rFonts w:ascii="Times New Roman" w:cs="Times New Roman" w:eastAsia="Times New Roman" w:hAnsi="Times New Roman"/>
          <w:sz w:val="15"/>
          <w:szCs w:val="15"/>
          <w:color w:val="auto"/>
        </w:rPr>
      </w:pPr>
    </w:p>
    <w:p>
      <w:pPr>
        <w:ind w:left="900" w:hanging="632"/>
        <w:spacing w:after="0"/>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percentage of voting power of holders of Class A Common Stock and Class V Common Stock voting together as a single class.</w:t>
      </w:r>
    </w:p>
    <w:p>
      <w:pPr>
        <w:spacing w:after="0" w:line="33" w:lineRule="exact"/>
        <w:rPr>
          <w:rFonts w:ascii="Times New Roman" w:cs="Times New Roman" w:eastAsia="Times New Roman" w:hAnsi="Times New Roman"/>
          <w:sz w:val="15"/>
          <w:szCs w:val="15"/>
          <w:color w:val="auto"/>
        </w:rPr>
      </w:pPr>
    </w:p>
    <w:p>
      <w:pPr>
        <w:ind w:left="900" w:right="180" w:hanging="632"/>
        <w:spacing w:after="0" w:line="224" w:lineRule="auto"/>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13D/A filed with the SEC on March 4, 2024. Does not reflect the shares underlying the currently outstanding Class 1 Warrants or Class 2 Warrants, the Incremental ICE Shares or the Incremental ICE Warrant Shares. ICE is party to the Voting Support Agreement, pursuant to which ICE agreed, among other things, to vote in favor of the matters contemplated by the NYSE Issuance Proposal, subject to the limitations set forth in the Voting Agreement. Under the Voting Agreement, ICE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of the Company’s other stockholders, including the NYSE Issuance Proposal and the Reverse Stock Split and Related Matters Proposal. For more information, please read the full language of such proposals above. ICE’s principal business address is 5660 New Northside Drive, Atlanta, GA 30328.</w:t>
      </w:r>
    </w:p>
    <w:p>
      <w:pPr>
        <w:spacing w:after="0" w:line="7" w:lineRule="exact"/>
        <w:rPr>
          <w:rFonts w:ascii="Times New Roman" w:cs="Times New Roman" w:eastAsia="Times New Roman" w:hAnsi="Times New Roman"/>
          <w:sz w:val="15"/>
          <w:szCs w:val="15"/>
          <w:color w:val="auto"/>
        </w:rPr>
      </w:pPr>
    </w:p>
    <w:p>
      <w:pPr>
        <w:ind w:left="900" w:right="220" w:hanging="632"/>
        <w:spacing w:after="0" w:line="230" w:lineRule="auto"/>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18, 2024, Mr. Michael and the Company entered into a release agreement (the “Release Agreement”), providing, among other things, for Mr. Michael’s resignation as President, Chief Executive Officer, as an employee of the Company and as a director, effective as of end of day on March 25, 2024. Includes (1) 614,920 shares of Class A Common Stock resulting from the acceleration of performance stock units, and (2) 1,131,800 shares of Class A Common Stock resulting from the acceleration of restricted stock units, each pursuant to the Release Agreement.</w:t>
      </w:r>
    </w:p>
    <w:p>
      <w:pPr>
        <w:spacing w:after="0" w:line="9" w:lineRule="exact"/>
        <w:rPr>
          <w:rFonts w:ascii="Times New Roman" w:cs="Times New Roman" w:eastAsia="Times New Roman" w:hAnsi="Times New Roman"/>
          <w:sz w:val="15"/>
          <w:szCs w:val="15"/>
          <w:color w:val="auto"/>
        </w:rPr>
      </w:pPr>
    </w:p>
    <w:p>
      <w:pPr>
        <w:ind w:left="900" w:right="380" w:hanging="632"/>
        <w:spacing w:after="0" w:line="236" w:lineRule="auto"/>
        <w:tabs>
          <w:tab w:leader="none" w:pos="9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60"/>
          </w:cols>
          <w:pgMar w:left="320" w:top="1383" w:right="319" w:bottom="1440" w:gutter="0" w:footer="0" w:header="0"/>
        </w:sectPr>
      </w:pPr>
    </w:p>
    <w:bookmarkStart w:id="33" w:name="page34"/>
    <w:bookmarkEnd w:id="33"/>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Stockholders Sharing an Address / Household</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Only one copy of this Proxy Statement is being delivered to multiple stockholders sharing an address, unless we have received contrary instructions from one or more of the stockholders.</w:t>
      </w:r>
    </w:p>
    <w:p>
      <w:pPr>
        <w:spacing w:after="0" w:line="14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Proposals and Nominations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 xml:space="preserve">Requirements for Stockholder Proposals to be Considered for Inclusion in our Proxy Materials. </w:t>
      </w:r>
      <w:r>
        <w:rPr>
          <w:rFonts w:ascii="Times New Roman" w:cs="Times New Roman" w:eastAsia="Times New Roman" w:hAnsi="Times New Roman"/>
          <w:sz w:val="19"/>
          <w:szCs w:val="19"/>
          <w:color w:val="auto"/>
        </w:rPr>
        <w:t>Under Rule 14a-8(e) of the Exchange Act,</w:t>
      </w:r>
    </w:p>
    <w:p>
      <w:pPr>
        <w:spacing w:after="0" w:line="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to submit a proposal for inclusion in our Proxy Statement for the 2024 Annual Meeting of Stockholders, stockholder proposals were required to be received by March 8, 2024 by our Secretary at our principal executive offices at 10000 Avalon Boulevard, Suite 1000, Alpharetta, GA 30009.</w:t>
      </w:r>
    </w:p>
    <w:p>
      <w:pPr>
        <w:spacing w:after="0" w:line="18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2024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85" w:lineRule="exact"/>
        <w:rPr>
          <w:sz w:val="20"/>
          <w:szCs w:val="20"/>
          <w:color w:val="auto"/>
        </w:rPr>
      </w:pPr>
    </w:p>
    <w:p>
      <w:pPr>
        <w:ind w:left="1220" w:hanging="289"/>
        <w:spacing w:after="0"/>
        <w:tabs>
          <w:tab w:leader="none" w:pos="12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earlier than February 7, 2024, and</w:t>
      </w:r>
    </w:p>
    <w:p>
      <w:pPr>
        <w:spacing w:after="0" w:line="7"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March 8, 2024.</w:t>
      </w:r>
    </w:p>
    <w:p>
      <w:pPr>
        <w:spacing w:after="0" w:line="187"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In the event that we hold our 2024 annual meeting more than 30 days before, or more than 70 days following, the one-year anniversary of this year’s annual meeting, then such written notice must be received by our corporate secretary at our principal executive offices:</w:t>
      </w:r>
    </w:p>
    <w:p>
      <w:pPr>
        <w:spacing w:after="0" w:line="167" w:lineRule="exact"/>
        <w:rPr>
          <w:sz w:val="20"/>
          <w:szCs w:val="20"/>
          <w:color w:val="auto"/>
        </w:rPr>
      </w:pPr>
    </w:p>
    <w:p>
      <w:pPr>
        <w:ind w:left="1220" w:hanging="289"/>
        <w:spacing w:after="0"/>
        <w:tabs>
          <w:tab w:leader="none" w:pos="12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earlier than the 120th day prior to the day of our 2024 annual meeting, and</w:t>
      </w:r>
    </w:p>
    <w:p>
      <w:pPr>
        <w:spacing w:after="0" w:line="7" w:lineRule="exact"/>
        <w:rPr>
          <w:rFonts w:ascii="Times New Roman" w:cs="Times New Roman" w:eastAsia="Times New Roman" w:hAnsi="Times New Roman"/>
          <w:sz w:val="19"/>
          <w:szCs w:val="19"/>
          <w:color w:val="auto"/>
        </w:rPr>
      </w:pPr>
    </w:p>
    <w:p>
      <w:pPr>
        <w:ind w:left="1240" w:hanging="309"/>
        <w:spacing w:after="0" w:line="236" w:lineRule="auto"/>
        <w:tabs>
          <w:tab w:leader="none" w:pos="122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the later of (x) the 90th day before the meeting or (y) the 10th day following the day on which public announcement of the date of the annual meeting is first made by us.</w:t>
      </w:r>
    </w:p>
    <w:p>
      <w:pPr>
        <w:spacing w:after="0" w:line="18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 of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 You Can Find More Information</w:t>
      </w:r>
    </w:p>
    <w:p>
      <w:pPr>
        <w:spacing w:after="0" w:line="21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We will provide you without charge, upon your oral or written request, with a copy of any or all reports, proxy statements and other documents we file with the SEC. Requests for such copies should be directed to: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Investor Relations</w:t>
      </w:r>
    </w:p>
    <w:p>
      <w:pPr>
        <w:jc w:val="center"/>
        <w:spacing w:after="0" w:line="235" w:lineRule="auto"/>
        <w:rPr>
          <w:sz w:val="20"/>
          <w:szCs w:val="20"/>
          <w:color w:val="auto"/>
        </w:rPr>
      </w:pPr>
      <w:r>
        <w:rPr>
          <w:rFonts w:ascii="Times New Roman" w:cs="Times New Roman" w:eastAsia="Times New Roman" w:hAnsi="Times New Roman"/>
          <w:sz w:val="19"/>
          <w:szCs w:val="19"/>
          <w:color w:val="auto"/>
        </w:rPr>
        <w:t>Bakkt Holdings, Inc.</w:t>
      </w:r>
    </w:p>
    <w:p>
      <w:pPr>
        <w:jc w:val="center"/>
        <w:spacing w:after="0"/>
        <w:rPr>
          <w:sz w:val="20"/>
          <w:szCs w:val="20"/>
          <w:color w:val="auto"/>
        </w:rPr>
      </w:pPr>
      <w:r>
        <w:rPr>
          <w:rFonts w:ascii="Times New Roman" w:cs="Times New Roman" w:eastAsia="Times New Roman" w:hAnsi="Times New Roman"/>
          <w:sz w:val="19"/>
          <w:szCs w:val="19"/>
          <w:color w:val="auto"/>
        </w:rPr>
        <w:t>10000 Avalon Boulevard, Suite 1000</w:t>
      </w:r>
    </w:p>
    <w:p>
      <w:pPr>
        <w:jc w:val="center"/>
        <w:spacing w:after="0" w:line="227" w:lineRule="auto"/>
        <w:rPr>
          <w:sz w:val="20"/>
          <w:szCs w:val="20"/>
          <w:color w:val="auto"/>
        </w:rPr>
      </w:pPr>
      <w:r>
        <w:rPr>
          <w:rFonts w:ascii="Times New Roman" w:cs="Times New Roman" w:eastAsia="Times New Roman" w:hAnsi="Times New Roman"/>
          <w:sz w:val="19"/>
          <w:szCs w:val="19"/>
          <w:color w:val="auto"/>
        </w:rPr>
        <w:t>Alpharetta, Georgia 30009</w:t>
      </w:r>
    </w:p>
    <w:p>
      <w:pPr>
        <w:jc w:val="center"/>
        <w:spacing w:after="0"/>
        <w:rPr>
          <w:sz w:val="20"/>
          <w:szCs w:val="20"/>
          <w:color w:val="auto"/>
        </w:rPr>
      </w:pPr>
      <w:r>
        <w:rPr>
          <w:rFonts w:ascii="Times New Roman" w:cs="Times New Roman" w:eastAsia="Times New Roman" w:hAnsi="Times New Roman"/>
          <w:sz w:val="19"/>
          <w:szCs w:val="19"/>
          <w:color w:val="auto"/>
        </w:rPr>
        <w:t>Telephone number: (678) 534-5849</w:t>
      </w:r>
    </w:p>
    <w:p>
      <w:pPr>
        <w:spacing w:after="0" w:line="18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8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This proxy statement is dated April [__], 2024.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Policies and Procedures for Related Person Transactions</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and risk committee, subject to the exceptions described below.</w:t>
      </w:r>
    </w:p>
    <w:p>
      <w:pPr>
        <w:spacing w:after="0" w:line="19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356" w:right="339" w:bottom="1440" w:gutter="0" w:footer="0" w:header="0"/>
        </w:sectPr>
      </w:pPr>
    </w:p>
    <w:bookmarkStart w:id="35" w:name="page36"/>
    <w:bookmarkEnd w:id="35"/>
    <w:p>
      <w:pPr>
        <w:jc w:val="both"/>
        <w:ind w:firstLine="619"/>
        <w:spacing w:after="0"/>
        <w:rPr>
          <w:sz w:val="20"/>
          <w:szCs w:val="20"/>
          <w:color w:val="auto"/>
        </w:rPr>
      </w:pPr>
      <w:r>
        <w:rPr>
          <w:rFonts w:ascii="Times New Roman" w:cs="Times New Roman" w:eastAsia="Times New Roman" w:hAnsi="Times New Roman"/>
          <w:sz w:val="19"/>
          <w:szCs w:val="19"/>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20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policy requires that, in determining whether to approve, ratify or reject a related person transaction, our audit and risk committee, or other independent body of the Board, must consider, in light of known circumstances, whether the transaction is in, or is not inconsistent with, its best interests and those of its stockholders, as its audit and risk committee, or other independent body of the Board, determines in the good faith exercise of its discretion.</w:t>
      </w:r>
    </w:p>
    <w:p>
      <w:pPr>
        <w:spacing w:after="0" w:line="19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Our audit and risk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and transactions available to all employees generally.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21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As of the date hereof, the Company does not know of any other matters that may be presented for action at the Special Meeting other than the NYSE Issuance Proposal and the Reverse Stock Split and Related Matters Proposal.</w:t>
      </w:r>
    </w:p>
    <w:p>
      <w:pPr>
        <w:spacing w:after="0" w:line="1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______________________________</w:t>
      </w:r>
    </w:p>
    <w:p>
      <w:pPr>
        <w:ind w:left="4340"/>
        <w:spacing w:after="0" w:line="212" w:lineRule="auto"/>
        <w:rPr>
          <w:sz w:val="20"/>
          <w:szCs w:val="20"/>
          <w:color w:val="auto"/>
        </w:rPr>
      </w:pPr>
      <w:r>
        <w:rPr>
          <w:rFonts w:ascii="Times New Roman" w:cs="Times New Roman" w:eastAsia="Times New Roman" w:hAnsi="Times New Roman"/>
          <w:sz w:val="19"/>
          <w:szCs w:val="19"/>
          <w:color w:val="auto"/>
        </w:rPr>
        <w:t>Sean Collins</w:t>
      </w:r>
    </w:p>
    <w:p>
      <w:pPr>
        <w:ind w:left="4340"/>
        <w:spacing w:after="0" w:line="198" w:lineRule="auto"/>
        <w:rPr>
          <w:sz w:val="20"/>
          <w:szCs w:val="20"/>
          <w:color w:val="auto"/>
        </w:rPr>
      </w:pPr>
      <w:r>
        <w:rPr>
          <w:rFonts w:ascii="Times New Roman" w:cs="Times New Roman" w:eastAsia="Times New Roman" w:hAnsi="Times New Roman"/>
          <w:sz w:val="19"/>
          <w:szCs w:val="19"/>
          <w:i w:val="1"/>
          <w:iCs w:val="1"/>
          <w:color w:val="auto"/>
        </w:rPr>
        <w:t>Chairman of the Board of Directors</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356" w:right="339" w:bottom="1440" w:gutter="0" w:footer="0" w:header="0"/>
        </w:sectPr>
      </w:pPr>
    </w:p>
    <w:bookmarkStart w:id="36" w:name="page37"/>
    <w:bookmarkEnd w:id="36"/>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ANNEX A</w:t>
      </w: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CERTIFICATE OF AMENDMENT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CERTIFICATE OF INCORPORATION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BAKKT HOLDINGS, INC.</w:t>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Bakkt Holdings, Inc., a corporation organized and existing under the laws of the State of Delaware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certifies that:</w:t>
      </w:r>
    </w:p>
    <w:p>
      <w:pPr>
        <w:spacing w:after="0" w:line="211" w:lineRule="exact"/>
        <w:rPr>
          <w:sz w:val="20"/>
          <w:szCs w:val="20"/>
          <w:color w:val="auto"/>
        </w:rPr>
      </w:pPr>
    </w:p>
    <w:p>
      <w:pPr>
        <w:ind w:firstLine="3"/>
        <w:spacing w:after="0" w:line="255" w:lineRule="auto"/>
        <w:tabs>
          <w:tab w:leader="none" w:pos="61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of the Corporation is Bakkt Holdings, Inc. The Corporation’s original Certificate of Incorporation was filed with the Secretary of State of the State of Delaware on October 15, 2021.</w:t>
      </w:r>
    </w:p>
    <w:p>
      <w:pPr>
        <w:spacing w:after="0" w:line="167"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Certificate of Incorporation is hereby amended as follows:</w:t>
      </w:r>
    </w:p>
    <w:p>
      <w:pPr>
        <w:spacing w:after="0" w:line="194" w:lineRule="exact"/>
        <w:rPr>
          <w:rFonts w:ascii="Times New Roman" w:cs="Times New Roman" w:eastAsia="Times New Roman" w:hAnsi="Times New Roman"/>
          <w:sz w:val="19"/>
          <w:szCs w:val="19"/>
          <w:color w:val="auto"/>
        </w:rPr>
      </w:pPr>
    </w:p>
    <w:p>
      <w:pPr>
        <w:ind w:left="1220" w:hanging="619"/>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a.The first sentence of Article IV, Section 4.1 of the Corporation’s Certificate of Incorporation is hereby amended and restated in its entirety as follows:</w:t>
      </w:r>
    </w:p>
    <w:p>
      <w:pPr>
        <w:spacing w:after="0" w:line="167" w:lineRule="exact"/>
        <w:rPr>
          <w:sz w:val="20"/>
          <w:szCs w:val="20"/>
          <w:color w:val="auto"/>
        </w:rPr>
      </w:pPr>
    </w:p>
    <w:p>
      <w:pPr>
        <w:jc w:val="both"/>
        <w:ind w:left="1240" w:firstLine="619"/>
        <w:spacing w:after="0"/>
        <w:rPr>
          <w:sz w:val="20"/>
          <w:szCs w:val="20"/>
          <w:color w:val="auto"/>
        </w:rPr>
      </w:pPr>
      <w:r>
        <w:rPr>
          <w:rFonts w:ascii="Times New Roman" w:cs="Times New Roman" w:eastAsia="Times New Roman" w:hAnsi="Times New Roman"/>
          <w:sz w:val="19"/>
          <w:szCs w:val="19"/>
          <w:color w:val="auto"/>
        </w:rPr>
        <w:t>“The total number of shares of all classes of capital stock that the Corporation is authorized to issue is 41,000,000 shares, consisting of (i) 1,000,000 shares of preferred stock, par value $0.0001 per share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and (ii) 40,000,000 shares of common stock, par value $0.0001 per share (the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which consists of (A) 30,000,000 shares of Class A common stock (“</w:t>
      </w:r>
      <w:r>
        <w:rPr>
          <w:rFonts w:ascii="Times New Roman" w:cs="Times New Roman" w:eastAsia="Times New Roman" w:hAnsi="Times New Roman"/>
          <w:sz w:val="19"/>
          <w:szCs w:val="19"/>
          <w:u w:val="single" w:color="auto"/>
          <w:color w:val="auto"/>
        </w:rPr>
        <w:t>Class A Common Stock</w:t>
      </w:r>
      <w:r>
        <w:rPr>
          <w:rFonts w:ascii="Times New Roman" w:cs="Times New Roman" w:eastAsia="Times New Roman" w:hAnsi="Times New Roman"/>
          <w:sz w:val="19"/>
          <w:szCs w:val="19"/>
          <w:color w:val="auto"/>
        </w:rPr>
        <w:t>”) and (B) 10,000,000 shares of Class V common stock (“</w:t>
      </w:r>
      <w:r>
        <w:rPr>
          <w:rFonts w:ascii="Times New Roman" w:cs="Times New Roman" w:eastAsia="Times New Roman" w:hAnsi="Times New Roman"/>
          <w:sz w:val="19"/>
          <w:szCs w:val="19"/>
          <w:u w:val="single" w:color="auto"/>
          <w:color w:val="auto"/>
        </w:rPr>
        <w:t>Class V Common Stock</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240" w:hanging="618"/>
        <w:spacing w:after="0" w:line="255" w:lineRule="auto"/>
        <w:tabs>
          <w:tab w:leader="none" w:pos="95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IV, Section 4.1 of the Corporation’s Certificate of Incorporation is hereby amended to add the following paragraph at the end of Article IV, Section 4.1:</w:t>
      </w:r>
    </w:p>
    <w:p>
      <w:pPr>
        <w:spacing w:after="0" w:line="155" w:lineRule="exact"/>
        <w:rPr>
          <w:sz w:val="20"/>
          <w:szCs w:val="20"/>
          <w:color w:val="auto"/>
        </w:rPr>
      </w:pPr>
    </w:p>
    <w:p>
      <w:pPr>
        <w:jc w:val="both"/>
        <w:ind w:left="1240" w:firstLine="619"/>
        <w:spacing w:after="0" w:line="235" w:lineRule="auto"/>
        <w:rPr>
          <w:sz w:val="20"/>
          <w:szCs w:val="20"/>
          <w:color w:val="auto"/>
        </w:rPr>
      </w:pPr>
      <w:r>
        <w:rPr>
          <w:rFonts w:ascii="Times New Roman" w:cs="Times New Roman" w:eastAsia="Times New Roman" w:hAnsi="Times New Roman"/>
          <w:sz w:val="19"/>
          <w:szCs w:val="19"/>
          <w:color w:val="auto"/>
        </w:rPr>
        <w:t>“Upon the effectiveness of the filing of the Certificate of Amendment to the Certificate of Incorporation adding this paragraph (the “</w:t>
      </w:r>
      <w:r>
        <w:rPr>
          <w:rFonts w:ascii="Times New Roman" w:cs="Times New Roman" w:eastAsia="Times New Roman" w:hAnsi="Times New Roman"/>
          <w:sz w:val="19"/>
          <w:szCs w:val="19"/>
          <w:u w:val="single" w:color="auto"/>
          <w:color w:val="auto"/>
        </w:rPr>
        <w:t>Effective Time</w:t>
      </w:r>
      <w:r>
        <w:rPr>
          <w:rFonts w:ascii="Times New Roman" w:cs="Times New Roman" w:eastAsia="Times New Roman" w:hAnsi="Times New Roman"/>
          <w:sz w:val="19"/>
          <w:szCs w:val="19"/>
          <w:color w:val="auto"/>
        </w:rPr>
        <w:t>”), each twenty-five (25) shares of (i) Class A Common Stock issued immediately prior to the Effective Time shall automatically be combined into one (1) validly issued, fully paid and non-assessable share of Class A Common Stock, and (ii) Class V Common Stock issued immediately prior to the Effective Time shall automatically be combined into one (1) validly issued, fully paid and non-assessable share of Class V Common Stock, in each case without any further action by the Corporation or any holder thereof, subject to the treatment of fractional share interests as described below (the “</w:t>
      </w:r>
      <w:r>
        <w:rPr>
          <w:rFonts w:ascii="Times New Roman" w:cs="Times New Roman" w:eastAsia="Times New Roman" w:hAnsi="Times New Roman"/>
          <w:sz w:val="19"/>
          <w:szCs w:val="19"/>
          <w:u w:val="single" w:color="auto"/>
          <w:color w:val="auto"/>
        </w:rPr>
        <w:t>Reverse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Split</w:t>
      </w:r>
      <w:r>
        <w:rPr>
          <w:rFonts w:ascii="Times New Roman" w:cs="Times New Roman" w:eastAsia="Times New Roman" w:hAnsi="Times New Roman"/>
          <w:sz w:val="19"/>
          <w:szCs w:val="19"/>
          <w:color w:val="auto"/>
        </w:rPr>
        <w:t>”). No fractional shares of Class A Common Stock or Class V Common Stock shall be issued in connection with the Reverse Stock Split. Each certificate that immediately prior to the Effective Time represented shares of Class A Common Stock or Class V Common Stock, as applicable (the “</w:t>
      </w:r>
      <w:r>
        <w:rPr>
          <w:rFonts w:ascii="Times New Roman" w:cs="Times New Roman" w:eastAsia="Times New Roman" w:hAnsi="Times New Roman"/>
          <w:sz w:val="19"/>
          <w:szCs w:val="19"/>
          <w:u w:val="single" w:color="auto"/>
          <w:color w:val="auto"/>
        </w:rPr>
        <w:t>Old Certificates</w:t>
      </w:r>
      <w:r>
        <w:rPr>
          <w:rFonts w:ascii="Times New Roman" w:cs="Times New Roman" w:eastAsia="Times New Roman" w:hAnsi="Times New Roman"/>
          <w:sz w:val="19"/>
          <w:szCs w:val="19"/>
          <w:color w:val="auto"/>
        </w:rPr>
        <w:t>”), shall, until surrendered to the Corporation in exchange for a certificate representing such new number of shares of Class A Common Stock or Class V Common Stock, respectively, automatically represent that number of shares of Class A Common Stock or Class V Common Stock, as applicable, into which the shares of Class A Common Stock or Class V Common Stock, as applicable, represented by the Old Certificate shall have been combined, subject to the elimination of fractional share interests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40"/>
          </w:cols>
          <w:pgMar w:left="320" w:top="1440" w:right="339" w:bottom="1440" w:gutter="0" w:footer="0" w:header="0"/>
        </w:sectPr>
      </w:pPr>
    </w:p>
    <w:bookmarkStart w:id="38" w:name="page39"/>
    <w:bookmarkEnd w:id="38"/>
    <w:p>
      <w:pPr>
        <w:ind w:left="617" w:hanging="617"/>
        <w:spacing w:after="0"/>
        <w:tabs>
          <w:tab w:leader="none" w:pos="6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205" w:lineRule="exact"/>
        <w:rPr>
          <w:rFonts w:ascii="Times New Roman" w:cs="Times New Roman" w:eastAsia="Times New Roman" w:hAnsi="Times New Roman"/>
          <w:sz w:val="18"/>
          <w:szCs w:val="18"/>
          <w:color w:val="auto"/>
        </w:rPr>
      </w:pPr>
    </w:p>
    <w:p>
      <w:pPr>
        <w:ind w:left="617" w:hanging="617"/>
        <w:spacing w:after="0"/>
        <w:tabs>
          <w:tab w:leader="none" w:pos="61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Certificate of Amendment shall become effective on April [__], 2024 at [12:01] [a.m.] Eastern Time.</w:t>
      </w:r>
    </w:p>
    <w:p>
      <w:pPr>
        <w:spacing w:after="0" w:line="190" w:lineRule="exact"/>
        <w:rPr>
          <w:sz w:val="20"/>
          <w:szCs w:val="20"/>
          <w:color w:val="auto"/>
        </w:rPr>
      </w:pPr>
    </w:p>
    <w:p>
      <w:pPr>
        <w:ind w:left="495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177"/>
          </w:cols>
          <w:pgMar w:left="323" w:top="1356" w:right="399" w:bottom="1440" w:gutter="0" w:footer="0" w:header="0"/>
        </w:sectPr>
      </w:pPr>
    </w:p>
    <w:bookmarkStart w:id="39" w:name="page40"/>
    <w:bookmarkEnd w:id="39"/>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this Certificate of Amendment is duly executed by the undersigned officer of the Corporation on</w:t>
      </w:r>
    </w:p>
    <w:p>
      <w:pPr>
        <w:spacing w:after="0"/>
        <w:rPr>
          <w:sz w:val="20"/>
          <w:szCs w:val="20"/>
          <w:color w:val="auto"/>
        </w:rPr>
      </w:pPr>
      <w:r>
        <w:rPr>
          <w:rFonts w:ascii="Times New Roman" w:cs="Times New Roman" w:eastAsia="Times New Roman" w:hAnsi="Times New Roman"/>
          <w:sz w:val="19"/>
          <w:szCs w:val="19"/>
          <w:color w:val="auto"/>
        </w:rPr>
        <w:t>____________,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___________________________________</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434340</wp:posOffset>
            </wp:positionH>
            <wp:positionV relativeFrom="page">
              <wp:posOffset>367030</wp:posOffset>
            </wp:positionV>
            <wp:extent cx="6680200" cy="8620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80200" cy="862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434340</wp:posOffset>
            </wp:positionH>
            <wp:positionV relativeFrom="page">
              <wp:posOffset>367030</wp:posOffset>
            </wp:positionV>
            <wp:extent cx="6680200" cy="8636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80200" cy="863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Fluidigm - Proxy Statement (Special Meeting) 4892-3614-7976 v15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2"/>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2024-03-25T16:06:32Z</dcterms:created>
  <dcterms:modified xsi:type="dcterms:W3CDTF">2024-03-25T16:06:32Z</dcterms:modified>
</cp:coreProperties>
</file>