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14, 2024</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333-271361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AMENDMENT NO. 2 TO</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FORM S-3</w:t>
      </w:r>
    </w:p>
    <w:p>
      <w:pPr>
        <w:jc w:val="center"/>
        <w:ind w:right="-119"/>
        <w:spacing w:after="0" w:line="235"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Bakkt Holdings,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2" w:lineRule="exact"/>
        <w:rPr>
          <w:sz w:val="24"/>
          <w:szCs w:val="24"/>
          <w:color w:val="auto"/>
        </w:rPr>
      </w:pPr>
    </w:p>
    <w:tbl>
      <w:tblPr>
        <w:tblLayout w:type="fixed"/>
        <w:tblInd w:w="1960" w:type="dxa"/>
        <w:tblCellMar>
          <w:top w:w="0" w:type="dxa"/>
          <w:left w:w="0" w:type="dxa"/>
          <w:bottom w:w="0" w:type="dxa"/>
          <w:right w:w="0" w:type="dxa"/>
        </w:tblCellMar>
      </w:tblPr>
      <w:tr>
        <w:trPr>
          <w:trHeight w:val="172"/>
        </w:trPr>
        <w:tc>
          <w:tcPr>
            <w:tcW w:w="3840" w:type="dxa"/>
            <w:vAlign w:val="bottom"/>
          </w:tcPr>
          <w:p>
            <w:pPr>
              <w:jc w:val="center"/>
              <w:ind w:right="1907"/>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380" w:type="dxa"/>
            <w:vAlign w:val="bottom"/>
          </w:tcPr>
          <w:p>
            <w:pPr>
              <w:jc w:val="center"/>
              <w:ind w:left="1847"/>
              <w:spacing w:after="0"/>
              <w:rPr>
                <w:sz w:val="20"/>
                <w:szCs w:val="20"/>
                <w:color w:val="auto"/>
              </w:rPr>
            </w:pPr>
            <w:r>
              <w:rPr>
                <w:rFonts w:ascii="Times New Roman" w:cs="Times New Roman" w:eastAsia="Times New Roman" w:hAnsi="Times New Roman"/>
                <w:sz w:val="15"/>
                <w:szCs w:val="15"/>
                <w:b w:val="1"/>
                <w:bCs w:val="1"/>
                <w:color w:val="auto"/>
              </w:rPr>
              <w:t>98-1550750</w:t>
            </w:r>
          </w:p>
        </w:tc>
      </w:tr>
      <w:tr>
        <w:trPr>
          <w:trHeight w:val="148"/>
        </w:trPr>
        <w:tc>
          <w:tcPr>
            <w:tcW w:w="3840" w:type="dxa"/>
            <w:vAlign w:val="bottom"/>
          </w:tcPr>
          <w:p>
            <w:pPr>
              <w:jc w:val="center"/>
              <w:ind w:right="192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7"/>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jc w:val="center"/>
        <w:ind w:right="-119"/>
        <w:spacing w:after="0" w:line="237" w:lineRule="auto"/>
        <w:rPr>
          <w:sz w:val="20"/>
          <w:szCs w:val="20"/>
          <w:color w:val="auto"/>
        </w:rPr>
      </w:pPr>
      <w:r>
        <w:rPr>
          <w:rFonts w:ascii="Times New Roman" w:cs="Times New Roman" w:eastAsia="Times New Roman" w:hAnsi="Times New Roman"/>
          <w:sz w:val="15"/>
          <w:szCs w:val="15"/>
          <w:b w:val="1"/>
          <w:bCs w:val="1"/>
          <w:color w:val="auto"/>
        </w:rPr>
        <w:t>10000 Avalon Boulevard, Suite 1000</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Alpharetta, Georgia 30009</w:t>
      </w:r>
    </w:p>
    <w:p>
      <w:pPr>
        <w:jc w:val="center"/>
        <w:ind w:right="-119"/>
        <w:spacing w:after="0" w:line="218" w:lineRule="auto"/>
        <w:rPr>
          <w:sz w:val="20"/>
          <w:szCs w:val="20"/>
          <w:color w:val="auto"/>
        </w:rPr>
      </w:pPr>
      <w:r>
        <w:rPr>
          <w:rFonts w:ascii="Times New Roman" w:cs="Times New Roman" w:eastAsia="Times New Roman" w:hAnsi="Times New Roman"/>
          <w:sz w:val="15"/>
          <w:szCs w:val="15"/>
          <w:b w:val="1"/>
          <w:bCs w:val="1"/>
          <w:color w:val="auto"/>
        </w:rPr>
        <w:t>(678) 534-5849</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Gavin Michael</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10000 Avalon Boulevard, Suite 1000</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Alpharetta, Georgia 30009</w:t>
      </w:r>
    </w:p>
    <w:p>
      <w:pPr>
        <w:jc w:val="center"/>
        <w:ind w:right="-119"/>
        <w:spacing w:after="0" w:line="218" w:lineRule="auto"/>
        <w:rPr>
          <w:sz w:val="20"/>
          <w:szCs w:val="20"/>
          <w:color w:val="auto"/>
        </w:rPr>
      </w:pPr>
      <w:r>
        <w:rPr>
          <w:rFonts w:ascii="Times New Roman" w:cs="Times New Roman" w:eastAsia="Times New Roman" w:hAnsi="Times New Roman"/>
          <w:sz w:val="15"/>
          <w:szCs w:val="15"/>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5" w:lineRule="exact"/>
        <w:rPr>
          <w:sz w:val="24"/>
          <w:szCs w:val="24"/>
          <w:color w:val="auto"/>
        </w:rPr>
      </w:pPr>
    </w:p>
    <w:tbl>
      <w:tblPr>
        <w:tblLayout w:type="fixed"/>
        <w:tblInd w:w="1760" w:type="dxa"/>
        <w:tblCellMar>
          <w:top w:w="0" w:type="dxa"/>
          <w:left w:w="0" w:type="dxa"/>
          <w:bottom w:w="0" w:type="dxa"/>
          <w:right w:w="0" w:type="dxa"/>
        </w:tblCellMar>
      </w:tblPr>
      <w:tr>
        <w:trPr>
          <w:trHeight w:val="202"/>
        </w:trPr>
        <w:tc>
          <w:tcPr>
            <w:tcW w:w="2920" w:type="dxa"/>
            <w:vAlign w:val="bottom"/>
          </w:tcPr>
          <w:p>
            <w:pPr>
              <w:spacing w:after="0"/>
              <w:rPr>
                <w:sz w:val="17"/>
                <w:szCs w:val="17"/>
                <w:color w:val="auto"/>
              </w:rPr>
            </w:pPr>
          </w:p>
        </w:tc>
        <w:tc>
          <w:tcPr>
            <w:tcW w:w="4940" w:type="dxa"/>
            <w:vAlign w:val="bottom"/>
          </w:tcPr>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J. Matthew Lyons</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Marc D’Annunzio</w:t>
            </w:r>
          </w:p>
        </w:tc>
      </w:tr>
      <w:tr>
        <w:trPr>
          <w:trHeight w:val="162"/>
        </w:trPr>
        <w:tc>
          <w:tcPr>
            <w:tcW w:w="2920" w:type="dxa"/>
            <w:vAlign w:val="bottom"/>
          </w:tcPr>
          <w:p>
            <w:pPr>
              <w:jc w:val="center"/>
              <w:ind w:right="584"/>
              <w:spacing w:after="0" w:line="162" w:lineRule="exact"/>
              <w:rPr>
                <w:sz w:val="20"/>
                <w:szCs w:val="20"/>
                <w:color w:val="auto"/>
              </w:rPr>
            </w:pPr>
            <w:r>
              <w:rPr>
                <w:rFonts w:ascii="Times New Roman" w:cs="Times New Roman" w:eastAsia="Times New Roman" w:hAnsi="Times New Roman"/>
                <w:sz w:val="15"/>
                <w:szCs w:val="15"/>
                <w:b w:val="1"/>
                <w:bCs w:val="1"/>
                <w:color w:val="auto"/>
              </w:rPr>
              <w:t>Austin D. March</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General Counsel</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Wilson Sonsini Goodrich &amp; Rosati,</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10000 Avalon Boulevard, Suite 1000</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Professional Corporation</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Alpharetta, Georgia 30009</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900 S. Capital of Texas Highway</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(678) 534-5849</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Las Cimas IV, 5th Floor</w:t>
            </w:r>
          </w:p>
        </w:tc>
        <w:tc>
          <w:tcPr>
            <w:tcW w:w="4940" w:type="dxa"/>
            <w:vAlign w:val="bottom"/>
          </w:tcPr>
          <w:p>
            <w:pPr>
              <w:spacing w:after="0"/>
              <w:rPr>
                <w:sz w:val="14"/>
                <w:szCs w:val="14"/>
                <w:color w:val="auto"/>
              </w:rPr>
            </w:pPr>
          </w:p>
        </w:tc>
      </w:tr>
      <w:tr>
        <w:trPr>
          <w:trHeight w:val="162"/>
        </w:trPr>
        <w:tc>
          <w:tcPr>
            <w:tcW w:w="2920" w:type="dxa"/>
            <w:vAlign w:val="bottom"/>
          </w:tcPr>
          <w:p>
            <w:pPr>
              <w:jc w:val="center"/>
              <w:ind w:right="584"/>
              <w:spacing w:after="0" w:line="162" w:lineRule="exact"/>
              <w:rPr>
                <w:sz w:val="20"/>
                <w:szCs w:val="20"/>
                <w:color w:val="auto"/>
              </w:rPr>
            </w:pPr>
            <w:r>
              <w:rPr>
                <w:rFonts w:ascii="Times New Roman" w:cs="Times New Roman" w:eastAsia="Times New Roman" w:hAnsi="Times New Roman"/>
                <w:sz w:val="15"/>
                <w:szCs w:val="15"/>
                <w:b w:val="1"/>
                <w:bCs w:val="1"/>
                <w:color w:val="auto"/>
              </w:rPr>
              <w:t>Austin, TX 78746</w:t>
            </w:r>
          </w:p>
        </w:tc>
        <w:tc>
          <w:tcPr>
            <w:tcW w:w="4940" w:type="dxa"/>
            <w:vAlign w:val="bottom"/>
          </w:tcPr>
          <w:p>
            <w:pPr>
              <w:spacing w:after="0"/>
              <w:rPr>
                <w:sz w:val="14"/>
                <w:szCs w:val="14"/>
                <w:color w:val="auto"/>
              </w:rPr>
            </w:pPr>
          </w:p>
        </w:tc>
      </w:tr>
      <w:tr>
        <w:trPr>
          <w:trHeight w:val="202"/>
        </w:trPr>
        <w:tc>
          <w:tcPr>
            <w:tcW w:w="2920" w:type="dxa"/>
            <w:vAlign w:val="bottom"/>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(512) 338-5400</w:t>
            </w:r>
          </w:p>
        </w:tc>
        <w:tc>
          <w:tcPr>
            <w:tcW w:w="49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99695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From time to time after the effective date of this registration statement.</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(Approximate date of commencement of proposed sale to the public)</w:t>
      </w:r>
    </w:p>
    <w:p>
      <w:pPr>
        <w:spacing w:after="0" w:line="10"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68" w:lineRule="exact"/>
        <w:rPr>
          <w:sz w:val="24"/>
          <w:szCs w:val="24"/>
          <w:color w:val="auto"/>
        </w:rPr>
      </w:pPr>
    </w:p>
    <w:p>
      <w:pPr>
        <w:ind w:left="120" w:right="100"/>
        <w:spacing w:after="0" w:line="194"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400"/>
        <w:spacing w:after="0" w:line="191"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160"/>
        <w:spacing w:after="0" w:line="19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360"/>
        <w:spacing w:after="0" w:line="194"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580"/>
        <w:spacing w:after="0" w:line="191"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ind w:left="1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ind w:left="12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20" w:type="dxa"/>
        <w:tblCellMar>
          <w:top w:w="0" w:type="dxa"/>
          <w:left w:w="0" w:type="dxa"/>
          <w:bottom w:w="0" w:type="dxa"/>
          <w:right w:w="0" w:type="dxa"/>
        </w:tblCellMar>
      </w:tblPr>
      <w:tr>
        <w:trPr>
          <w:trHeight w:val="22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Accelerated filer</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6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16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Emerging growth company</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bl>
    <w:p>
      <w:pPr>
        <w:ind w:left="120" w:right="400"/>
        <w:spacing w:after="0" w:line="19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2" w:lineRule="exact"/>
        <w:rPr>
          <w:sz w:val="24"/>
          <w:szCs w:val="24"/>
          <w:color w:val="auto"/>
        </w:rPr>
      </w:pPr>
    </w:p>
    <w:p>
      <w:pPr>
        <w:jc w:val="both"/>
        <w:ind w:left="120" w:right="34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14,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173990</wp:posOffset>
            </wp:positionV>
            <wp:extent cx="90868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$150,000,000</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$150,000,000.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Class A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 and “</w:t>
      </w:r>
      <w:r>
        <w:rPr>
          <w:rFonts w:ascii="Times New Roman" w:cs="Times New Roman" w:eastAsia="Times New Roman" w:hAnsi="Times New Roman"/>
          <w:sz w:val="22"/>
          <w:szCs w:val="22"/>
          <w:b w:val="1"/>
          <w:bCs w:val="1"/>
          <w:i w:val="1"/>
          <w:iCs w:val="1"/>
          <w:color w:val="auto"/>
        </w:rPr>
        <w:t>Item 1A – Risk Factors</w:t>
      </w:r>
      <w:r>
        <w:rPr>
          <w:rFonts w:ascii="Times New Roman" w:cs="Times New Roman" w:eastAsia="Times New Roman" w:hAnsi="Times New Roman"/>
          <w:sz w:val="22"/>
          <w:szCs w:val="22"/>
          <w:b w:val="1"/>
          <w:bCs w:val="1"/>
          <w:color w:val="auto"/>
        </w:rPr>
        <w:t>” of our most recent Annual Report on Form 10-K and any Quarterly Report on Form 10-Q filed subsequently to such Form 10-K that is incorporated by reference in this prospectus before you invest in our securities.</w:t>
      </w:r>
    </w:p>
    <w:p>
      <w:pPr>
        <w:spacing w:after="0" w:line="183"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6"/>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98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300" w:right="300"/>
        <w:spacing w:after="0" w:line="255"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240" w:right="24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 simple,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Rewards</w:t>
      </w:r>
      <w:r>
        <w:rPr>
          <w:rFonts w:ascii="Times New Roman" w:cs="Times New Roman" w:eastAsia="Times New Roman" w:hAnsi="Times New Roman"/>
          <w:sz w:val="18"/>
          <w:szCs w:val="18"/>
          <w:color w:val="auto"/>
        </w:rPr>
        <w:t>. We are in the process of enabling clients of all sizes to offer loyalty and rewards to their customers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crypto – either by earning crypto rewards, or by redeeming existing reward currencies, such as points or miles, into crypto.</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together with Apex Crypto, the “Seller Parties”), pursuant to the terms of a Membership Interest Purchase Agreement (as amended, the “Purchase Agreement”), dated as of November 2, 2022, by and among the Bakkt 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8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our Amended Form 10-Q, filed on February 14, 2024, that (i) amends and restates the disclosure in Part II, Item 1A “Risk Factors” to, among other things,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the unaudited financial statements included in our quarterly report on Form 10-Q for the quarterly period ended September 30, 2023 (the “Original Form 10-Q”) filed on November 14, 2023 (the “Original 10-Q Filing Date”), we disclosed that subsequent to the filing of the Original Form 10-Q, and in connection with the filing of Amendment No. 3 to the Original Form 10-Q (the “Amended Form 10-Q”), we made the following determination regarding our ability to continue as a going concern using the information available to us as of the date of the filing of the Amended Form 10-Q.</w:t>
      </w:r>
    </w:p>
    <w:p>
      <w:pPr>
        <w:spacing w:after="0" w:line="183"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and continue to incur losses and consume cash through the date of the Amended Form 10-Q filing.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as of the date of filing of the Amended Form 10-Q, raised substantial doubt about our ability to continue as a going concern.</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56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156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As of the date of the Amended Form 10-Q, we did not believe that our cash, short-term securities, and restricted cash were sufficient to fund our operations for the next 12 months, without raising additional capital in 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could not conclude, as of the date of the filing of the Amended Form 10-Q, that it was probable that we would be able to increase revenues substantially beyond levels that we have attained in the past in order to generate sustainable operating profit to continue doing business, and, as a result, we concluded these plans did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cannot continue as a viable entity, our stockholders would likely lose most or all of their investment in us.</w:t>
      </w:r>
    </w:p>
    <w:p>
      <w:pPr>
        <w:spacing w:after="0" w:line="187" w:lineRule="exact"/>
        <w:rPr>
          <w:sz w:val="20"/>
          <w:szCs w:val="20"/>
          <w:color w:val="auto"/>
        </w:rPr>
      </w:pPr>
    </w:p>
    <w:p>
      <w:pPr>
        <w:ind w:left="300" w:right="240" w:firstLine="426"/>
        <w:spacing w:after="0" w:line="312" w:lineRule="auto"/>
        <w:rPr>
          <w:sz w:val="20"/>
          <w:szCs w:val="20"/>
          <w:color w:val="auto"/>
        </w:rPr>
      </w:pPr>
      <w:r>
        <w:rPr>
          <w:rFonts w:ascii="Times New Roman" w:cs="Times New Roman" w:eastAsia="Times New Roman" w:hAnsi="Times New Roman"/>
          <w:sz w:val="17"/>
          <w:szCs w:val="17"/>
          <w:color w:val="auto"/>
        </w:rPr>
        <w:t>For additional information, please see our other filings with the SEC that are incorporated by reference into this prospectus, including the Amended Form 10-Q and the risk factor entitled “We might not be able to continue as a going concern.” included under Part II, Item 1A therein.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5"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 including our acquisition of Bakkt Crypto – and integration of these acquisitions may disrupt our business and management.</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3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44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45" w:lineRule="exact"/>
        <w:rPr>
          <w:rFonts w:ascii="Times New Roman" w:cs="Times New Roman" w:eastAsia="Times New Roman" w:hAnsi="Times New Roman"/>
          <w:sz w:val="17"/>
          <w:szCs w:val="17"/>
          <w:color w:val="auto"/>
        </w:rPr>
      </w:pPr>
    </w:p>
    <w:p>
      <w:pPr>
        <w:ind w:left="124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1"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38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1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4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right="22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80" w:hanging="2"/>
        <w:spacing w:after="0" w:line="26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debt securities, warrants and units in one or more offerings and in any combination. The aggregate offering price of the securities we sell pursuant to this prospectus will not exceed $150,000,000.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664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77" w:lineRule="auto"/>
        <w:rPr>
          <w:sz w:val="20"/>
          <w:szCs w:val="20"/>
          <w:color w:val="auto"/>
        </w:rPr>
      </w:pPr>
      <w:r>
        <w:rPr>
          <w:rFonts w:ascii="Times New Roman" w:cs="Times New Roman" w:eastAsia="Times New Roman" w:hAnsi="Times New Roman"/>
          <w:sz w:val="17"/>
          <w:szCs w:val="17"/>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68"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Class A Common Stock, preferred stock or debt securities.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2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4.7 to our Annual Report on Form 10-K for the fiscal year ended December 31, 2022, filed with the SEC on March 24, 2023.</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Securities Exchange Act of 1934, as amended (the “Exchange Act”), which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8"/>
          <w:szCs w:val="18"/>
          <w:i w:val="1"/>
          <w:iCs w:val="1"/>
          <w:color w:val="auto"/>
        </w:rPr>
        <w:t>Global Debt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Book-Entry System</w:t>
      </w:r>
      <w:r>
        <w:rPr>
          <w:rFonts w:ascii="Times New Roman" w:cs="Times New Roman" w:eastAsia="Times New Roman" w:hAnsi="Times New Roman"/>
          <w:sz w:val="18"/>
          <w:szCs w:val="18"/>
          <w:color w:val="auto"/>
        </w:rPr>
        <w:t>” below, book-entry debt securities will not be issuable in certificated form.</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payment is deposited by us with the trustee or with a paying agent prior to the expiration of the 30-day period);</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Defeasance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5" w:lineRule="exact"/>
        <w:rPr>
          <w:sz w:val="20"/>
          <w:szCs w:val="20"/>
          <w:color w:val="auto"/>
        </w:rPr>
      </w:pPr>
    </w:p>
    <w:p>
      <w:pPr>
        <w:ind w:left="1080" w:right="160" w:hanging="424"/>
        <w:spacing w:after="0" w:line="267"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and certain other covenants set forth in the indenture, as well as any additional covenants which may be set forth in the applicable prospectus supplement; and</w:t>
      </w:r>
    </w:p>
    <w:p>
      <w:pPr>
        <w:spacing w:after="0" w:line="8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Class A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Class A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Class A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5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Austin, Texas.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w:t>
      </w:r>
    </w:p>
    <w:p>
      <w:pPr>
        <w:spacing w:after="0" w:line="27" w:lineRule="exact"/>
        <w:rPr>
          <w:sz w:val="20"/>
          <w:szCs w:val="20"/>
          <w:color w:val="auto"/>
        </w:rPr>
      </w:pPr>
    </w:p>
    <w:p>
      <w:pPr>
        <w:ind w:left="120" w:right="400"/>
        <w:spacing w:after="0" w:line="253" w:lineRule="auto"/>
        <w:rPr>
          <w:sz w:val="20"/>
          <w:szCs w:val="20"/>
          <w:color w:val="auto"/>
        </w:rPr>
      </w:pPr>
      <w:r>
        <w:rPr>
          <w:rFonts w:ascii="Times New Roman" w:cs="Times New Roman" w:eastAsia="Times New Roman" w:hAnsi="Times New Roman"/>
          <w:sz w:val="18"/>
          <w:szCs w:val="18"/>
          <w:color w:val="auto"/>
        </w:rPr>
        <w:t>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2">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53">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filed with the SEC on April 24, 2023, that are incorporated by reference into our </w:t>
      </w:r>
      <w:hyperlink r:id="rId54">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1"/>
        </w:numPr>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auto"/>
          </w:rPr>
          <w:t xml:space="preserve">our Quarterly Reports on Form 10-Q for the quarterly periods ended March 31, 2023 and June 30, 2023,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August 10, 2023</w:t>
        </w:r>
      </w:hyperlink>
      <w:hyperlink r:id="rId55">
        <w:r>
          <w:rPr>
            <w:rFonts w:ascii="Times New Roman" w:cs="Times New Roman" w:eastAsia="Times New Roman" w:hAnsi="Times New Roman"/>
            <w:sz w:val="18"/>
            <w:szCs w:val="18"/>
            <w:color w:val="000000"/>
          </w:rPr>
          <w:t xml:space="preserve">, respectively, and our Quarterly Report on Form 10-Q for the quarterly period ended September 30, 2023,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 xml:space="preserve">with the SEC on </w:t>
      </w:r>
      <w:hyperlink r:id="rId57">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 xml:space="preserve">, as amended by our Quarterly Reports on Form 10-Q/A filed with the SEC on </w:t>
      </w:r>
      <w:hyperlink r:id="rId58">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000000"/>
        </w:rPr>
        <w:t xml:space="preserve">, </w:t>
      </w:r>
      <w:hyperlink r:id="rId59">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000000"/>
        </w:rPr>
        <w:t>;</w:t>
      </w:r>
    </w:p>
    <w:p>
      <w:pPr>
        <w:spacing w:after="0" w:line="85" w:lineRule="exact"/>
        <w:rPr>
          <w:rFonts w:ascii="Times New Roman" w:cs="Times New Roman" w:eastAsia="Times New Roman" w:hAnsi="Times New Roman"/>
          <w:sz w:val="18"/>
          <w:szCs w:val="18"/>
          <w:color w:val="0000EE"/>
        </w:rPr>
      </w:pPr>
    </w:p>
    <w:p>
      <w:pPr>
        <w:ind w:left="1080" w:right="2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1">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April 3, 2023</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4">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Form 8-K/A filed with the SEC on </w:t>
      </w:r>
      <w:hyperlink r:id="rId65">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April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7">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Form 8-A relating thereto, filed on </w:t>
      </w:r>
      <w:hyperlink r:id="rId68">
        <w:r>
          <w:rPr>
            <w:rFonts w:ascii="Times New Roman" w:cs="Times New Roman" w:eastAsia="Times New Roman" w:hAnsi="Times New Roman"/>
            <w:sz w:val="18"/>
            <w:szCs w:val="18"/>
            <w:u w:val="single" w:color="auto"/>
            <w:color w:val="0000EE"/>
          </w:rPr>
          <w:t>October 15,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4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4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$ 17,839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50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$ 23,000</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25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50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5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50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5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250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5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$ 40,839</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7"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paid $12,673 in connection with prior filings of this Registration Statement.</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the Board.</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0" w:type="dxa"/>
            <w:vAlign w:val="bottom"/>
            <w:gridSpan w:val="9"/>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0" w:type="dxa"/>
            <w:vAlign w:val="bottom"/>
            <w:gridSpan w:val="9"/>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700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60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Agreement and Plan of Merger, dated January 11, 2021, by and among the Company, Merger Sub, and the Company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reference to Exhibit 2.1 to the Company’s Form 8-K filed with the SEC on January 11, 2021).</w:t>
              </w:r>
            </w:hyperlink>
          </w:p>
        </w:tc>
        <w:tc>
          <w:tcPr>
            <w:tcW w:w="2860" w:type="dxa"/>
            <w:vAlign w:val="bottom"/>
            <w:tcBorders>
              <w:top w:val="single" w:sz="8" w:color="0000EE"/>
            </w:tcBorders>
            <w:gridSpan w:val="4"/>
          </w:tcPr>
          <w:p>
            <w:pPr>
              <w:spacing w:after="0"/>
              <w:rPr>
                <w:sz w:val="17"/>
                <w:szCs w:val="17"/>
                <w:color w:val="auto"/>
              </w:rPr>
            </w:pPr>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Amendment to Agreement and Plan of Merger, dated March 30, 2021 by and among the Company, Merger Sub, and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(incorporated by reference to Exhibit 2.1 to the Company’s Form 8-K filed with the SEC on March 31, 2021).</w:t>
              </w:r>
            </w:hyperlink>
          </w:p>
        </w:tc>
        <w:tc>
          <w:tcPr>
            <w:tcW w:w="1460" w:type="dxa"/>
            <w:vAlign w:val="bottom"/>
            <w:tcBorders>
              <w:top w:val="single" w:sz="8" w:color="0000EE"/>
            </w:tcBorders>
            <w:gridSpan w:val="2"/>
          </w:tcPr>
          <w:p>
            <w:pPr>
              <w:spacing w:after="0"/>
              <w:rPr>
                <w:sz w:val="17"/>
                <w:szCs w:val="17"/>
                <w:color w:val="auto"/>
              </w:rPr>
            </w:pPr>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Amendment to Agreement and Plan of Merger, dated September 29, 2021 by and among the Company, Merger Sub, and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(incorporated by reference to Exhibit 2.1 to the Company’s Form 8-K filed with the SEC on September 30, 2021).</w:t>
              </w:r>
            </w:hyperlink>
          </w:p>
        </w:tc>
        <w:tc>
          <w:tcPr>
            <w:tcW w:w="1460" w:type="dxa"/>
            <w:vAlign w:val="bottom"/>
            <w:tcBorders>
              <w:top w:val="single" w:sz="8" w:color="0000EE"/>
            </w:tcBorders>
            <w:gridSpan w:val="3"/>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Incorporation of the Company, as currently in effect (incorporated by reference to Exhibit 3.1 to the Company’s Form 8-K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filed with the SEC on October 21, 2021)</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By-Laws of the Company, as currently in effect (incorporated by reference to Exhibit 3.2 to the Company’s Form 8-K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on October 21, 2021)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60" w:type="dxa"/>
            <w:vAlign w:val="bottom"/>
            <w:gridSpan w:val="15"/>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6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800" w:type="dxa"/>
            <w:vAlign w:val="bottom"/>
            <w:gridSpan w:val="18"/>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Specimen Warrant Certificate of the Company (incorporated by reference to Exhibit 4.2 to the Company’s Form 8-K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on October 21, 2021)</w:t>
              </w:r>
            </w:hyperlink>
          </w:p>
        </w:tc>
        <w:tc>
          <w:tcPr>
            <w:tcW w:w="8220" w:type="dxa"/>
            <w:vAlign w:val="bottom"/>
            <w:tcBorders>
              <w:top w:val="single" w:sz="8" w:color="0000EE"/>
            </w:tcBorders>
            <w:gridSpan w:val="1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800" w:type="dxa"/>
            <w:vAlign w:val="bottom"/>
            <w:gridSpan w:val="18"/>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Warrant Agreement, dated September 22, 2020, by and between the Company and Continental Stock Transfer &amp; Trust Company,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warrant agent (incorporated by reference to Exhibit 4.1 of the Company’s Form 8-K filed with the SEC on September 28, 2020)</w:t>
              </w:r>
            </w:hyperlink>
          </w:p>
        </w:tc>
        <w:tc>
          <w:tcPr>
            <w:tcW w:w="320" w:type="dxa"/>
            <w:vAlign w:val="bottom"/>
            <w:tcBorders>
              <w:top w:val="single" w:sz="8" w:color="0000EE"/>
            </w:tcBorders>
            <w:gridSpan w:val="5"/>
          </w:tcPr>
          <w:p>
            <w:pPr>
              <w:spacing w:after="0"/>
              <w:rPr>
                <w:sz w:val="17"/>
                <w:szCs w:val="17"/>
                <w:color w:val="auto"/>
              </w:rPr>
            </w:pP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9800" w:type="dxa"/>
            <w:vAlign w:val="bottom"/>
            <w:gridSpan w:val="18"/>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Third Amended and Restated Limited Liability Company Agreement, dated October 15, 2021, by and among Opco and the Opco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Equity Holders (incorporated by reference to Exhibit 4.3 to the Company’s Form 8-K filed with the SEC on October 21, 2021)</w:t>
              </w:r>
            </w:hyperlink>
          </w:p>
        </w:tc>
        <w:tc>
          <w:tcPr>
            <w:tcW w:w="4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13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Form of Indenture</w:t>
              </w:r>
            </w:hyperlink>
          </w:p>
        </w:tc>
        <w:tc>
          <w:tcPr>
            <w:tcW w:w="7780" w:type="dxa"/>
            <w:vAlign w:val="bottom"/>
            <w:tcBorders>
              <w:top w:val="single" w:sz="8" w:color="0000EE"/>
            </w:tcBorders>
            <w:gridSpan w:val="8"/>
          </w:tcPr>
          <w:p>
            <w:pPr>
              <w:spacing w:after="0"/>
              <w:rPr>
                <w:sz w:val="24"/>
                <w:szCs w:val="24"/>
                <w:color w:val="auto"/>
              </w:rPr>
            </w:pPr>
          </w:p>
        </w:tc>
        <w:tc>
          <w:tcPr>
            <w:tcW w:w="7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9800" w:type="dxa"/>
            <w:vAlign w:val="bottom"/>
            <w:gridSpan w:val="18"/>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Registration Rights Agreement, dated as of April 1, 2023, by and between Bakkt Holdings, Inc. and Apex Fintech Solutions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(incorporated by reference to Exhibit 4.1 to the Company’s Form 8-K filed with the SEC on April 3, 2023)</w:t>
              </w:r>
            </w:hyperlink>
          </w:p>
        </w:tc>
        <w:tc>
          <w:tcPr>
            <w:tcW w:w="1560" w:type="dxa"/>
            <w:vAlign w:val="bottom"/>
            <w:tcBorders>
              <w:top w:val="single" w:sz="8" w:color="0000EE"/>
            </w:tcBorders>
            <w:gridSpan w:val="4"/>
          </w:tcPr>
          <w:p>
            <w:pPr>
              <w:spacing w:after="0"/>
              <w:rPr>
                <w:sz w:val="17"/>
                <w:szCs w:val="17"/>
                <w:color w:val="auto"/>
              </w:rPr>
            </w:pPr>
          </w:p>
        </w:tc>
        <w:tc>
          <w:tcPr>
            <w:tcW w:w="5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9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Amendment Agreement, dated as of August 9, 2023, by and among Bakkt Holdings, Inc., Apex Fintech Solutions Inc. and PEAK6</w:t>
              </w:r>
            </w:hyperlink>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Investments LLC (incorporated by reference to Exhibit 4.2 to the Company’s Form 10-Q filed with the SEC on August 10, 2023)</w:t>
              </w:r>
            </w:hyperlink>
          </w:p>
        </w:tc>
        <w:tc>
          <w:tcPr>
            <w:tcW w:w="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4.10*</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4.11*</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20" w:type="dxa"/>
            <w:vAlign w:val="bottom"/>
          </w:tcPr>
          <w:p>
            <w:pPr>
              <w:spacing w:after="0"/>
              <w:rPr>
                <w:sz w:val="24"/>
                <w:szCs w:val="24"/>
                <w:color w:val="auto"/>
              </w:rPr>
            </w:pPr>
          </w:p>
        </w:tc>
        <w:tc>
          <w:tcPr>
            <w:tcW w:w="6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 of the Company</w:t>
            </w:r>
          </w:p>
        </w:tc>
        <w:tc>
          <w:tcPr>
            <w:tcW w:w="29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2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of VPC Impact Acquisition Holdings</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20" w:type="dxa"/>
            <w:vAlign w:val="bottom"/>
          </w:tcPr>
          <w:p>
            <w:pPr>
              <w:spacing w:after="0"/>
              <w:rPr>
                <w:sz w:val="24"/>
                <w:szCs w:val="24"/>
                <w:color w:val="auto"/>
              </w:rPr>
            </w:pPr>
          </w:p>
        </w:tc>
        <w:tc>
          <w:tcPr>
            <w:tcW w:w="88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RSM US LLP, independent auditors of Bakkt Crypto Solutions, LLC (f/k/a Apex Crypto LLC)</w:t>
            </w:r>
          </w:p>
        </w:tc>
        <w:tc>
          <w:tcPr>
            <w:tcW w:w="9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72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w w:val="99"/>
              </w:rPr>
              <w:t>Consent of Wilson Sonsini Goodrich &amp; Rosati, Professional Corporation (included in the opinion filed as Exhibit 5.1 to this registration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statement)</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24.1**</w:t>
            </w:r>
          </w:p>
        </w:tc>
        <w:tc>
          <w:tcPr>
            <w:tcW w:w="720" w:type="dxa"/>
            <w:vAlign w:val="bottom"/>
          </w:tcPr>
          <w:p>
            <w:pPr>
              <w:spacing w:after="0"/>
              <w:rPr>
                <w:sz w:val="24"/>
                <w:szCs w:val="24"/>
                <w:color w:val="auto"/>
              </w:rPr>
            </w:pPr>
          </w:p>
        </w:tc>
        <w:tc>
          <w:tcPr>
            <w:tcW w:w="58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Powers of Attorney (included on the signature page to this registration statement)</w:t>
              </w:r>
            </w:hyperlink>
          </w:p>
        </w:tc>
        <w:tc>
          <w:tcPr>
            <w:tcW w:w="3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25.1***</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Indenture under the Trust Indenture Act of 1939</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4"/>
                <w:szCs w:val="24"/>
                <w:color w:val="auto"/>
              </w:rPr>
            </w:pPr>
          </w:p>
        </w:tc>
        <w:tc>
          <w:tcPr>
            <w:tcW w:w="9800" w:type="dxa"/>
            <w:vAlign w:val="bottom"/>
            <w:gridSpan w:val="18"/>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Filing Fee Table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2460" w:hanging="4"/>
        <w:spacing w:after="0" w:line="261" w:lineRule="auto"/>
        <w:tabs>
          <w:tab w:leader="none" w:pos="5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incorporated by reference pursuant to a Current Report on Form 8-K. ** Previously filed.</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pursuant to Section 305(b)(2) of the Trust Indenture Act of 1939, as amended.</w:t>
      </w:r>
    </w:p>
    <w:p>
      <w:pPr>
        <w:spacing w:after="0" w:line="9" w:lineRule="exact"/>
        <w:rPr>
          <w:rFonts w:ascii="Times New Roman" w:cs="Times New Roman" w:eastAsia="Times New Roman" w:hAnsi="Times New Roman"/>
          <w:sz w:val="18"/>
          <w:szCs w:val="18"/>
          <w:color w:val="auto"/>
        </w:rPr>
      </w:pPr>
    </w:p>
    <w:p>
      <w:pPr>
        <w:ind w:left="540" w:right="80" w:hanging="4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spacing w:after="0" w:line="32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55" w:lineRule="auto"/>
        <w:tabs>
          <w:tab w:leader="none" w:pos="18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20" w:right="80" w:firstLine="1428"/>
        <w:spacing w:after="0" w:line="282" w:lineRule="auto"/>
        <w:tabs>
          <w:tab w:leader="none" w:pos="18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120" w:right="80" w:firstLine="987"/>
        <w:spacing w:after="0" w:line="266" w:lineRule="auto"/>
        <w:tabs>
          <w:tab w:leader="none" w:pos="13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7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53" w:lineRule="auto"/>
        <w:tabs>
          <w:tab w:leader="none" w:pos="181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240" w:firstLine="987"/>
        <w:spacing w:after="0" w:line="258" w:lineRule="auto"/>
        <w:tabs>
          <w:tab w:leader="none" w:pos="13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any preliminary prospectus or prospectus of the undersigned registrant relating to the offering required to be filed pursuant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 424;</w:t>
      </w:r>
    </w:p>
    <w:p>
      <w:pPr>
        <w:spacing w:after="0" w:line="207" w:lineRule="exact"/>
        <w:rPr>
          <w:sz w:val="20"/>
          <w:szCs w:val="20"/>
          <w:color w:val="auto"/>
        </w:rPr>
      </w:pPr>
    </w:p>
    <w:p>
      <w:pPr>
        <w:ind w:left="120" w:right="140" w:firstLine="1428"/>
        <w:spacing w:after="0" w:line="282" w:lineRule="auto"/>
        <w:tabs>
          <w:tab w:leader="none" w:pos="1817"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right="160" w:firstLine="1428"/>
        <w:spacing w:after="0" w:line="282" w:lineRule="auto"/>
        <w:tabs>
          <w:tab w:leader="none" w:pos="1867"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61"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February 14,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February 14,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Gavin Michael</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Gavin Michael</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Alexander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Alexander</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Goodroe</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Goodroe</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Sean Collins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C. Clifton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De’Ana Dow</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Michelle J. Goldberg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Lumb</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A. Main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Jill Simeone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Gordon Watson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pacing w:after="0" w:line="2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*By:</w:t>
        <w:tab/>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657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9728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900 S. Capital of Texas Highway</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Las Cimas IV, 5th Floor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Austin, TX 78746</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(512) 338-5400</w:t>
      </w:r>
    </w:p>
    <w:p>
      <w:pPr>
        <w:spacing w:after="0" w:line="3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(512) 338-5499</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At your request, we have examined the Registration Statement on Form S-3 (as amended, the “Registration Statement”), filed by Bakkt Holdings, Inc., a Delaware corporation (the “Company”), with the Securities and Exchange Commission (the “Commission”) in connection with the registration pursuant to the Securities Act of 1933, as amended (the “Act”), of the Securities (as defined below).</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$150,000,000, or the equivalent thereof, of (a) shares of the Company’s Class A common stock, $0.0001 par value per share (the “Class A Common Stock”); (b) shares of the Company’s preferred stock, $0.0001 par value per share (the “Preferred Stock”); (c) the Company’s debt securities (the “Debt Securities”); (d) warrants to purchase Class A Common Stock, Preferred Stock or Debt Securities (the “Warrants”); and (e) units consisting of two or more securities described above in any combination (the “Units”) (the Class A Common Stock, the Preferred Stock, the Debt Securities, the Warrants and the Units are collectively referred to herein as the “Securities”).</w:t>
      </w:r>
    </w:p>
    <w:p>
      <w:pPr>
        <w:spacing w:after="0" w:line="18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spacing w:after="0" w:line="121" w:lineRule="exact"/>
        <w:rPr>
          <w:sz w:val="20"/>
          <w:szCs w:val="20"/>
          <w:color w:val="auto"/>
        </w:rPr>
      </w:pPr>
    </w:p>
    <w:p>
      <w:pPr>
        <w:ind w:right="120" w:firstLine="112"/>
        <w:spacing w:after="0" w:line="282" w:lineRule="auto"/>
        <w:rPr>
          <w:sz w:val="20"/>
          <w:szCs w:val="20"/>
          <w:color w:val="auto"/>
        </w:rPr>
      </w:pPr>
      <w:r>
        <w:rPr>
          <w:rFonts w:ascii="Times New Roman" w:cs="Times New Roman" w:eastAsia="Times New Roman" w:hAnsi="Times New Roman"/>
          <w:sz w:val="18"/>
          <w:szCs w:val="18"/>
          <w:color w:val="auto"/>
        </w:rPr>
        <w:t>AUSTIN   BEIJING   BOSTON   BOULDER   BRUSSELS   HONG KONG   LONDON   LOS ANGELES   NEW YORK   PALO ALTO SALT LAKE CITY   SAN DIEGO   SAN FRANCISCO   SEATTLE   SHANGHAI   WASHINGTON, DC   WILMINGTON, DE</w:t>
      </w:r>
    </w:p>
    <w:p>
      <w:pPr>
        <w:sectPr>
          <w:pgSz w:w="11900" w:h="16838" w:orient="portrait"/>
          <w:cols w:equalWidth="0" w:num="1">
            <w:col w:w="11020"/>
          </w:cols>
          <w:pgMar w:left="440" w:top="117" w:right="439" w:bottom="1440" w:gutter="0" w:footer="0" w:header="0"/>
        </w:sectPr>
      </w:pPr>
    </w:p>
    <w:bookmarkStart w:id="32" w:name="page33"/>
    <w:bookmarkEnd w:id="3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4864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Bakkt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Class A Common Stock or Preferred Stock, that there will be sufficient shares of Class A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w:t>
      </w:r>
    </w:p>
    <w:p>
      <w:pPr>
        <w:spacing w:after="0" w:line="1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117" w:lineRule="exact"/>
        <w:rPr>
          <w:sz w:val="20"/>
          <w:szCs w:val="20"/>
          <w:color w:val="auto"/>
        </w:rPr>
      </w:pPr>
    </w:p>
    <w:p>
      <w:pPr>
        <w:ind w:left="4" w:firstLine="436"/>
        <w:spacing w:after="0" w:line="255" w:lineRule="auto"/>
        <w:tabs>
          <w:tab w:leader="none" w:pos="6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Class A Common Stock, when: (a) the Board has taken all necessary corporate action to approve the issuance and the terms of the offering of the shares of Class A Common Stock and related matters; and (b) the shares of Class A Common Stock have been duly delivered either (i) in accordance with the applicable definitive purchase, underwriting or similar agreement approved by the Board, or upon the exercise of Warrants to purchase Class A Common Stock, upon payment of the consideration therefor (not less than the par value of the Class A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Class A Common Stock will be validly issued, fully paid and nonassessable.</w:t>
      </w:r>
    </w:p>
    <w:p>
      <w:pPr>
        <w:spacing w:after="0" w:line="188" w:lineRule="exact"/>
        <w:rPr>
          <w:rFonts w:ascii="Times New Roman" w:cs="Times New Roman" w:eastAsia="Times New Roman" w:hAnsi="Times New Roman"/>
          <w:sz w:val="18"/>
          <w:szCs w:val="18"/>
          <w:color w:val="auto"/>
        </w:rPr>
      </w:pPr>
    </w:p>
    <w:p>
      <w:pPr>
        <w:ind w:left="4" w:right="240" w:firstLine="436"/>
        <w:spacing w:after="0" w:line="270" w:lineRule="auto"/>
        <w:tabs>
          <w:tab w:leader="none" w:pos="62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spacing w:after="0" w:line="2" w:lineRule="exact"/>
        <w:rPr>
          <w:rFonts w:ascii="Times New Roman" w:cs="Times New Roman" w:eastAsia="Times New Roman" w:hAnsi="Times New Roman"/>
          <w:sz w:val="17"/>
          <w:szCs w:val="17"/>
          <w:color w:val="auto"/>
        </w:rPr>
      </w:pPr>
    </w:p>
    <w:p>
      <w:pPr>
        <w:ind w:left="4" w:right="100" w:hanging="4"/>
        <w:spacing w:after="0" w:line="250" w:lineRule="auto"/>
        <w:tabs>
          <w:tab w:leader="none" w:pos="2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ind w:left="4" w:right="20" w:hanging="4"/>
        <w:spacing w:after="0" w:line="255"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ectPr>
          <w:pgSz w:w="11900" w:h="16838" w:orient="portrait"/>
          <w:cols w:equalWidth="0" w:num="1">
            <w:col w:w="11004"/>
          </w:cols>
          <w:pgMar w:left="436" w:top="70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4864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20" w:firstLine="436"/>
        <w:spacing w:after="0" w:line="254"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183"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w:t>
      </w:r>
    </w:p>
    <w:p>
      <w:pPr>
        <w:spacing w:after="0" w:line="117" w:lineRule="exact"/>
        <w:rPr>
          <w:sz w:val="20"/>
          <w:szCs w:val="20"/>
          <w:color w:val="auto"/>
        </w:rPr>
      </w:pPr>
    </w:p>
    <w:p>
      <w:pPr>
        <w:ind w:right="420" w:firstLine="987"/>
        <w:spacing w:after="0" w:line="28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transfer, moratorium or other similar laws relating to or affecting the rights of creditors generally;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pacing w:after="0" w:line="225" w:lineRule="exact"/>
        <w:rPr>
          <w:rFonts w:ascii="Times New Roman" w:cs="Times New Roman" w:eastAsia="Times New Roman" w:hAnsi="Times New Roman"/>
          <w:sz w:val="18"/>
          <w:szCs w:val="18"/>
          <w:color w:val="auto"/>
        </w:rPr>
      </w:pPr>
    </w:p>
    <w:p>
      <w:pPr>
        <w:ind w:right="520" w:firstLine="987"/>
        <w:spacing w:after="0" w:line="28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ectPr>
          <w:pgSz w:w="11900" w:h="16838" w:orient="portrait"/>
          <w:cols w:equalWidth="0" w:num="1">
            <w:col w:w="11000"/>
          </w:cols>
          <w:pgMar w:left="440" w:top="70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4864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express no opinion as to the laws of any other jurisdiction, other than the federal laws of the United States of America, the laws of the State of New York as to the enforceability of the Debt Securities and the DGCL.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40"/>
          </w:cols>
          <w:pgMar w:left="440" w:top="702"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4864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1000"/>
          </w:cols>
          <w:pgMar w:left="440" w:top="702"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Amendment No. 2 to the Form S-3 Registration Statement and related Prospectus of Bakkt Holdings, Inc. for the registration of Class A Common Stock, Preferred Stock, Debt Securities, Warrants and Units with an aggregate offering price not to exceed $150,000,000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020"/>
          </w:cols>
          <w:pgMar w:left="440" w:top="117"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Amendment No. 2 to the Registration Statement to Form S-3 (File No. 333-271361)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020"/>
          </w:cols>
          <w:pgMar w:left="440" w:top="117" w:right="4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2 to the Registration Statement (No.333-271361) on Form S-3 of Bakkt Holdings, Inc. of our report dated March 29, 2023, except for the second paragraph of Note 16 as to which the date is April 18, 2023, relating to the financial statements of Apex Crypto LLC, appearing in the Current Report on Form 8-K/A filed by Bakkt Holdings, Inc. on April 18,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of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678"/>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decimal"/>
      <w:start w:val="2"/>
    </w:lvl>
    <w:lvl w:ilvl="1">
      <w:lvlJc w:val="left"/>
      <w:lvlText w:val="(%2)"/>
      <w:numFmt w:val="lowerRoman"/>
      <w:start w:val="1"/>
    </w:lvl>
  </w:abstractNum>
  <w:abstractNum w:abstractNumId="38">
    <w:nsid w:val="70A64E2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9">
    <w:nsid w:val="6A2342EC"/>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40">
    <w:nsid w:val="2A487CB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1">
    <w:nsid w:val="1D4ED43B"/>
    <w:multiLevelType w:val="hybridMultilevel"/>
    <w:lvl w:ilvl="0">
      <w:lvlJc w:val="left"/>
      <w:lvlText w:val="%1"/>
      <w:numFmt w:val="lowerRoman"/>
      <w:start w:val="1"/>
    </w:lvl>
    <w:lvl w:ilvl="1">
      <w:lvlJc w:val="left"/>
      <w:lvlText w:val="%2."/>
      <w:numFmt w:val="decimal"/>
      <w:start w:val="1"/>
    </w:lvl>
  </w:abstractNum>
  <w:abstractNum w:abstractNumId="42">
    <w:nsid w:val="725A06FB"/>
    <w:multiLevelType w:val="hybridMultilevel"/>
    <w:lvl w:ilvl="0">
      <w:lvlJc w:val="left"/>
      <w:lvlText w:val="(%1)"/>
      <w:numFmt w:val="lowerRoman"/>
      <w:start w:val="1"/>
    </w:lvl>
    <w:lvl w:ilvl="1">
      <w:lvlJc w:val="left"/>
      <w:lvlText w:val="%2"/>
      <w:numFmt w:val="decimal"/>
      <w:start w:val="1"/>
    </w:lvl>
  </w:abstractNum>
  <w:abstractNum w:abstractNumId="43">
    <w:nsid w:val="2CD89A32"/>
    <w:multiLevelType w:val="hybridMultilevel"/>
    <w:lvl w:ilvl="0">
      <w:lvlJc w:val="left"/>
      <w:lvlText w:val="%1."/>
      <w:numFmt w:val="decimal"/>
      <w:start w:val="3"/>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7"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jpeg"/><Relationship Id="rId93" Type="http://schemas.openxmlformats.org/officeDocument/2006/relationships/image" Target="media/image56.png"/><Relationship Id="rId94" Type="http://schemas.openxmlformats.org/officeDocument/2006/relationships/image" Target="media/image57.jpeg"/><Relationship Id="rId95" Type="http://schemas.openxmlformats.org/officeDocument/2006/relationships/image" Target="media/image58.png"/><Relationship Id="rId96" Type="http://schemas.openxmlformats.org/officeDocument/2006/relationships/image" Target="media/image59.jpeg"/><Relationship Id="rId97" Type="http://schemas.openxmlformats.org/officeDocument/2006/relationships/image" Target="media/image60.png"/><Relationship Id="rId98" Type="http://schemas.openxmlformats.org/officeDocument/2006/relationships/image" Target="media/image61.jpeg"/><Relationship Id="rId99" Type="http://schemas.openxmlformats.org/officeDocument/2006/relationships/image" Target="media/image62.png"/><Relationship Id="rId100" Type="http://schemas.openxmlformats.org/officeDocument/2006/relationships/image" Target="media/image63.jpeg"/><Relationship Id="rId52" Type="http://schemas.openxmlformats.org/officeDocument/2006/relationships/hyperlink" Target="http://www.sec.gov/ix?doc=/Archives/edgar/data/1820302/000182030223000016/bakkt-20221231.htm" TargetMode="External"/><Relationship Id="rId53" Type="http://schemas.openxmlformats.org/officeDocument/2006/relationships/hyperlink" Target="http://www.sec.gov/Archives/edgar/data/1820302/000182030223000043/bakkt-2023proxy41923.htm" TargetMode="External"/><Relationship Id="rId54" Type="http://schemas.openxmlformats.org/officeDocument/2006/relationships/hyperlink" Target="http://www.sec.gov/Archives/edgar/data/1820302/000182030223000016/bakkt-20221231.htm" TargetMode="External"/><Relationship Id="rId55" Type="http://schemas.openxmlformats.org/officeDocument/2006/relationships/hyperlink" Target="http://www.sec.gov/ix?doc=/Archives/edgar/data/1820302/000182030223000062/bakkt-20230331.htm" TargetMode="External"/><Relationship Id="rId56" Type="http://schemas.openxmlformats.org/officeDocument/2006/relationships/hyperlink" Target="http://www.sec.gov/ix?doc=/Archives/edgar/data/1820302/000182030223000080/bakkt-20230630.htm" TargetMode="External"/><Relationship Id="rId57" Type="http://schemas.openxmlformats.org/officeDocument/2006/relationships/hyperlink" Target="http://www.sec.gov/ix?doc=/Archives/edgar/data/1820302/000182030223000091/bakkt-20230930.htm" TargetMode="External"/><Relationship Id="rId58" Type="http://schemas.openxmlformats.org/officeDocument/2006/relationships/hyperlink" Target="http://www.sec.gov/ix?doc=/Archives/edgar/data/1820302/000182030224000011/bakkt-20230930.htm" TargetMode="External"/><Relationship Id="rId59" Type="http://schemas.openxmlformats.org/officeDocument/2006/relationships/hyperlink" Target="http://www.sec.gov/ix?doc=/Archives/edgar/data/1820302/000182030224000014/bakkt-20230930.htm" TargetMode="External"/><Relationship Id="rId60" Type="http://schemas.openxmlformats.org/officeDocument/2006/relationships/hyperlink" Target="http://www.sec.gov/ix?doc=/Archives/edgar/data/1820302/000182030224000025/bakkt-20230930.htm" TargetMode="External"/><Relationship Id="rId61" Type="http://schemas.openxmlformats.org/officeDocument/2006/relationships/hyperlink" Target="http://www.sec.gov/ix?doc=/Archives/edgar/data/1820302/000182030223000006/bakkt-20230309.htm" TargetMode="External"/><Relationship Id="rId62" Type="http://schemas.openxmlformats.org/officeDocument/2006/relationships/hyperlink" Target="http://www.sec.gov/ix?doc=/Archives/edgar/data/1820302/000119312523089016/d482123d8k.htm" TargetMode="External"/><Relationship Id="rId63" Type="http://schemas.openxmlformats.org/officeDocument/2006/relationships/hyperlink" Target="http://www.sec.gov/ix?doc=/Archives/edgar/data/0001820302/000182030223000033/bakkt-20230418.htm" TargetMode="External"/><Relationship Id="rId64" Type="http://schemas.openxmlformats.org/officeDocument/2006/relationships/hyperlink" Target="http://www.sec.gov/ix?doc=/Archives/edgar/data/1820302/000182030223000065/bakkt-20230606.htm" TargetMode="External"/><Relationship Id="rId65" Type="http://schemas.openxmlformats.org/officeDocument/2006/relationships/hyperlink" Target="http://www.sec.gov/ix?doc=/Archives/edgar/data/0001820302/000119312522096343/d322705d8ka.htm" TargetMode="External"/><Relationship Id="rId66" Type="http://schemas.openxmlformats.org/officeDocument/2006/relationships/hyperlink" Target="http://www.sec.gov/ix?doc=/Archives/edgar/data/0001820302/000182030223000030/bakkt-20230401.htm" TargetMode="External"/><Relationship Id="rId67" Type="http://schemas.openxmlformats.org/officeDocument/2006/relationships/hyperlink" Target="http://www.sec.gov/ix?doc=/Archives/edgar/data/0001820302/000182030224000026/bakkt-20230401.htm" TargetMode="External"/><Relationship Id="rId68" Type="http://schemas.openxmlformats.org/officeDocument/2006/relationships/hyperlink" Target="http://www.sec.gov/Archives/edgar/data/1820302/000119312521299620/d211377d8a12b.htm" TargetMode="External"/><Relationship Id="rId72" Type="http://schemas.openxmlformats.org/officeDocument/2006/relationships/hyperlink" Target="http://www.sec.gov/Archives/edgar/data/1820302/000119312521005832/d913171dex21.htm" TargetMode="External"/><Relationship Id="rId73" Type="http://schemas.openxmlformats.org/officeDocument/2006/relationships/hyperlink" Target="http://www.sec.gov/Archives/edgar/data/1820302/000119312521101249/d107545dex21.htm" TargetMode="External"/><Relationship Id="rId74" Type="http://schemas.openxmlformats.org/officeDocument/2006/relationships/hyperlink" Target="http://www.sec.gov/Archives/edgar/data/1820302/000119312521286927/d204551dex21.htm" TargetMode="External"/><Relationship Id="rId75" Type="http://schemas.openxmlformats.org/officeDocument/2006/relationships/hyperlink" Target="http://www.sec.gov/Archives/edgar/data/1820302/000119312521303985/d219325dex31.htm" TargetMode="External"/><Relationship Id="rId76" Type="http://schemas.openxmlformats.org/officeDocument/2006/relationships/hyperlink" Target="http://www.sec.gov/Archives/edgar/data/1820302/000119312521303985/d219325dex32.htm" TargetMode="External"/><Relationship Id="rId78" Type="http://schemas.openxmlformats.org/officeDocument/2006/relationships/hyperlink" Target="http://www.sec.gov/Archives/edgar/data/1820302/000119312521303985/d219325dex42.htm" TargetMode="External"/><Relationship Id="rId79" Type="http://schemas.openxmlformats.org/officeDocument/2006/relationships/hyperlink" Target="http://www.sec.gov/Archives/edgar/data/1820302/000119312520256308/d38926dex41.htm" TargetMode="External"/><Relationship Id="rId80" Type="http://schemas.openxmlformats.org/officeDocument/2006/relationships/hyperlink" Target="http://www.sec.gov/Archives/edgar/data/1820302/000119312521303985/d219325dex43.htm" TargetMode="External"/><Relationship Id="rId81" Type="http://schemas.openxmlformats.org/officeDocument/2006/relationships/hyperlink" Target="http://www.sec.gov/Archives/edgar/data/0001820302/000119312523108799/d492054dex45.htm" TargetMode="External"/><Relationship Id="rId82" Type="http://schemas.openxmlformats.org/officeDocument/2006/relationships/hyperlink" Target="http://www.sec.gov/Archives/edgar/data/1820302/000119312523089016/d482123dex41.htm" TargetMode="External"/><Relationship Id="rId83" Type="http://schemas.openxmlformats.org/officeDocument/2006/relationships/hyperlink" Target="http://www.sec.gov/Archives/edgar/data/1820302/000182030223000080/exhibit42amendmentagreemen.htm" TargetMode="External"/><Relationship Id="rId84" Type="http://schemas.openxmlformats.org/officeDocument/2006/relationships/hyperlink" Target="http://www.sec.gov/Archives/edgar/data/1820302/000119312523108799/d492054ds3.htm#sig" TargetMode="External"/><Relationship Id="rId85" Type="http://schemas.openxmlformats.org/officeDocument/2006/relationships/hyperlink" Target="http://www.sec.gov/Archives/edgar/data/1820302/000119312524026861/d49205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2024-02-14T12:27:49Z</dcterms:created>
  <dcterms:modified xsi:type="dcterms:W3CDTF">2024-02-14T12:27:49Z</dcterms:modified>
</cp:coreProperties>
</file>