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drawing>
          <wp:inline distT="0" distB="0" distL="0" distR="0">
            <wp:extent cx="16002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14605"/>
                    </a:xfrm>
                    <a:prstGeom prst="rect">
                      <a:avLst/>
                    </a:prstGeom>
                  </pic:spPr>
                </pic:pic>
              </a:graphicData>
            </a:graphic>
          </wp:inline>
        </w:drawing>
      </w:r>
    </w:p>
    <w:p>
      <w:pPr>
        <w:pStyle w:val="TextBody"/>
        <w:bidi w:val="0"/>
        <w:spacing w:before="0" w:after="0"/>
        <w:jc w:val="center"/>
        <w:rPr/>
      </w:pPr>
      <w:r>
        <w:rPr/>
        <w:drawing>
          <wp:inline distT="0" distB="0" distL="0" distR="0">
            <wp:extent cx="140017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0175"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12b-25</w:t>
      </w:r>
    </w:p>
    <w:p>
      <w:pPr>
        <w:pStyle w:val="TextBody"/>
        <w:bidi w:val="0"/>
        <w:spacing w:before="0" w:after="0"/>
        <w:jc w:val="center"/>
        <w:rPr/>
      </w:pPr>
      <w:r>
        <w:rPr/>
        <w:drawing>
          <wp:inline distT="0" distB="0" distL="0" distR="0">
            <wp:extent cx="1600200"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002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NOTIFICATION OF LATE FILING</w:t>
      </w:r>
    </w:p>
    <w:tbl>
      <w:tblPr>
        <w:tblW w:w="7018" w:type="dxa"/>
        <w:jc w:val="left"/>
        <w:tblInd w:w="0" w:type="dxa"/>
        <w:tblLayout w:type="fixed"/>
        <w:tblCellMar>
          <w:top w:w="28" w:type="dxa"/>
          <w:left w:w="28" w:type="dxa"/>
          <w:bottom w:w="28" w:type="dxa"/>
          <w:right w:w="28" w:type="dxa"/>
        </w:tblCellMar>
      </w:tblPr>
      <w:tblGrid>
        <w:gridCol w:w="485"/>
        <w:gridCol w:w="427"/>
        <w:gridCol w:w="430"/>
        <w:gridCol w:w="1661"/>
        <w:gridCol w:w="1661"/>
        <w:gridCol w:w="2354"/>
      </w:tblGrid>
      <w:tr>
        <w:trPr/>
        <w:tc>
          <w:tcPr>
            <w:tcW w:w="4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One)</w:t>
            </w:r>
          </w:p>
        </w:tc>
        <w:tc>
          <w:tcPr>
            <w:tcW w:w="56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 xml:space="preserve">Form 10-K </w:t>
            </w:r>
            <w:r>
              <w:rPr>
                <w:color w:val="000000"/>
              </w:rPr>
              <w:t xml:space="preserve">☐ </w:t>
            </w:r>
            <w:r>
              <w:rPr>
                <w:rFonts w:ascii="Times New Roman;sans-serif" w:hAnsi="Times New Roman;sans-serif"/>
                <w:b w:val="false"/>
                <w:color w:val="000000"/>
                <w:sz w:val="20"/>
              </w:rPr>
              <w:t xml:space="preserve">Form 20-F </w:t>
            </w:r>
            <w:r>
              <w:rPr>
                <w:color w:val="000000"/>
              </w:rPr>
              <w:t xml:space="preserve">☐ </w:t>
            </w:r>
            <w:r>
              <w:rPr>
                <w:rFonts w:ascii="Times New Roman;sans-serif" w:hAnsi="Times New Roman;sans-serif"/>
                <w:b w:val="false"/>
                <w:color w:val="000000"/>
                <w:sz w:val="20"/>
              </w:rPr>
              <w:t xml:space="preserve">Form 11-K </w:t>
            </w:r>
            <w:r>
              <w:rPr>
                <w:color w:val="000000"/>
              </w:rPr>
              <w:t xml:space="preserve">☐ </w:t>
            </w:r>
            <w:r>
              <w:rPr>
                <w:rFonts w:ascii="Times New Roman;sans-serif" w:hAnsi="Times New Roman;sans-serif"/>
                <w:b w:val="false"/>
                <w:color w:val="000000"/>
                <w:sz w:val="20"/>
              </w:rPr>
              <w:t>Form 10-Q</w:t>
              <w:br/>
            </w:r>
            <w:r>
              <w:rPr>
                <w:color w:val="000000"/>
              </w:rPr>
              <w:t xml:space="preserve">☐ </w:t>
            </w:r>
            <w:r>
              <w:rPr>
                <w:rFonts w:ascii="Times New Roman;sans-serif" w:hAnsi="Times New Roman;sans-serif"/>
                <w:b w:val="false"/>
                <w:color w:val="000000"/>
                <w:sz w:val="20"/>
              </w:rPr>
              <w:t xml:space="preserve">Form 10-D </w:t>
            </w:r>
            <w:r>
              <w:rPr>
                <w:color w:val="000000"/>
              </w:rPr>
              <w:t xml:space="preserve">☐ </w:t>
            </w:r>
            <w:r>
              <w:rPr>
                <w:rFonts w:ascii="Times New Roman;sans-serif" w:hAnsi="Times New Roman;sans-serif"/>
                <w:b w:val="false"/>
                <w:color w:val="000000"/>
                <w:sz w:val="20"/>
              </w:rPr>
              <w:t xml:space="preserve">Form N-SAR </w:t>
            </w:r>
            <w:r>
              <w:rPr>
                <w:color w:val="000000"/>
              </w:rPr>
              <w:t xml:space="preserve">☐ </w:t>
            </w:r>
            <w:r>
              <w:rPr>
                <w:rFonts w:ascii="Times New Roman;sans-serif" w:hAnsi="Times New Roman;sans-serif"/>
                <w:b w:val="false"/>
                <w:color w:val="000000"/>
                <w:sz w:val="20"/>
              </w:rPr>
              <w:t>Form N-CSR</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Period Ended: December 31, 2024</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10-K</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20-F</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11-K</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10-Q</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on Form N-SAR</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Ended:</w:t>
            </w:r>
          </w:p>
        </w:tc>
      </w:tr>
      <w:tr>
        <w:trPr/>
        <w:tc>
          <w:tcPr>
            <w:tcW w:w="7018" w:type="dxa"/>
            <w:gridSpan w:val="6"/>
            <w:tcBorders>
              <w:top w:val="single" w:sz="8" w:space="0" w:color="000000"/>
              <w:left w:val="single" w:sz="8" w:space="0" w:color="000000"/>
              <w:bottom w:val="single" w:sz="6" w:space="0" w:color="000000"/>
              <w:right w:val="single" w:sz="8" w:space="0" w:color="000000"/>
            </w:tcBorders>
            <w:tcMar>
              <w:top w:w="30" w:type="dxa"/>
              <w:bottom w:w="3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Nothing in this form shall be construed to imply that the Commission has verified </w:t>
            </w:r>
            <w:r>
              <w:rPr>
                <w:rFonts w:ascii="Times New Roman;sans-serif" w:hAnsi="Times New Roman;sans-serif"/>
                <w:b w:val="false"/>
                <w:color w:val="000000"/>
                <w:sz w:val="20"/>
              </w:rPr>
              <w:br/>
            </w:r>
            <w:r>
              <w:rPr>
                <w:rFonts w:ascii="Times New Roman;sans-serif" w:hAnsi="Times New Roman;sans-serif"/>
                <w:b/>
                <w:color w:val="000000"/>
                <w:sz w:val="20"/>
              </w:rPr>
              <w:t>any information contained herein.</w:t>
            </w:r>
          </w:p>
        </w:tc>
      </w:tr>
    </w:tbl>
    <w:p>
      <w:pPr>
        <w:pStyle w:val="TextBody"/>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If the notification relates to a portion of the filing checked above, identify the Item(s) to which the notification relates:</w:t>
      </w:r>
    </w:p>
    <w:p>
      <w:pPr>
        <w:pStyle w:val="TextBody"/>
        <w:bidi w:val="0"/>
        <w:spacing w:before="0" w:after="0"/>
        <w:jc w:val="center"/>
        <w:rPr/>
      </w:pPr>
      <w:r>
        <w:rPr/>
        <w:drawing>
          <wp:inline distT="0" distB="0" distL="0" distR="0">
            <wp:extent cx="6400800"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008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REGISTRANT INFORMATION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Bakkt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(Full Name of Registrant)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if Applicable)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extBody"/>
        <w:bidi w:val="0"/>
        <w:spacing w:lineRule="auto" w:line="288" w:before="0" w:after="0"/>
        <w:jc w:val="center"/>
        <w:rPr/>
      </w:pPr>
      <w:r>
        <w:rPr>
          <w:rFonts w:ascii="Times New Roman;sans-serif" w:hAnsi="Times New Roman;sans-serif"/>
          <w:b/>
          <w:color w:val="000000"/>
          <w:sz w:val="20"/>
        </w:rPr>
        <w:t>(Address of Principal Executive Office (</w:t>
      </w:r>
      <w:r>
        <w:rPr>
          <w:rFonts w:ascii="Times New Roman;sans-serif" w:hAnsi="Times New Roman;sans-serif"/>
          <w:b/>
          <w:i/>
          <w:color w:val="000000"/>
          <w:sz w:val="20"/>
        </w:rPr>
        <w:t>Street and Number</w:t>
      </w:r>
      <w:r>
        <w:rPr>
          <w:rFonts w:ascii="Times New Roman;sans-serif" w:hAnsi="Times New Roman;sans-serif"/>
          <w:b/>
          <w:color w:val="000000"/>
          <w:sz w:val="20"/>
        </w:rPr>
        <w: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 30009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(City, State and Zip Code)</w:t>
      </w:r>
    </w:p>
    <w:p>
      <w:pPr>
        <w:pStyle w:val="TextBody"/>
        <w:bidi w:val="0"/>
        <w:spacing w:before="0" w:after="0"/>
        <w:jc w:val="center"/>
        <w:rPr/>
      </w:pPr>
      <w:r>
        <w:rPr/>
        <w:drawing>
          <wp:inline distT="0" distB="0" distL="0" distR="0">
            <wp:extent cx="6400800"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008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RULES 12b-25(b) AND (c)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27" w:type="dxa"/>
            <w:gridSpan w:val="3"/>
            <w:tcBorders>
              <w:left w:val="single" w:sz="4" w:space="0" w:color="000000"/>
            </w:tcBorders>
            <w:tcMar>
              <w:top w:w="0" w:type="dxa"/>
              <w:left w:w="167"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reason described in reasonable detail in Part III of this form could not be eliminated without unreasonable effort or expense;</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left w:w="167"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tcMar>
              <w:top w:w="0" w:type="dxa"/>
              <w:left w:w="167"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accountant’s statement or other exhibit required by Rule 12b-25(c) has been attached if applicable.</w:t>
            </w:r>
          </w:p>
        </w:tc>
      </w:tr>
    </w:tbl>
    <w:p>
      <w:pPr>
        <w:pStyle w:val="TextBody"/>
        <w:bidi w:val="0"/>
        <w:jc w:val="center"/>
        <w:rPr/>
      </w:pPr>
      <w:r>
        <w:rPr/>
        <w:drawing>
          <wp:inline distT="0" distB="0" distL="0" distR="0">
            <wp:extent cx="6400800" cy="146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400800" cy="1460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 — NARRATIVE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Bakkt Holdings, Inc. (“Bakkt” or the “Company”) was unable to file its Annual Report on Form 10-K for the fiscal year ended December 31, 2024 (the “Form 10-K”) within the prescribed time period without unreasonable effort or expense. The Company requires additional time to complete the presentation of its consolidated financial statements. The Company is working diligently to complete the presentation of its consolidated financial statements and to finalize all remaining supporting documentation requests so that the independent audit can be completed. The Company intends to file the Form 10-K within the fifteen calendar-day period permitted pursuant to Rule 12b-25.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Form 12b-25 includes “forward-looking statements” within the meaning of Section 27A of the Securities Act of 1933, as amended, and Section 21E of the Securities Exchange Act of 1934, as amended that involve risks and uncertainties, including statements regarding the Company’s expected date of filing the Form 10-K. Forward looking statements are based on current expectations, but are subject to risks and uncertainties that could cause actual results to differ materially from those indicated, including but not limited to risks and uncertainties related to the completion of matters necessary to permit the filing of the Form 10-K. There can be no assurance that these forward-looking statements will be achieved, and actual results could differ materially from those suggested by such forward-looking statements.</w:t>
      </w:r>
    </w:p>
    <w:p>
      <w:pPr>
        <w:pStyle w:val="TextBody"/>
        <w:bidi w:val="0"/>
        <w:spacing w:before="0" w:after="0"/>
        <w:jc w:val="both"/>
        <w:rPr/>
      </w:pPr>
      <w:r>
        <w:rPr/>
      </w:r>
    </w:p>
    <w:p>
      <w:pPr>
        <w:pStyle w:val="TextBody"/>
        <w:bidi w:val="0"/>
        <w:spacing w:before="0" w:after="0"/>
        <w:jc w:val="center"/>
        <w:rPr/>
      </w:pPr>
      <w:r>
        <w:rPr/>
        <w:drawing>
          <wp:inline distT="0" distB="0" distL="0" distR="0">
            <wp:extent cx="6400800" cy="1460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64008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 — OTHER INFORMATION</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
        <w:gridCol w:w="114"/>
        <w:gridCol w:w="114"/>
        <w:gridCol w:w="650"/>
        <w:gridCol w:w="544"/>
        <w:gridCol w:w="476"/>
        <w:gridCol w:w="428"/>
        <w:gridCol w:w="428"/>
        <w:gridCol w:w="428"/>
        <w:gridCol w:w="627"/>
        <w:gridCol w:w="466"/>
        <w:gridCol w:w="453"/>
        <w:gridCol w:w="428"/>
        <w:gridCol w:w="428"/>
        <w:gridCol w:w="428"/>
        <w:gridCol w:w="1305"/>
        <w:gridCol w:w="646"/>
        <w:gridCol w:w="648"/>
        <w:gridCol w:w="428"/>
        <w:gridCol w:w="428"/>
        <w:gridCol w:w="609"/>
      </w:tblGrid>
      <w:tr>
        <w:trPr/>
        <w:tc>
          <w:tcPr>
            <w:tcW w:w="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5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48" w:type="dxa"/>
            <w:gridSpan w:val="18"/>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telephone number of person to contact in regard to this notification</w:t>
            </w:r>
          </w:p>
        </w:tc>
      </w:tr>
      <w:tr>
        <w:trPr/>
        <w:tc>
          <w:tcPr>
            <w:tcW w:w="202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Karen Alexander</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678</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534-5849</w:t>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(Area Code)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(Telephone Number)</w:t>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48" w:type="dxa"/>
            <w:gridSpan w:val="1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tc>
      </w:tr>
      <w:tr>
        <w:trPr/>
        <w:tc>
          <w:tcPr>
            <w:tcW w:w="35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48" w:type="dxa"/>
            <w:gridSpan w:val="1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Is it anticipated that any significant change in results of operations from the corresponding period for the last fiscal year will be reflected by the earnings statements to be included in the subject report or portion thereof?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Bakkt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Charter)</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has caused this notification to be signed on its behalf by the undersigned hereunto duly authorized.</w:t>
      </w:r>
    </w:p>
    <w:p>
      <w:pPr>
        <w:pStyle w:val="TextBody"/>
        <w:bidi w:val="0"/>
        <w:spacing w:before="0" w:after="0"/>
        <w:ind w:left="0" w:right="0" w:firstLine="720"/>
        <w:jc w:val="left"/>
        <w:rPr/>
      </w:pPr>
      <w:r>
        <w:rPr/>
      </w:r>
    </w:p>
    <w:tbl>
      <w:tblPr>
        <w:tblW w:w="4246" w:type="dxa"/>
        <w:jc w:val="left"/>
        <w:tblInd w:w="0" w:type="dxa"/>
        <w:tblLayout w:type="fixed"/>
        <w:tblCellMar>
          <w:top w:w="28" w:type="dxa"/>
          <w:left w:w="28" w:type="dxa"/>
          <w:bottom w:w="28" w:type="dxa"/>
          <w:right w:w="28" w:type="dxa"/>
        </w:tblCellMar>
      </w:tblPr>
      <w:tblGrid>
        <w:gridCol w:w="179"/>
        <w:gridCol w:w="158"/>
        <w:gridCol w:w="159"/>
        <w:gridCol w:w="464"/>
        <w:gridCol w:w="464"/>
        <w:gridCol w:w="466"/>
        <w:gridCol w:w="115"/>
        <w:gridCol w:w="115"/>
        <w:gridCol w:w="116"/>
        <w:gridCol w:w="588"/>
        <w:gridCol w:w="588"/>
        <w:gridCol w:w="83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17, 2025</w:t>
            </w:r>
          </w:p>
        </w:tc>
        <w:tc>
          <w:tcPr>
            <w:tcW w:w="346"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Karen Alexander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Alexander</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pStyle w:val="TextBody"/>
        <w:bidi w:val="0"/>
        <w:spacing w:before="0" w:after="0"/>
        <w:jc w:val="left"/>
        <w:rPr/>
      </w:pPr>
      <w:r>
        <w:rPr/>
      </w:r>
    </w:p>
    <w:tbl>
      <w:tblPr>
        <w:tblW w:w="8415" w:type="dxa"/>
        <w:jc w:val="left"/>
        <w:tblInd w:w="0" w:type="dxa"/>
        <w:tblLayout w:type="fixed"/>
        <w:tblCellMar>
          <w:top w:w="28" w:type="dxa"/>
          <w:left w:w="28" w:type="dxa"/>
          <w:bottom w:w="28" w:type="dxa"/>
          <w:right w:w="28" w:type="dxa"/>
        </w:tblCellMar>
      </w:tblPr>
      <w:tblGrid>
        <w:gridCol w:w="2693"/>
        <w:gridCol w:w="2369"/>
        <w:gridCol w:w="3353"/>
      </w:tblGrid>
      <w:tr>
        <w:trPr/>
        <w:tc>
          <w:tcPr>
            <w:tcW w:w="2693"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8415" w:type="dxa"/>
            <w:gridSpan w:val="3"/>
            <w:tcBorders>
              <w:top w:val="single" w:sz="8" w:space="0" w:color="000000"/>
              <w:left w:val="single" w:sz="8" w:space="0" w:color="000000"/>
              <w:bottom w:val="single" w:sz="6" w:space="0" w:color="000000"/>
              <w:right w:val="single" w:sz="8"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color w:val="000000"/>
                <w:sz w:val="22"/>
              </w:rPr>
            </w:pPr>
            <w:r>
              <w:rPr>
                <w:rFonts w:ascii="Times New Roman;sans-serif" w:hAnsi="Times New Roman;sans-serif"/>
                <w:b/>
                <w:color w:val="000000"/>
                <w:sz w:val="22"/>
              </w:rPr>
              <w:t>ATTENTION</w:t>
              <w:br/>
              <w:t>Intentional misstatements or omissions of fact constitute Federal Criminal Violations</w:t>
              <w:br/>
              <w:t>(See 18 U.S.C. 1001).</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3.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821</Words>
  <Characters>4375</Characters>
  <CharactersWithSpaces>5139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