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309245</wp:posOffset>
            </wp:positionH>
            <wp:positionV relativeFrom="page">
              <wp:posOffset>165100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207645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205740</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217170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w:t>
      </w: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November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212090</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Bakkt Holdings,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207010</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ectPr>
          <w:pgSz w:w="11900" w:h="16838" w:orient="portrait"/>
          <w:cols w:equalWidth="0" w:num="1">
            <w:col w:w="10920"/>
          </w:cols>
          <w:pgMar w:left="480" w:top="366" w:right="499" w:bottom="1440" w:gutter="0" w:footer="0" w:header="0"/>
        </w:sectPr>
      </w:pPr>
    </w:p>
    <w:p>
      <w:pPr>
        <w:spacing w:after="0" w:line="200" w:lineRule="exact"/>
        <w:rPr>
          <w:sz w:val="24"/>
          <w:szCs w:val="24"/>
          <w:color w:val="auto"/>
        </w:rPr>
      </w:pPr>
    </w:p>
    <w:p>
      <w:pPr>
        <w:spacing w:after="0" w:line="349"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9" w:lineRule="exact"/>
        <w:rPr>
          <w:sz w:val="24"/>
          <w:szCs w:val="24"/>
          <w:color w:val="auto"/>
        </w:rPr>
      </w:pPr>
    </w:p>
    <w:p>
      <w:pPr>
        <w:jc w:val="center"/>
        <w:ind w:right="2060"/>
        <w:spacing w:after="0"/>
        <w:rPr>
          <w:sz w:val="20"/>
          <w:szCs w:val="20"/>
          <w:color w:val="auto"/>
        </w:rPr>
      </w:pPr>
      <w:r>
        <w:rPr>
          <w:rFonts w:ascii="Arial" w:cs="Arial" w:eastAsia="Arial" w:hAnsi="Arial"/>
          <w:sz w:val="14"/>
          <w:szCs w:val="14"/>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98-1550750</w:t>
      </w:r>
    </w:p>
    <w:p>
      <w:pPr>
        <w:spacing w:after="0" w:line="28" w:lineRule="exact"/>
        <w:rPr>
          <w:sz w:val="24"/>
          <w:szCs w:val="24"/>
          <w:color w:val="auto"/>
        </w:rPr>
      </w:pPr>
    </w:p>
    <w:p>
      <w:pPr>
        <w:sectPr>
          <w:pgSz w:w="11900" w:h="16838" w:orient="portrait"/>
          <w:cols w:equalWidth="0" w:num="3">
            <w:col w:w="4480" w:space="720"/>
            <w:col w:w="2820" w:space="720"/>
            <w:col w:w="2180"/>
          </w:cols>
          <w:pgMar w:left="480" w:top="366" w:right="499" w:bottom="1440" w:gutter="0" w:footer="0" w:header="0"/>
          <w:type w:val="continuous"/>
        </w:sectPr>
      </w:pPr>
    </w:p>
    <w:p>
      <w:pPr>
        <w:spacing w:after="0" w:line="11" w:lineRule="exact"/>
        <w:rPr>
          <w:sz w:val="24"/>
          <w:szCs w:val="24"/>
          <w:color w:val="auto"/>
        </w:rPr>
      </w:pPr>
    </w:p>
    <w:p>
      <w:pPr>
        <w:jc w:val="center"/>
        <w:ind w:right="720"/>
        <w:spacing w:after="0"/>
        <w:rPr>
          <w:sz w:val="20"/>
          <w:szCs w:val="20"/>
          <w:color w:val="auto"/>
        </w:rPr>
      </w:pPr>
      <w:r>
        <w:rPr>
          <w:rFonts w:ascii="Arial" w:cs="Arial" w:eastAsia="Arial" w:hAnsi="Arial"/>
          <w:sz w:val="13"/>
          <w:szCs w:val="13"/>
          <w:b w:val="1"/>
          <w:bCs w:val="1"/>
          <w:color w:val="auto"/>
        </w:rPr>
        <w:t>(State or other jurisdiction</w:t>
      </w:r>
    </w:p>
    <w:p>
      <w:pPr>
        <w:jc w:val="center"/>
        <w:ind w:right="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4"/>
          <w:szCs w:val="14"/>
          <w:b w:val="1"/>
          <w:bCs w:val="1"/>
          <w:color w:val="auto"/>
        </w:rPr>
        <w:t>(IRS Employer</w:t>
      </w:r>
    </w:p>
    <w:p>
      <w:pPr>
        <w:jc w:val="center"/>
        <w:ind w:right="1180"/>
        <w:spacing w:after="0"/>
        <w:rPr>
          <w:sz w:val="20"/>
          <w:szCs w:val="20"/>
          <w:color w:val="auto"/>
        </w:rPr>
      </w:pPr>
      <w:r>
        <w:rPr>
          <w:rFonts w:ascii="Arial" w:cs="Arial" w:eastAsia="Arial" w:hAnsi="Arial"/>
          <w:sz w:val="13"/>
          <w:szCs w:val="13"/>
          <w:b w:val="1"/>
          <w:bCs w:val="1"/>
          <w:color w:val="auto"/>
        </w:rPr>
        <w:t>Identification No.)</w:t>
      </w:r>
    </w:p>
    <w:p>
      <w:pPr>
        <w:spacing w:after="0" w:line="199" w:lineRule="exact"/>
        <w:rPr>
          <w:sz w:val="24"/>
          <w:szCs w:val="24"/>
          <w:color w:val="auto"/>
        </w:rPr>
      </w:pPr>
    </w:p>
    <w:p>
      <w:pPr>
        <w:sectPr>
          <w:pgSz w:w="11900" w:h="16838" w:orient="portrait"/>
          <w:cols w:equalWidth="0" w:num="3">
            <w:col w:w="4440" w:space="720"/>
            <w:col w:w="2740" w:space="720"/>
            <w:col w:w="2300"/>
          </w:cols>
          <w:pgMar w:left="480" w:top="366" w:right="499" w:bottom="1440" w:gutter="0" w:footer="0" w:header="0"/>
          <w:type w:val="continuous"/>
        </w:sectPr>
      </w:pPr>
    </w:p>
    <w:p>
      <w:pPr>
        <w:ind w:left="580"/>
        <w:spacing w:after="0"/>
        <w:rPr>
          <w:sz w:val="20"/>
          <w:szCs w:val="20"/>
          <w:color w:val="auto"/>
        </w:rPr>
      </w:pPr>
      <w:r>
        <w:rPr>
          <w:rFonts w:ascii="Arial" w:cs="Arial" w:eastAsia="Arial" w:hAnsi="Arial"/>
          <w:sz w:val="16"/>
          <w:szCs w:val="16"/>
          <w:b w:val="1"/>
          <w:bCs w:val="1"/>
          <w:color w:val="auto"/>
        </w:rPr>
        <w:t>10000 Avalon Boulevard, Suite 1000, Alpharetta, Georgia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30009</w:t>
      </w:r>
    </w:p>
    <w:p>
      <w:pPr>
        <w:spacing w:after="0" w:line="47" w:lineRule="exact"/>
        <w:rPr>
          <w:sz w:val="24"/>
          <w:szCs w:val="24"/>
          <w:color w:val="auto"/>
        </w:rPr>
      </w:pPr>
    </w:p>
    <w:p>
      <w:pPr>
        <w:sectPr>
          <w:pgSz w:w="11900" w:h="16838" w:orient="portrait"/>
          <w:cols w:equalWidth="0" w:num="2">
            <w:col w:w="7320" w:space="720"/>
            <w:col w:w="2880"/>
          </w:cols>
          <w:pgMar w:left="480" w:top="366" w:right="49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1" w:lineRule="exact"/>
        <w:rPr>
          <w:sz w:val="24"/>
          <w:szCs w:val="24"/>
          <w:color w:val="auto"/>
        </w:rPr>
      </w:pPr>
    </w:p>
    <w:p>
      <w:pPr>
        <w:sectPr>
          <w:pgSz w:w="11900" w:h="16838" w:orient="portrait"/>
          <w:cols w:equalWidth="0" w:num="2">
            <w:col w:w="7220" w:space="720"/>
            <w:col w:w="2980"/>
          </w:cols>
          <w:pgMar w:left="480" w:top="366" w:right="49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(678) 534-5849</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209550</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right="46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81" w:lineRule="exact"/>
        <w:rPr>
          <w:sz w:val="24"/>
          <w:szCs w:val="24"/>
          <w:color w:val="auto"/>
        </w:rPr>
      </w:pPr>
    </w:p>
    <w:p>
      <w:pPr>
        <w:ind w:left="440" w:hanging="433"/>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27" w:lineRule="exact"/>
        <w:rPr>
          <w:rFonts w:ascii="MS PGothic" w:cs="MS PGothic" w:eastAsia="MS PGothic" w:hAnsi="MS PGothic"/>
          <w:sz w:val="18"/>
          <w:szCs w:val="18"/>
          <w:color w:val="auto"/>
        </w:rPr>
      </w:pPr>
    </w:p>
    <w:p>
      <w:pPr>
        <w:ind w:left="440" w:hanging="433"/>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27" w:lineRule="exact"/>
        <w:rPr>
          <w:rFonts w:ascii="MS PGothic" w:cs="MS PGothic" w:eastAsia="MS PGothic" w:hAnsi="MS PGothic"/>
          <w:sz w:val="18"/>
          <w:szCs w:val="18"/>
          <w:color w:val="auto"/>
        </w:rPr>
      </w:pPr>
    </w:p>
    <w:p>
      <w:pPr>
        <w:ind w:left="440" w:hanging="433"/>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27" w:lineRule="exact"/>
        <w:rPr>
          <w:rFonts w:ascii="MS PGothic" w:cs="MS PGothic" w:eastAsia="MS PGothic" w:hAnsi="MS PGothic"/>
          <w:sz w:val="18"/>
          <w:szCs w:val="18"/>
          <w:color w:val="auto"/>
        </w:rPr>
      </w:pPr>
    </w:p>
    <w:p>
      <w:pPr>
        <w:ind w:right="2520" w:firstLine="7"/>
        <w:spacing w:after="0" w:line="452" w:lineRule="auto"/>
        <w:tabs>
          <w:tab w:leader="none" w:pos="42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8"/>
        </w:trPr>
        <w:tc>
          <w:tcPr>
            <w:tcW w:w="3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36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3"/>
              </w:rPr>
              <w:t>Trading</w:t>
            </w:r>
          </w:p>
        </w:tc>
        <w:tc>
          <w:tcPr>
            <w:tcW w:w="33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3"/>
        </w:trPr>
        <w:tc>
          <w:tcPr>
            <w:tcW w:w="3960" w:type="dxa"/>
            <w:vAlign w:val="bottom"/>
            <w:gridSpan w:val="2"/>
            <w:vMerge w:val="continue"/>
          </w:tcPr>
          <w:p>
            <w:pPr>
              <w:spacing w:after="0"/>
              <w:rPr>
                <w:sz w:val="15"/>
                <w:szCs w:val="15"/>
                <w:color w:val="auto"/>
              </w:rPr>
            </w:pPr>
          </w:p>
        </w:tc>
        <w:tc>
          <w:tcPr>
            <w:tcW w:w="3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Symbol(s)</w:t>
            </w: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89"/>
        </w:trPr>
        <w:tc>
          <w:tcPr>
            <w:tcW w:w="38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9"/>
              </w:rPr>
              <w:t>Class A Common Stock, par value $0.0001 per</w:t>
            </w:r>
          </w:p>
        </w:tc>
        <w:tc>
          <w:tcPr>
            <w:tcW w:w="120" w:type="dxa"/>
            <w:vAlign w:val="bottom"/>
          </w:tcPr>
          <w:p>
            <w:pPr>
              <w:spacing w:after="0"/>
              <w:rPr>
                <w:sz w:val="16"/>
                <w:szCs w:val="16"/>
                <w:color w:val="auto"/>
              </w:rPr>
            </w:pPr>
          </w:p>
        </w:tc>
        <w:tc>
          <w:tcPr>
            <w:tcW w:w="34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rPr>
              <w:t>BKKT</w:t>
            </w:r>
          </w:p>
        </w:tc>
        <w:tc>
          <w:tcPr>
            <w:tcW w:w="120" w:type="dxa"/>
            <w:vAlign w:val="bottom"/>
          </w:tcPr>
          <w:p>
            <w:pPr>
              <w:spacing w:after="0"/>
              <w:rPr>
                <w:sz w:val="16"/>
                <w:szCs w:val="16"/>
                <w:color w:val="auto"/>
              </w:rPr>
            </w:pPr>
          </w:p>
        </w:tc>
        <w:tc>
          <w:tcPr>
            <w:tcW w:w="33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9"/>
              </w:rPr>
              <w:t>The New York Stock Exchange</w:t>
            </w:r>
          </w:p>
        </w:tc>
        <w:tc>
          <w:tcPr>
            <w:tcW w:w="0" w:type="dxa"/>
            <w:vAlign w:val="bottom"/>
          </w:tcPr>
          <w:p>
            <w:pPr>
              <w:spacing w:after="0"/>
              <w:rPr>
                <w:sz w:val="1"/>
                <w:szCs w:val="1"/>
                <w:color w:val="auto"/>
              </w:rPr>
            </w:pPr>
          </w:p>
        </w:tc>
      </w:tr>
      <w:tr>
        <w:trPr>
          <w:trHeight w:val="214"/>
        </w:trPr>
        <w:tc>
          <w:tcPr>
            <w:tcW w:w="3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share</w:t>
            </w: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Warrants to purchase Class A Common Stock</w:t>
            </w:r>
          </w:p>
        </w:tc>
        <w:tc>
          <w:tcPr>
            <w:tcW w:w="3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BKKT WS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9"/>
              </w:rPr>
              <w:t>The New York Stock Exchange</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right="30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30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124460</wp:posOffset>
            </wp:positionV>
            <wp:extent cx="6929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167005</wp:posOffset>
            </wp:positionV>
            <wp:extent cx="69297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20"/>
          </w:cols>
          <w:pgMar w:left="480" w:top="366" w:right="499" w:bottom="1440" w:gutter="0" w:footer="0" w:header="0"/>
          <w:type w:val="continuous"/>
        </w:sectPr>
      </w:pPr>
    </w:p>
    <w:bookmarkStart w:id="1" w:name="page2"/>
    <w:bookmarkEnd w:id="1"/>
    <w:p>
      <w:pPr>
        <w:ind w:left="1200" w:right="980" w:hanging="1189"/>
        <w:spacing w:after="0" w:line="275"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65" w:lineRule="exact"/>
        <w:rPr>
          <w:sz w:val="20"/>
          <w:szCs w:val="20"/>
          <w:color w:val="auto"/>
        </w:rPr>
      </w:pPr>
    </w:p>
    <w:p>
      <w:pPr>
        <w:ind w:right="260" w:firstLine="436"/>
        <w:spacing w:after="0" w:line="255" w:lineRule="auto"/>
        <w:rPr>
          <w:sz w:val="20"/>
          <w:szCs w:val="20"/>
          <w:color w:val="auto"/>
        </w:rPr>
      </w:pPr>
      <w:r>
        <w:rPr>
          <w:rFonts w:ascii="Arial" w:cs="Arial" w:eastAsia="Arial" w:hAnsi="Arial"/>
          <w:sz w:val="18"/>
          <w:szCs w:val="18"/>
          <w:color w:val="auto"/>
        </w:rPr>
        <w:t>On November 24, 2021, Bakkt Holdings, Inc. (the “Company”) issued letters (the “Anticipated Grant Letters”) to certain of its employees, including Gavin Michael, the Company’s Chief Executive Officer, and Andrew LaBenne, the Company’s Chief Financial Officer, as previously approved by the Company’s Compensation Committee (the “Compensation Committee”), in relation to future grants of awards under the Company’s 2021 Omnibus Incentive Plan (the “2021 Plan”).</w:t>
      </w:r>
    </w:p>
    <w:p>
      <w:pPr>
        <w:spacing w:after="0" w:line="190" w:lineRule="exact"/>
        <w:rPr>
          <w:sz w:val="20"/>
          <w:szCs w:val="20"/>
          <w:color w:val="auto"/>
        </w:rPr>
      </w:pPr>
    </w:p>
    <w:p>
      <w:pPr>
        <w:ind w:firstLine="436"/>
        <w:spacing w:after="0" w:line="267" w:lineRule="auto"/>
        <w:rPr>
          <w:sz w:val="20"/>
          <w:szCs w:val="20"/>
          <w:color w:val="auto"/>
        </w:rPr>
      </w:pPr>
      <w:r>
        <w:rPr>
          <w:rFonts w:ascii="Arial" w:cs="Arial" w:eastAsia="Arial" w:hAnsi="Arial"/>
          <w:sz w:val="17"/>
          <w:szCs w:val="17"/>
          <w:color w:val="auto"/>
        </w:rPr>
        <w:t>Pursuant to the Anticipated Grant Letters, subject to the Company filing with the Securities and Exchange Commission of a registration statement on Form S-8 (the “S-8”) for the 2021 Plan and to the relevant executive officer’s continued employment with the Company as of the grant date, the Company has committed to grant to the applicable executive officer certain restricted stock units that will vest on or about May 15, 2022 (“Merger Incentive RSUs”). Such Merger Incentive RSUs are intended to compensate the relevant executive officers for contributions to the Company during 2021, particularly in relation to the Company’s business combination consummated on October 15, 2021. Such executive officers joined the Company at a time when no additional equity incentive grants could be made. Further, the 2021 Plan places limitations on the grant of equity incentives with a vesting date of less than one year from the date of grant. Therefore, the Compensation Committee determined it would be in the best interest of the Company and its stockholders to make grants of Merger Incentive RSUs, as additional grants with future vesting dates, to partially compensate such executive officers for their period of service during which no equity incentives were granted and no vesting credit was provided due to limitations in the Company’s equity incentive plans.</w:t>
      </w:r>
    </w:p>
    <w:p>
      <w:pPr>
        <w:spacing w:after="0" w:line="179" w:lineRule="exact"/>
        <w:rPr>
          <w:sz w:val="20"/>
          <w:szCs w:val="20"/>
          <w:color w:val="auto"/>
        </w:rPr>
      </w:pPr>
    </w:p>
    <w:p>
      <w:pPr>
        <w:jc w:val="both"/>
        <w:ind w:right="120" w:firstLine="436"/>
        <w:spacing w:after="0" w:line="281" w:lineRule="auto"/>
        <w:rPr>
          <w:sz w:val="20"/>
          <w:szCs w:val="20"/>
          <w:color w:val="auto"/>
        </w:rPr>
      </w:pPr>
      <w:r>
        <w:rPr>
          <w:rFonts w:ascii="Arial" w:cs="Arial" w:eastAsia="Arial" w:hAnsi="Arial"/>
          <w:sz w:val="17"/>
          <w:szCs w:val="17"/>
          <w:color w:val="auto"/>
        </w:rPr>
        <w:t>The Merger Incentive RSUs are in addition to previously contemplated awards of restricted stock units (“Go-Forward Award RSUs”) as set forth in the executives’ employment agreements (the “Employment Agreements”). As a result, it is anticipated that the named executives will be granted the number of RSUs listed in the table below, subject to the vesting and other conditions described herein.</w:t>
      </w:r>
    </w:p>
    <w:p>
      <w:pPr>
        <w:spacing w:after="0" w:line="188" w:lineRule="exact"/>
        <w:rPr>
          <w:sz w:val="20"/>
          <w:szCs w:val="20"/>
          <w:color w:val="auto"/>
        </w:rPr>
      </w:pPr>
    </w:p>
    <w:tbl>
      <w:tblPr>
        <w:tblLayout w:type="fixed"/>
        <w:tblInd w:w="880" w:type="dxa"/>
        <w:tblCellMar>
          <w:top w:w="0" w:type="dxa"/>
          <w:left w:w="0" w:type="dxa"/>
          <w:bottom w:w="0" w:type="dxa"/>
          <w:right w:w="0" w:type="dxa"/>
        </w:tblCellMar>
      </w:tblPr>
      <w:tr>
        <w:trPr>
          <w:trHeight w:val="183"/>
        </w:trPr>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00" w:type="dxa"/>
            <w:vAlign w:val="bottom"/>
          </w:tcPr>
          <w:p>
            <w:pPr>
              <w:spacing w:after="0"/>
              <w:rPr>
                <w:sz w:val="15"/>
                <w:szCs w:val="15"/>
                <w:color w:val="auto"/>
              </w:rPr>
            </w:pPr>
          </w:p>
        </w:tc>
        <w:tc>
          <w:tcPr>
            <w:tcW w:w="1720" w:type="dxa"/>
            <w:vAlign w:val="bottom"/>
          </w:tcPr>
          <w:p>
            <w:pPr>
              <w:ind w:left="620"/>
              <w:spacing w:after="0"/>
              <w:rPr>
                <w:sz w:val="20"/>
                <w:szCs w:val="20"/>
                <w:color w:val="auto"/>
              </w:rPr>
            </w:pPr>
            <w:r>
              <w:rPr>
                <w:rFonts w:ascii="Arial" w:cs="Arial" w:eastAsia="Arial" w:hAnsi="Arial"/>
                <w:sz w:val="14"/>
                <w:szCs w:val="14"/>
                <w:b w:val="1"/>
                <w:bCs w:val="1"/>
                <w:color w:val="auto"/>
              </w:rPr>
              <w:t>Position</w:t>
            </w:r>
          </w:p>
        </w:tc>
        <w:tc>
          <w:tcPr>
            <w:tcW w:w="2200" w:type="dxa"/>
            <w:vAlign w:val="bottom"/>
            <w:gridSpan w:val="2"/>
          </w:tcPr>
          <w:p>
            <w:pPr>
              <w:jc w:val="right"/>
              <w:spacing w:after="0"/>
              <w:rPr>
                <w:sz w:val="20"/>
                <w:szCs w:val="20"/>
                <w:color w:val="auto"/>
              </w:rPr>
            </w:pPr>
            <w:r>
              <w:rPr>
                <w:rFonts w:ascii="Arial" w:cs="Arial" w:eastAsia="Arial" w:hAnsi="Arial"/>
                <w:sz w:val="14"/>
                <w:szCs w:val="14"/>
                <w:b w:val="1"/>
                <w:bCs w:val="1"/>
                <w:color w:val="auto"/>
              </w:rPr>
              <w:t>Go-Forward Award RSUs</w:t>
            </w:r>
          </w:p>
        </w:tc>
        <w:tc>
          <w:tcPr>
            <w:tcW w:w="2140" w:type="dxa"/>
            <w:vAlign w:val="bottom"/>
            <w:gridSpan w:val="3"/>
          </w:tcPr>
          <w:p>
            <w:pPr>
              <w:ind w:left="640"/>
              <w:spacing w:after="0"/>
              <w:rPr>
                <w:sz w:val="20"/>
                <w:szCs w:val="20"/>
                <w:color w:val="auto"/>
              </w:rPr>
            </w:pPr>
            <w:r>
              <w:rPr>
                <w:rFonts w:ascii="Arial" w:cs="Arial" w:eastAsia="Arial" w:hAnsi="Arial"/>
                <w:sz w:val="14"/>
                <w:szCs w:val="14"/>
                <w:b w:val="1"/>
                <w:bCs w:val="1"/>
                <w:color w:val="auto"/>
                <w:w w:val="97"/>
              </w:rPr>
              <w:t>Merger Incentive RSUs</w:t>
            </w:r>
          </w:p>
        </w:tc>
      </w:tr>
      <w:tr>
        <w:trPr>
          <w:trHeight w:val="207"/>
        </w:trPr>
        <w:tc>
          <w:tcPr>
            <w:tcW w:w="20" w:type="dxa"/>
            <w:vAlign w:val="bottom"/>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Gavin Michael</w:t>
            </w:r>
          </w:p>
        </w:tc>
        <w:tc>
          <w:tcPr>
            <w:tcW w:w="6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Chief Executive Officer</w:t>
            </w:r>
          </w:p>
        </w:tc>
        <w:tc>
          <w:tcPr>
            <w:tcW w:w="6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4,164,000</w:t>
            </w:r>
          </w:p>
        </w:tc>
        <w:tc>
          <w:tcPr>
            <w:tcW w:w="6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Andrew LaBenne</w:t>
            </w:r>
          </w:p>
        </w:tc>
        <w:tc>
          <w:tcPr>
            <w:tcW w:w="2320" w:type="dxa"/>
            <w:vAlign w:val="bottom"/>
            <w:gridSpan w:val="2"/>
          </w:tcPr>
          <w:p>
            <w:pPr>
              <w:ind w:left="600"/>
              <w:spacing w:after="0"/>
              <w:rPr>
                <w:sz w:val="20"/>
                <w:szCs w:val="20"/>
                <w:color w:val="auto"/>
              </w:rPr>
            </w:pPr>
            <w:r>
              <w:rPr>
                <w:rFonts w:ascii="Arial" w:cs="Arial" w:eastAsia="Arial" w:hAnsi="Arial"/>
                <w:sz w:val="18"/>
                <w:szCs w:val="18"/>
                <w:color w:val="auto"/>
                <w:w w:val="95"/>
              </w:rPr>
              <w:t>Chief Financial Officer</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66,667</w:t>
            </w:r>
          </w:p>
        </w:tc>
        <w:tc>
          <w:tcPr>
            <w:tcW w:w="60" w:type="dxa"/>
            <w:vAlign w:val="bottom"/>
          </w:tcPr>
          <w:p>
            <w:pPr>
              <w:spacing w:after="0"/>
              <w:rPr>
                <w:sz w:val="19"/>
                <w:szCs w:val="19"/>
                <w:color w:val="auto"/>
              </w:rPr>
            </w:pPr>
          </w:p>
        </w:tc>
      </w:tr>
    </w:tbl>
    <w:p>
      <w:pPr>
        <w:spacing w:after="0" w:line="187" w:lineRule="exact"/>
        <w:rPr>
          <w:sz w:val="20"/>
          <w:szCs w:val="20"/>
          <w:color w:val="auto"/>
        </w:rPr>
      </w:pPr>
    </w:p>
    <w:p>
      <w:pPr>
        <w:ind w:firstLine="436"/>
        <w:spacing w:after="0" w:line="269" w:lineRule="auto"/>
        <w:rPr>
          <w:sz w:val="20"/>
          <w:szCs w:val="20"/>
          <w:color w:val="auto"/>
        </w:rPr>
      </w:pPr>
      <w:r>
        <w:rPr>
          <w:rFonts w:ascii="Arial" w:cs="Arial" w:eastAsia="Arial" w:hAnsi="Arial"/>
          <w:sz w:val="17"/>
          <w:szCs w:val="17"/>
          <w:color w:val="auto"/>
        </w:rPr>
        <w:t>Consistent with the provisions of the Employment Agreements, the Anticipated Grant Letters specify that the relevant executives will continue to be granted Go-Forward Award RSUs in the amounts provided above, as provided for under the Employment Agreements, fifty percent (50%) of which will be in the form of time-based vesting restricted stock units that will vest in three equal annual installments on the first three anniversaries of the grant date, and the remaining fifty percent (50%) of which will be in the form of performance-based stock units (“PRSUs”) that will vest over the same three-year period, to the extent applicable performance conditions have been satisfied. The performance criteria for the PRSUs have not been established by the Company’s Compensation Committee, but it is anticipated that such criteria will be established prior to the date of grant, which is expected to occur in late December 2021, after the filing of the S-8.</w:t>
      </w:r>
    </w:p>
    <w:p>
      <w:pPr>
        <w:spacing w:after="0" w:line="178" w:lineRule="exact"/>
        <w:rPr>
          <w:sz w:val="20"/>
          <w:szCs w:val="20"/>
          <w:color w:val="auto"/>
        </w:rPr>
      </w:pPr>
    </w:p>
    <w:p>
      <w:pPr>
        <w:ind w:right="20" w:firstLine="436"/>
        <w:spacing w:after="0" w:line="259" w:lineRule="auto"/>
        <w:rPr>
          <w:sz w:val="20"/>
          <w:szCs w:val="20"/>
          <w:color w:val="auto"/>
        </w:rPr>
      </w:pPr>
      <w:r>
        <w:rPr>
          <w:rFonts w:ascii="Arial" w:cs="Arial" w:eastAsia="Arial" w:hAnsi="Arial"/>
          <w:sz w:val="18"/>
          <w:szCs w:val="18"/>
          <w:color w:val="auto"/>
        </w:rPr>
        <w:t>The foregoing description is qualified in its entirety by reference to the Letters, the form of which is filed as Exhibit 10.1 to this Current Report on Form 8-K, as well as the 2021 Plan and the Employment Agreements of Mr. Michael and Mr. LaBenne, filed as Exhibits 10.2, 10.3 and 10.4, respectively, to this Current Report on Form 8-K.</w:t>
      </w:r>
    </w:p>
    <w:p>
      <w:pPr>
        <w:sectPr>
          <w:pgSz w:w="11900" w:h="16838" w:orient="portrait"/>
          <w:cols w:equalWidth="0" w:num="1">
            <w:col w:w="10900"/>
          </w:cols>
          <w:pgMar w:left="480" w:top="295"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1"/>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580" w:type="dxa"/>
            <w:vAlign w:val="bottom"/>
            <w:gridSpan w:val="10"/>
          </w:tcPr>
          <w:p>
            <w:pPr>
              <w:ind w:left="30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1"/>
        </w:trPr>
        <w:tc>
          <w:tcPr>
            <w:tcW w:w="900" w:type="dxa"/>
            <w:vAlign w:val="bottom"/>
            <w:gridSpan w:val="2"/>
          </w:tcPr>
          <w:p>
            <w:pPr>
              <w:spacing w:after="0"/>
              <w:rPr>
                <w:sz w:val="20"/>
                <w:szCs w:val="20"/>
                <w:color w:val="auto"/>
              </w:rPr>
            </w:pPr>
            <w:r>
              <w:rPr>
                <w:rFonts w:ascii="Arial" w:cs="Arial" w:eastAsia="Arial" w:hAnsi="Arial"/>
                <w:sz w:val="18"/>
                <w:szCs w:val="18"/>
                <w:i w:val="1"/>
                <w:iCs w:val="1"/>
                <w:color w:val="auto"/>
                <w:w w:val="97"/>
              </w:rPr>
              <w:t>(d) Exhibits</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4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424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4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2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900" w:type="dxa"/>
            <w:vAlign w:val="bottom"/>
            <w:gridSpan w:val="2"/>
          </w:tcPr>
          <w:p>
            <w:pPr>
              <w:ind w:left="440"/>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3"/>
                <w:szCs w:val="23"/>
                <w:color w:val="auto"/>
              </w:rPr>
            </w:pPr>
          </w:p>
        </w:tc>
        <w:tc>
          <w:tcPr>
            <w:tcW w:w="9180" w:type="dxa"/>
            <w:vAlign w:val="bottom"/>
            <w:gridSpan w:val="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Form of letter regarding anticipated equity incentive grants</w:t>
              </w:r>
            </w:hyperlink>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900" w:type="dxa"/>
            <w:vAlign w:val="bottom"/>
            <w:gridSpan w:val="2"/>
          </w:tcPr>
          <w:p>
            <w:pPr>
              <w:ind w:left="440"/>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24"/>
                <w:szCs w:val="24"/>
                <w:color w:val="auto"/>
              </w:rPr>
            </w:pPr>
          </w:p>
        </w:tc>
        <w:tc>
          <w:tcPr>
            <w:tcW w:w="9140" w:type="dxa"/>
            <w:vAlign w:val="bottom"/>
            <w:tcBorders>
              <w:bottom w:val="single" w:sz="8" w:color="0000EE"/>
            </w:tcBorders>
            <w:gridSpan w:val="7"/>
          </w:tcPr>
          <w:p>
            <w:pPr>
              <w:spacing w:after="0"/>
              <w:rPr>
                <w:rFonts w:ascii="Arial" w:cs="Arial" w:eastAsia="Arial" w:hAnsi="Arial"/>
                <w:sz w:val="18"/>
                <w:szCs w:val="18"/>
                <w:color w:val="0000EE"/>
                <w:w w:val="90"/>
              </w:rPr>
            </w:pPr>
            <w:hyperlink r:id="rId18">
              <w:r>
                <w:rPr>
                  <w:rFonts w:ascii="Arial" w:cs="Arial" w:eastAsia="Arial" w:hAnsi="Arial"/>
                  <w:sz w:val="18"/>
                  <w:szCs w:val="18"/>
                  <w:color w:val="0000EE"/>
                  <w:w w:val="90"/>
                </w:rPr>
                <w:t>2021 Omnibus Incentive Plan (incorporated by reference from Exhibit 10.9 to the Company’s Current Report on Form 8-K filed</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20" w:type="dxa"/>
            <w:vAlign w:val="bottom"/>
            <w:tcBorders>
              <w:bottom w:val="single" w:sz="8" w:color="0000EE"/>
            </w:tcBorders>
            <w:gridSpan w:val="2"/>
          </w:tcPr>
          <w:p>
            <w:pPr>
              <w:spacing w:after="0" w:line="194" w:lineRule="exact"/>
              <w:rPr>
                <w:rFonts w:ascii="Arial" w:cs="Arial" w:eastAsia="Arial" w:hAnsi="Arial"/>
                <w:sz w:val="18"/>
                <w:szCs w:val="18"/>
                <w:color w:val="0000EE"/>
                <w:w w:val="89"/>
              </w:rPr>
            </w:pPr>
            <w:hyperlink r:id="rId18">
              <w:r>
                <w:rPr>
                  <w:rFonts w:ascii="Arial" w:cs="Arial" w:eastAsia="Arial" w:hAnsi="Arial"/>
                  <w:sz w:val="18"/>
                  <w:szCs w:val="18"/>
                  <w:color w:val="0000EE"/>
                  <w:w w:val="89"/>
                </w:rPr>
                <w:t>with the SEC on October 21, 2021)</w:t>
              </w:r>
            </w:hyperlink>
          </w:p>
        </w:tc>
        <w:tc>
          <w:tcPr>
            <w:tcW w:w="666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900" w:type="dxa"/>
            <w:vAlign w:val="bottom"/>
            <w:gridSpan w:val="2"/>
          </w:tcPr>
          <w:p>
            <w:pPr>
              <w:ind w:left="440"/>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24"/>
                <w:szCs w:val="24"/>
                <w:color w:val="auto"/>
              </w:rPr>
            </w:pPr>
          </w:p>
        </w:tc>
        <w:tc>
          <w:tcPr>
            <w:tcW w:w="9180" w:type="dxa"/>
            <w:vAlign w:val="bottom"/>
            <w:gridSpan w:val="9"/>
          </w:tcPr>
          <w:p>
            <w:pPr>
              <w:spacing w:after="0"/>
              <w:rPr>
                <w:rFonts w:ascii="Arial" w:cs="Arial" w:eastAsia="Arial" w:hAnsi="Arial"/>
                <w:sz w:val="18"/>
                <w:szCs w:val="18"/>
                <w:color w:val="0000EE"/>
                <w:w w:val="92"/>
              </w:rPr>
            </w:pPr>
            <w:hyperlink r:id="rId19">
              <w:r>
                <w:rPr>
                  <w:rFonts w:ascii="Arial" w:cs="Arial" w:eastAsia="Arial" w:hAnsi="Arial"/>
                  <w:sz w:val="18"/>
                  <w:szCs w:val="18"/>
                  <w:color w:val="0000EE"/>
                  <w:w w:val="92"/>
                </w:rPr>
                <w:t>Employment Agreement, dated January 9, 2021, by and among Gavin Michael, Bakkt Opco Holdings, LLC and the Company</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580" w:type="dxa"/>
            <w:vAlign w:val="bottom"/>
            <w:gridSpan w:val="5"/>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160" w:type="dxa"/>
            <w:vAlign w:val="bottom"/>
            <w:tcBorders>
              <w:bottom w:val="single" w:sz="8" w:color="0000EE"/>
            </w:tcBorders>
            <w:gridSpan w:val="8"/>
          </w:tcPr>
          <w:p>
            <w:pPr>
              <w:spacing w:after="0" w:line="194" w:lineRule="exact"/>
              <w:rPr>
                <w:rFonts w:ascii="Arial" w:cs="Arial" w:eastAsia="Arial" w:hAnsi="Arial"/>
                <w:sz w:val="18"/>
                <w:szCs w:val="18"/>
                <w:color w:val="0000EE"/>
                <w:w w:val="90"/>
              </w:rPr>
            </w:pPr>
            <w:hyperlink r:id="rId19">
              <w:r>
                <w:rPr>
                  <w:rFonts w:ascii="Arial" w:cs="Arial" w:eastAsia="Arial" w:hAnsi="Arial"/>
                  <w:sz w:val="18"/>
                  <w:szCs w:val="18"/>
                  <w:color w:val="0000EE"/>
                  <w:w w:val="90"/>
                </w:rPr>
                <w:t>(incorporated by reference from Exhibit 10.12 to the Company’s Current Report on Form 8-K filed with the SEC on October 21,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gridSpan w:val="2"/>
          </w:tcPr>
          <w:p>
            <w:pPr>
              <w:ind w:left="400"/>
              <w:spacing w:after="0" w:line="194" w:lineRule="exact"/>
              <w:rPr>
                <w:rFonts w:ascii="Arial" w:cs="Arial" w:eastAsia="Arial" w:hAnsi="Arial"/>
                <w:sz w:val="18"/>
                <w:szCs w:val="18"/>
                <w:color w:val="0000EE"/>
                <w:w w:val="82"/>
              </w:rPr>
            </w:pPr>
            <w:hyperlink r:id="rId19">
              <w:r>
                <w:rPr>
                  <w:rFonts w:ascii="Arial" w:cs="Arial" w:eastAsia="Arial" w:hAnsi="Arial"/>
                  <w:sz w:val="18"/>
                  <w:szCs w:val="18"/>
                  <w:color w:val="0000EE"/>
                  <w:w w:val="82"/>
                </w:rPr>
                <w:t>2021)</w:t>
              </w:r>
            </w:hyperlink>
          </w:p>
        </w:tc>
        <w:tc>
          <w:tcPr>
            <w:tcW w:w="2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7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900" w:type="dxa"/>
            <w:vAlign w:val="bottom"/>
            <w:gridSpan w:val="2"/>
          </w:tcPr>
          <w:p>
            <w:pPr>
              <w:ind w:left="440"/>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4"/>
                <w:szCs w:val="24"/>
                <w:color w:val="auto"/>
              </w:rPr>
            </w:pPr>
          </w:p>
        </w:tc>
        <w:tc>
          <w:tcPr>
            <w:tcW w:w="9180" w:type="dxa"/>
            <w:vAlign w:val="bottom"/>
            <w:tcBorders>
              <w:bottom w:val="single" w:sz="8" w:color="0000EE"/>
            </w:tcBorders>
            <w:gridSpan w:val="9"/>
          </w:tcPr>
          <w:p>
            <w:pPr>
              <w:spacing w:after="0"/>
              <w:rPr>
                <w:rFonts w:ascii="Arial" w:cs="Arial" w:eastAsia="Arial" w:hAnsi="Arial"/>
                <w:sz w:val="18"/>
                <w:szCs w:val="18"/>
                <w:color w:val="0000EE"/>
                <w:w w:val="90"/>
              </w:rPr>
            </w:pPr>
            <w:hyperlink r:id="rId20">
              <w:r>
                <w:rPr>
                  <w:rFonts w:ascii="Arial" w:cs="Arial" w:eastAsia="Arial" w:hAnsi="Arial"/>
                  <w:sz w:val="18"/>
                  <w:szCs w:val="18"/>
                  <w:color w:val="0000EE"/>
                  <w:w w:val="90"/>
                </w:rPr>
                <w:t>Employment Agreement, dated March 16, 2021, by and among Andrew LaBenne, Bakkt Opco Holdings, LLC and the Company</w:t>
              </w:r>
            </w:hyperlink>
          </w:p>
        </w:tc>
        <w:tc>
          <w:tcPr>
            <w:tcW w:w="0" w:type="dxa"/>
            <w:vAlign w:val="bottom"/>
          </w:tcPr>
          <w:p>
            <w:pPr>
              <w:spacing w:after="0"/>
              <w:rPr>
                <w:sz w:val="1"/>
                <w:szCs w:val="1"/>
                <w:color w:val="auto"/>
              </w:rPr>
            </w:pPr>
          </w:p>
        </w:tc>
      </w:tr>
      <w:tr>
        <w:trPr>
          <w:trHeight w:val="194"/>
        </w:trPr>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160" w:type="dxa"/>
            <w:vAlign w:val="bottom"/>
            <w:tcBorders>
              <w:bottom w:val="single" w:sz="8" w:color="0000EE"/>
            </w:tcBorders>
            <w:gridSpan w:val="8"/>
          </w:tcPr>
          <w:p>
            <w:pPr>
              <w:spacing w:after="0" w:line="194" w:lineRule="exact"/>
              <w:rPr>
                <w:rFonts w:ascii="Arial" w:cs="Arial" w:eastAsia="Arial" w:hAnsi="Arial"/>
                <w:sz w:val="18"/>
                <w:szCs w:val="18"/>
                <w:color w:val="0000EE"/>
                <w:w w:val="90"/>
              </w:rPr>
            </w:pPr>
            <w:hyperlink r:id="rId20">
              <w:r>
                <w:rPr>
                  <w:rFonts w:ascii="Arial" w:cs="Arial" w:eastAsia="Arial" w:hAnsi="Arial"/>
                  <w:sz w:val="18"/>
                  <w:szCs w:val="18"/>
                  <w:color w:val="0000EE"/>
                  <w:w w:val="90"/>
                </w:rPr>
                <w:t>(incorporated by reference from Exhibit 10.13 to the Company’s Current Report on Form 8-K filed with the SEC on October 21,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gridSpan w:val="2"/>
          </w:tcPr>
          <w:p>
            <w:pPr>
              <w:ind w:left="400"/>
              <w:spacing w:after="0" w:line="194" w:lineRule="exact"/>
              <w:rPr>
                <w:rFonts w:ascii="Arial" w:cs="Arial" w:eastAsia="Arial" w:hAnsi="Arial"/>
                <w:sz w:val="18"/>
                <w:szCs w:val="18"/>
                <w:color w:val="0000EE"/>
                <w:w w:val="82"/>
              </w:rPr>
            </w:pPr>
            <w:hyperlink r:id="rId20">
              <w:r>
                <w:rPr>
                  <w:rFonts w:ascii="Arial" w:cs="Arial" w:eastAsia="Arial" w:hAnsi="Arial"/>
                  <w:sz w:val="18"/>
                  <w:szCs w:val="18"/>
                  <w:color w:val="0000EE"/>
                  <w:w w:val="82"/>
                </w:rPr>
                <w:t>2021)</w:t>
              </w:r>
            </w:hyperlink>
          </w:p>
        </w:tc>
        <w:tc>
          <w:tcPr>
            <w:tcW w:w="2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7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900" w:type="dxa"/>
            <w:vAlign w:val="bottom"/>
            <w:gridSpan w:val="2"/>
          </w:tcPr>
          <w:p>
            <w:pPr>
              <w:ind w:left="440"/>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4"/>
                <w:szCs w:val="24"/>
                <w:color w:val="auto"/>
              </w:rPr>
            </w:pPr>
          </w:p>
        </w:tc>
        <w:tc>
          <w:tcPr>
            <w:tcW w:w="9180" w:type="dxa"/>
            <w:vAlign w:val="bottom"/>
            <w:gridSpan w:val="9"/>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480"/>
          </w:cols>
          <w:pgMar w:left="480" w:top="295" w:right="93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SIGNATURE</w:t>
      </w:r>
    </w:p>
    <w:p>
      <w:pPr>
        <w:spacing w:after="0" w:line="225" w:lineRule="exact"/>
        <w:rPr>
          <w:sz w:val="20"/>
          <w:szCs w:val="20"/>
          <w:color w:val="auto"/>
        </w:rPr>
      </w:pPr>
    </w:p>
    <w:p>
      <w:pPr>
        <w:ind w:right="300" w:firstLine="436"/>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26, 2021</w:t>
      </w:r>
    </w:p>
    <w:p>
      <w:pPr>
        <w:spacing w:after="0" w:line="244"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BAKKT HOLDINGS, INC.</w:t>
      </w:r>
    </w:p>
    <w:p>
      <w:pPr>
        <w:spacing w:after="0" w:line="225" w:lineRule="exact"/>
        <w:rPr>
          <w:sz w:val="20"/>
          <w:szCs w:val="20"/>
          <w:color w:val="auto"/>
        </w:rPr>
      </w:pPr>
    </w:p>
    <w:tbl>
      <w:tblPr>
        <w:tblLayout w:type="fixed"/>
        <w:tblInd w:w="5480" w:type="dxa"/>
        <w:tblCellMar>
          <w:top w:w="0" w:type="dxa"/>
          <w:left w:w="0" w:type="dxa"/>
          <w:bottom w:w="0" w:type="dxa"/>
          <w:right w:w="0" w:type="dxa"/>
        </w:tblCellMar>
      </w:tblPr>
      <w:tr>
        <w:trPr>
          <w:trHeight w:val="228"/>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D’Annunzio</w:t>
            </w:r>
          </w:p>
        </w:tc>
      </w:tr>
      <w:tr>
        <w:trPr>
          <w:trHeight w:val="206"/>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tcPr>
          <w:p>
            <w:pPr>
              <w:spacing w:after="0"/>
              <w:rPr>
                <w:sz w:val="20"/>
                <w:szCs w:val="20"/>
                <w:color w:val="auto"/>
              </w:rPr>
            </w:pPr>
            <w:r>
              <w:rPr>
                <w:rFonts w:ascii="Arial" w:cs="Arial" w:eastAsia="Arial" w:hAnsi="Arial"/>
                <w:sz w:val="18"/>
                <w:szCs w:val="18"/>
                <w:color w:val="auto"/>
              </w:rPr>
              <w:t>Marc D’Annunzio</w:t>
            </w:r>
          </w:p>
        </w:tc>
      </w:tr>
      <w:tr>
        <w:trPr>
          <w:trHeight w:val="227"/>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General Counsel and Secretary</w:t>
            </w:r>
          </w:p>
        </w:tc>
      </w:tr>
    </w:tbl>
    <w:p>
      <w:pPr>
        <w:sectPr>
          <w:pgSz w:w="11900" w:h="16838" w:orient="portrait"/>
          <w:cols w:equalWidth="0" w:num="1">
            <w:col w:w="10920"/>
          </w:cols>
          <w:pgMar w:left="480" w:top="295" w:right="4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166370</wp:posOffset>
            </wp:positionV>
            <wp:extent cx="1188720" cy="4248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188720" cy="42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24,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351"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b w:val="1"/>
          <w:bCs w:val="1"/>
          <w:color w:val="auto"/>
        </w:rPr>
        <w:t>Re:</w:t>
        <w:tab/>
        <w:t>Incentive Grants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Dear [First Name]:</w:t>
      </w:r>
    </w:p>
    <w:p>
      <w:pPr>
        <w:spacing w:after="0" w:line="221"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This letter is intended to update you on our plans for your Bakkt Holdings, Inc. incentive equity awards and obtain your agreement to changes in the terms communicated in your employment agreement, as highlighted below.</w:t>
      </w:r>
    </w:p>
    <w:p>
      <w:pPr>
        <w:spacing w:after="0" w:line="17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Compensation Committee of the Board of Directors of Bakkt Holdings, Inc. has approved the grant of the following awards to you under the 2021 Omnibus Incentive Plan, promptly following and subject to the effectiveness of a registration statement on Form S-8 to be filed with the Securities and Exchange Commission:</w:t>
      </w:r>
    </w:p>
    <w:p>
      <w:pPr>
        <w:spacing w:after="0" w:line="92" w:lineRule="exact"/>
        <w:rPr>
          <w:sz w:val="20"/>
          <w:szCs w:val="20"/>
          <w:color w:val="auto"/>
        </w:rPr>
      </w:pPr>
    </w:p>
    <w:p>
      <w:pPr>
        <w:ind w:left="980" w:right="420" w:hanging="438"/>
        <w:spacing w:after="0" w:line="271"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provided by your employment agreement, a grant of [amount] restricted stock units (the “</w:t>
      </w:r>
      <w:r>
        <w:rPr>
          <w:rFonts w:ascii="Arial" w:cs="Arial" w:eastAsia="Arial" w:hAnsi="Arial"/>
          <w:sz w:val="18"/>
          <w:szCs w:val="18"/>
          <w:u w:val="single" w:color="auto"/>
          <w:color w:val="auto"/>
        </w:rPr>
        <w:t>Go-Forward Award”) will be awarded as</w:t>
      </w:r>
      <w:r>
        <w:rPr>
          <w:rFonts w:ascii="Arial" w:cs="Arial" w:eastAsia="Arial" w:hAnsi="Arial"/>
          <w:sz w:val="18"/>
          <w:szCs w:val="18"/>
          <w:color w:val="auto"/>
        </w:rPr>
        <w:t xml:space="preserve"> </w:t>
      </w:r>
      <w:r>
        <w:rPr>
          <w:rFonts w:ascii="Arial" w:cs="Arial" w:eastAsia="Arial" w:hAnsi="Arial"/>
          <w:sz w:val="18"/>
          <w:szCs w:val="18"/>
          <w:u w:val="single" w:color="auto"/>
          <w:color w:val="auto"/>
        </w:rPr>
        <w:t>follows:</w:t>
      </w:r>
    </w:p>
    <w:p>
      <w:pPr>
        <w:spacing w:after="0" w:line="80" w:lineRule="exact"/>
        <w:rPr>
          <w:rFonts w:ascii="Arial" w:cs="Arial" w:eastAsia="Arial" w:hAnsi="Arial"/>
          <w:sz w:val="18"/>
          <w:szCs w:val="18"/>
          <w:color w:val="auto"/>
        </w:rPr>
      </w:pPr>
    </w:p>
    <w:p>
      <w:pPr>
        <w:ind w:left="1420" w:right="260" w:hanging="329"/>
        <w:spacing w:after="0" w:line="271" w:lineRule="auto"/>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fifty percent (50%) of the Go-Forward Award will be in the form of time-based vesting restricted stock units (the “</w:t>
      </w:r>
      <w:r>
        <w:rPr>
          <w:rFonts w:ascii="Arial" w:cs="Arial" w:eastAsia="Arial" w:hAnsi="Arial"/>
          <w:sz w:val="18"/>
          <w:szCs w:val="18"/>
          <w:u w:val="single" w:color="auto"/>
          <w:color w:val="auto"/>
        </w:rPr>
        <w:t>Initial RSUs</w:t>
      </w:r>
      <w:r>
        <w:rPr>
          <w:rFonts w:ascii="Arial" w:cs="Arial" w:eastAsia="Arial" w:hAnsi="Arial"/>
          <w:sz w:val="18"/>
          <w:szCs w:val="18"/>
          <w:color w:val="auto"/>
        </w:rPr>
        <w:t>”); and</w:t>
      </w:r>
    </w:p>
    <w:p>
      <w:pPr>
        <w:spacing w:after="0" w:line="80" w:lineRule="exact"/>
        <w:rPr>
          <w:rFonts w:ascii="Arial" w:cs="Arial" w:eastAsia="Arial" w:hAnsi="Arial"/>
          <w:sz w:val="18"/>
          <w:szCs w:val="18"/>
          <w:color w:val="auto"/>
        </w:rPr>
      </w:pPr>
    </w:p>
    <w:p>
      <w:pPr>
        <w:ind w:left="1420" w:right="400" w:hanging="329"/>
        <w:spacing w:after="0" w:line="271" w:lineRule="auto"/>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remaining fifty percent (50%) of the Go-Forward Award will be in the form of performance-based restricted stock units (the “</w:t>
      </w:r>
      <w:r>
        <w:rPr>
          <w:rFonts w:ascii="Arial" w:cs="Arial" w:eastAsia="Arial" w:hAnsi="Arial"/>
          <w:sz w:val="18"/>
          <w:szCs w:val="18"/>
          <w:u w:val="single" w:color="auto"/>
          <w:color w:val="auto"/>
        </w:rPr>
        <w:t>Initial PRSUs</w:t>
      </w:r>
      <w:r>
        <w:rPr>
          <w:rFonts w:ascii="Arial" w:cs="Arial" w:eastAsia="Arial" w:hAnsi="Arial"/>
          <w:sz w:val="18"/>
          <w:szCs w:val="18"/>
          <w:color w:val="auto"/>
        </w:rPr>
        <w:t>”).</w:t>
      </w:r>
    </w:p>
    <w:p>
      <w:pPr>
        <w:spacing w:after="0" w:line="68" w:lineRule="exact"/>
        <w:rPr>
          <w:sz w:val="20"/>
          <w:szCs w:val="20"/>
          <w:color w:val="auto"/>
        </w:rPr>
      </w:pPr>
    </w:p>
    <w:p>
      <w:pPr>
        <w:jc w:val="both"/>
        <w:ind w:left="440" w:right="80"/>
        <w:spacing w:after="0" w:line="281" w:lineRule="auto"/>
        <w:rPr>
          <w:sz w:val="20"/>
          <w:szCs w:val="20"/>
          <w:color w:val="auto"/>
        </w:rPr>
      </w:pPr>
      <w:r>
        <w:rPr>
          <w:rFonts w:ascii="Arial" w:cs="Arial" w:eastAsia="Arial" w:hAnsi="Arial"/>
          <w:sz w:val="17"/>
          <w:szCs w:val="17"/>
          <w:color w:val="auto"/>
        </w:rPr>
        <w:t xml:space="preserve">The Initial RSUs will vest, subject to your continued employment with Bakkt, in three equal annual installments on the first three anniversaries of the Grant Date. </w:t>
      </w:r>
      <w:r>
        <w:rPr>
          <w:rFonts w:ascii="Arial" w:cs="Arial" w:eastAsia="Arial" w:hAnsi="Arial"/>
          <w:sz w:val="17"/>
          <w:szCs w:val="17"/>
          <w:i w:val="1"/>
          <w:iCs w:val="1"/>
          <w:color w:val="auto"/>
        </w:rPr>
        <w:t>Note that this is a change from your employment agreement, which provided that the Initial RSUs would vest in three installments</w:t>
      </w:r>
      <w:r>
        <w:rPr>
          <w:rFonts w:ascii="Arial" w:cs="Arial" w:eastAsia="Arial" w:hAnsi="Arial"/>
          <w:sz w:val="17"/>
          <w:szCs w:val="17"/>
          <w:color w:val="auto"/>
        </w:rPr>
        <w:t xml:space="preserve"> </w:t>
      </w:r>
      <w:r>
        <w:rPr>
          <w:rFonts w:ascii="Arial" w:cs="Arial" w:eastAsia="Arial" w:hAnsi="Arial"/>
          <w:sz w:val="17"/>
          <w:szCs w:val="17"/>
          <w:i w:val="1"/>
          <w:iCs w:val="1"/>
          <w:color w:val="auto"/>
        </w:rPr>
        <w:t>on the first three anniversaries of the closing date of Bakkt’s deSPAC transaction (the “Closing Date”).</w:t>
      </w:r>
    </w:p>
    <w:p>
      <w:pPr>
        <w:spacing w:after="0" w:line="62" w:lineRule="exact"/>
        <w:rPr>
          <w:sz w:val="20"/>
          <w:szCs w:val="20"/>
          <w:color w:val="auto"/>
        </w:rPr>
      </w:pPr>
    </w:p>
    <w:p>
      <w:pPr>
        <w:ind w:left="440"/>
        <w:spacing w:after="0" w:line="255" w:lineRule="auto"/>
        <w:rPr>
          <w:sz w:val="20"/>
          <w:szCs w:val="20"/>
          <w:color w:val="auto"/>
        </w:rPr>
      </w:pPr>
      <w:r>
        <w:rPr>
          <w:rFonts w:ascii="Arial" w:cs="Arial" w:eastAsia="Arial" w:hAnsi="Arial"/>
          <w:sz w:val="18"/>
          <w:szCs w:val="18"/>
          <w:color w:val="auto"/>
        </w:rPr>
        <w:t xml:space="preserve">The Initial PRSUs will vest, subject to your continued employment with Bakkt, on the third anniversary of the Grant Date to the extent the applicable performance conditions have been satisfied. Bakkt intends to define the performance conditions before the grant date. </w:t>
      </w:r>
      <w:r>
        <w:rPr>
          <w:rFonts w:ascii="Arial" w:cs="Arial" w:eastAsia="Arial" w:hAnsi="Arial"/>
          <w:sz w:val="18"/>
          <w:szCs w:val="18"/>
          <w:i w:val="1"/>
          <w:iCs w:val="1"/>
          <w:color w:val="auto"/>
        </w:rPr>
        <w:t>Note that this is a</w:t>
      </w:r>
      <w:r>
        <w:rPr>
          <w:rFonts w:ascii="Arial" w:cs="Arial" w:eastAsia="Arial" w:hAnsi="Arial"/>
          <w:sz w:val="18"/>
          <w:szCs w:val="18"/>
          <w:color w:val="auto"/>
        </w:rPr>
        <w:t xml:space="preserve"> </w:t>
      </w:r>
      <w:r>
        <w:rPr>
          <w:rFonts w:ascii="Arial" w:cs="Arial" w:eastAsia="Arial" w:hAnsi="Arial"/>
          <w:sz w:val="18"/>
          <w:szCs w:val="18"/>
          <w:i w:val="1"/>
          <w:iCs w:val="1"/>
          <w:color w:val="auto"/>
        </w:rPr>
        <w:t>change from your employment agreement, which provided that the performance conditions would be such performance conditions shall be established prior to the Closing Date.</w:t>
      </w:r>
    </w:p>
    <w:p>
      <w:pPr>
        <w:spacing w:after="0" w:line="97" w:lineRule="exact"/>
        <w:rPr>
          <w:sz w:val="20"/>
          <w:szCs w:val="20"/>
          <w:color w:val="auto"/>
        </w:rPr>
      </w:pPr>
    </w:p>
    <w:p>
      <w:pPr>
        <w:ind w:left="980" w:right="180" w:hanging="438"/>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addition to the Go-Forward Award, and in recognition of your contributions to Bakkt during 2021, a grant of [number] restricted stock units (RSUs) (the “</w:t>
      </w:r>
      <w:r>
        <w:rPr>
          <w:rFonts w:ascii="Arial" w:cs="Arial" w:eastAsia="Arial" w:hAnsi="Arial"/>
          <w:sz w:val="18"/>
          <w:szCs w:val="18"/>
          <w:u w:val="single" w:color="auto"/>
          <w:color w:val="auto"/>
        </w:rPr>
        <w:t>Merger Incentive Award</w:t>
      </w:r>
      <w:r>
        <w:rPr>
          <w:rFonts w:ascii="Arial" w:cs="Arial" w:eastAsia="Arial" w:hAnsi="Arial"/>
          <w:sz w:val="18"/>
          <w:szCs w:val="18"/>
          <w:color w:val="auto"/>
        </w:rPr>
        <w:t>”) will be awarded. Subject to your continued employment with Bakkt, the Merger Incentive Award will vest in full on May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094855" cy="195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094855" cy="19558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680" w:type="dxa"/>
            <w:vAlign w:val="bottom"/>
            <w:vMerge w:val="restart"/>
          </w:tcPr>
          <w:p>
            <w:pPr>
              <w:spacing w:after="0"/>
              <w:rPr>
                <w:sz w:val="20"/>
                <w:szCs w:val="20"/>
                <w:color w:val="auto"/>
              </w:rPr>
            </w:pPr>
            <w:r>
              <w:rPr>
                <w:rFonts w:ascii="Arial" w:cs="Arial" w:eastAsia="Arial" w:hAnsi="Arial"/>
                <w:sz w:val="18"/>
                <w:szCs w:val="18"/>
                <w:color w:val="auto"/>
              </w:rPr>
              <w:t>www.bakkt.com  |</w:t>
            </w:r>
          </w:p>
        </w:tc>
        <w:tc>
          <w:tcPr>
            <w:tcW w:w="1240" w:type="dxa"/>
            <w:vAlign w:val="bottom"/>
            <w:vMerge w:val="restart"/>
          </w:tcPr>
          <w:p>
            <w:pPr>
              <w:ind w:left="300"/>
              <w:spacing w:after="0"/>
              <w:rPr>
                <w:sz w:val="20"/>
                <w:szCs w:val="20"/>
                <w:color w:val="auto"/>
              </w:rPr>
            </w:pPr>
            <w:r>
              <w:rPr>
                <w:rFonts w:ascii="Arial" w:cs="Arial" w:eastAsia="Arial" w:hAnsi="Arial"/>
                <w:sz w:val="18"/>
                <w:szCs w:val="18"/>
                <w:color w:val="auto"/>
              </w:rPr>
              <w:t>/bakkt  |</w:t>
            </w:r>
          </w:p>
        </w:tc>
        <w:tc>
          <w:tcPr>
            <w:tcW w:w="1360" w:type="dxa"/>
            <w:vAlign w:val="bottom"/>
            <w:vMerge w:val="restart"/>
          </w:tcPr>
          <w:p>
            <w:pPr>
              <w:ind w:left="280"/>
              <w:spacing w:after="0"/>
              <w:rPr>
                <w:sz w:val="20"/>
                <w:szCs w:val="20"/>
                <w:color w:val="auto"/>
              </w:rPr>
            </w:pPr>
            <w:r>
              <w:rPr>
                <w:rFonts w:ascii="Arial" w:cs="Arial" w:eastAsia="Arial" w:hAnsi="Arial"/>
                <w:sz w:val="18"/>
                <w:szCs w:val="18"/>
                <w:color w:val="auto"/>
              </w:rPr>
              <w:t>@Bakkt  |</w:t>
            </w:r>
          </w:p>
        </w:tc>
        <w:tc>
          <w:tcPr>
            <w:tcW w:w="3820" w:type="dxa"/>
            <w:vAlign w:val="bottom"/>
            <w:vMerge w:val="restart"/>
          </w:tcPr>
          <w:p>
            <w:pPr>
              <w:ind w:left="280"/>
              <w:spacing w:after="0"/>
              <w:rPr>
                <w:sz w:val="20"/>
                <w:szCs w:val="20"/>
                <w:color w:val="auto"/>
              </w:rPr>
            </w:pPr>
            <w:r>
              <w:rPr>
                <w:rFonts w:ascii="Arial" w:cs="Arial" w:eastAsia="Arial" w:hAnsi="Arial"/>
                <w:sz w:val="18"/>
                <w:szCs w:val="18"/>
                <w:color w:val="auto"/>
              </w:rPr>
              <w:t>@bakktapp</w:t>
            </w:r>
          </w:p>
        </w:tc>
        <w:tc>
          <w:tcPr>
            <w:tcW w:w="28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34"/>
        </w:trPr>
        <w:tc>
          <w:tcPr>
            <w:tcW w:w="168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3820" w:type="dxa"/>
            <w:vAlign w:val="bottom"/>
            <w:vMerge w:val="continue"/>
          </w:tcPr>
          <w:p>
            <w:pPr>
              <w:spacing w:after="0"/>
              <w:rPr>
                <w:sz w:val="11"/>
                <w:szCs w:val="11"/>
                <w:color w:val="auto"/>
              </w:rPr>
            </w:pPr>
          </w:p>
        </w:tc>
        <w:tc>
          <w:tcPr>
            <w:tcW w:w="2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-176530</wp:posOffset>
            </wp:positionV>
            <wp:extent cx="144145" cy="144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44145" cy="14414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-219075</wp:posOffset>
            </wp:positionV>
            <wp:extent cx="186690" cy="186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86690" cy="1866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-219075</wp:posOffset>
            </wp:positionV>
            <wp:extent cx="186690" cy="186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186690" cy="186690"/>
                    </a:xfrm>
                    <a:prstGeom prst="rect">
                      <a:avLst/>
                    </a:prstGeom>
                    <a:noFill/>
                  </pic:spPr>
                </pic:pic>
              </a:graphicData>
            </a:graphic>
          </wp:anchor>
        </w:drawing>
      </w:r>
    </w:p>
    <w:p>
      <w:pPr>
        <w:sectPr>
          <w:pgSz w:w="11900" w:h="16838" w:orient="portrait"/>
          <w:cols w:equalWidth="0" w:num="1">
            <w:col w:w="10920"/>
          </w:cols>
          <w:pgMar w:left="480" w:top="125" w:right="499" w:bottom="1440" w:gutter="0" w:footer="0" w:header="0"/>
        </w:sectPr>
      </w:pPr>
    </w:p>
    <w:bookmarkStart w:id="5" w:name="page6"/>
    <w:bookmarkEnd w:id="5"/>
    <w:p>
      <w:pPr>
        <w:jc w:val="both"/>
        <w:ind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1188720" cy="4248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188720" cy="424815"/>
                    </a:xfrm>
                    <a:prstGeom prst="rect">
                      <a:avLst/>
                    </a:prstGeom>
                    <a:noFill/>
                  </pic:spPr>
                </pic:pic>
              </a:graphicData>
            </a:graphic>
          </wp:anchor>
        </w:drawing>
        <w:t xml:space="preserve">As stated above, both the Merger Incentive Award and the Go-Forward Award cannot be made until, and are contingent upon, the effectiveness of a Form S-8 covering the Plan, which we anticipate filing in late December 2021. </w:t>
      </w:r>
      <w:r>
        <w:rPr>
          <w:rFonts w:ascii="Arial" w:cs="Arial" w:eastAsia="Arial" w:hAnsi="Arial"/>
          <w:sz w:val="18"/>
          <w:szCs w:val="18"/>
          <w:u w:val="single" w:color="auto"/>
          <w:color w:val="auto"/>
        </w:rPr>
        <w:t>The awards are also contingent on your continued employment with</w:t>
      </w:r>
      <w:r>
        <w:rPr>
          <w:rFonts w:ascii="Arial" w:cs="Arial" w:eastAsia="Arial" w:hAnsi="Arial"/>
          <w:sz w:val="18"/>
          <w:szCs w:val="18"/>
          <w:color w:val="auto"/>
        </w:rPr>
        <w:t xml:space="preserve"> </w:t>
      </w:r>
      <w:r>
        <w:rPr>
          <w:rFonts w:ascii="Arial" w:cs="Arial" w:eastAsia="Arial" w:hAnsi="Arial"/>
          <w:sz w:val="18"/>
          <w:szCs w:val="18"/>
          <w:u w:val="single" w:color="auto"/>
          <w:color w:val="auto"/>
        </w:rPr>
        <w:t>Bakkt as of the grant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Please evidence your agreement to the foregoing by signing in the space provided below. We appreciate your contributions to Bakkt!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Very truly yours,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13335</wp:posOffset>
            </wp:positionV>
            <wp:extent cx="23780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237807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13335</wp:posOffset>
            </wp:positionV>
            <wp:extent cx="23780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237807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13335</wp:posOffset>
            </wp:positionV>
            <wp:extent cx="23780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23780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123825</wp:posOffset>
            </wp:positionV>
            <wp:extent cx="7094855" cy="382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094855" cy="38227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680" w:type="dxa"/>
            <w:vAlign w:val="bottom"/>
            <w:vMerge w:val="restart"/>
          </w:tcPr>
          <w:p>
            <w:pPr>
              <w:spacing w:after="0"/>
              <w:rPr>
                <w:sz w:val="20"/>
                <w:szCs w:val="20"/>
                <w:color w:val="auto"/>
              </w:rPr>
            </w:pPr>
            <w:r>
              <w:rPr>
                <w:rFonts w:ascii="Arial" w:cs="Arial" w:eastAsia="Arial" w:hAnsi="Arial"/>
                <w:sz w:val="18"/>
                <w:szCs w:val="18"/>
                <w:color w:val="auto"/>
              </w:rPr>
              <w:t>www.bakkt.com  |</w:t>
            </w:r>
          </w:p>
        </w:tc>
        <w:tc>
          <w:tcPr>
            <w:tcW w:w="1240" w:type="dxa"/>
            <w:vAlign w:val="bottom"/>
            <w:vMerge w:val="restart"/>
          </w:tcPr>
          <w:p>
            <w:pPr>
              <w:ind w:left="300"/>
              <w:spacing w:after="0"/>
              <w:rPr>
                <w:sz w:val="20"/>
                <w:szCs w:val="20"/>
                <w:color w:val="auto"/>
              </w:rPr>
            </w:pPr>
            <w:r>
              <w:rPr>
                <w:rFonts w:ascii="Arial" w:cs="Arial" w:eastAsia="Arial" w:hAnsi="Arial"/>
                <w:sz w:val="18"/>
                <w:szCs w:val="18"/>
                <w:color w:val="auto"/>
              </w:rPr>
              <w:t>/bakkt  |</w:t>
            </w:r>
          </w:p>
        </w:tc>
        <w:tc>
          <w:tcPr>
            <w:tcW w:w="1360" w:type="dxa"/>
            <w:vAlign w:val="bottom"/>
            <w:vMerge w:val="restart"/>
          </w:tcPr>
          <w:p>
            <w:pPr>
              <w:ind w:left="280"/>
              <w:spacing w:after="0"/>
              <w:rPr>
                <w:sz w:val="20"/>
                <w:szCs w:val="20"/>
                <w:color w:val="auto"/>
              </w:rPr>
            </w:pPr>
            <w:r>
              <w:rPr>
                <w:rFonts w:ascii="Arial" w:cs="Arial" w:eastAsia="Arial" w:hAnsi="Arial"/>
                <w:sz w:val="18"/>
                <w:szCs w:val="18"/>
                <w:color w:val="auto"/>
              </w:rPr>
              <w:t>@Bakkt  |</w:t>
            </w:r>
          </w:p>
        </w:tc>
        <w:tc>
          <w:tcPr>
            <w:tcW w:w="3820" w:type="dxa"/>
            <w:vAlign w:val="bottom"/>
            <w:vMerge w:val="restart"/>
          </w:tcPr>
          <w:p>
            <w:pPr>
              <w:ind w:left="280"/>
              <w:spacing w:after="0"/>
              <w:rPr>
                <w:sz w:val="20"/>
                <w:szCs w:val="20"/>
                <w:color w:val="auto"/>
              </w:rPr>
            </w:pPr>
            <w:r>
              <w:rPr>
                <w:rFonts w:ascii="Arial" w:cs="Arial" w:eastAsia="Arial" w:hAnsi="Arial"/>
                <w:sz w:val="18"/>
                <w:szCs w:val="18"/>
                <w:color w:val="auto"/>
              </w:rPr>
              <w:t>@bakktapp</w:t>
            </w:r>
          </w:p>
        </w:tc>
        <w:tc>
          <w:tcPr>
            <w:tcW w:w="28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34"/>
        </w:trPr>
        <w:tc>
          <w:tcPr>
            <w:tcW w:w="168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3820" w:type="dxa"/>
            <w:vAlign w:val="bottom"/>
            <w:vMerge w:val="continue"/>
          </w:tcPr>
          <w:p>
            <w:pPr>
              <w:spacing w:after="0"/>
              <w:rPr>
                <w:sz w:val="11"/>
                <w:szCs w:val="11"/>
                <w:color w:val="auto"/>
              </w:rPr>
            </w:pPr>
          </w:p>
        </w:tc>
        <w:tc>
          <w:tcPr>
            <w:tcW w:w="2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920"/>
      </w:cols>
      <w:pgMar w:left="480" w:top="108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jpeg"/><Relationship Id="rId24" Type="http://schemas.openxmlformats.org/officeDocument/2006/relationships/image" Target="media/image14.jpeg"/><Relationship Id="rId25" Type="http://schemas.openxmlformats.org/officeDocument/2006/relationships/image" Target="media/image15.jpeg"/><Relationship Id="rId26" Type="http://schemas.openxmlformats.org/officeDocument/2006/relationships/image" Target="media/image16.jpeg"/><Relationship Id="rId27" Type="http://schemas.openxmlformats.org/officeDocument/2006/relationships/image" Target="media/image17.jpeg"/><Relationship Id="rId28" Type="http://schemas.openxmlformats.org/officeDocument/2006/relationships/image" Target="media/image18.png"/><Relationship Id="rId29" Type="http://schemas.openxmlformats.org/officeDocument/2006/relationships/image" Target="media/image19.jpe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18" Type="http://schemas.openxmlformats.org/officeDocument/2006/relationships/hyperlink" Target="http://www.sec.gov/Archives/edgar/data/1820302/000119312521303985/d219325dex109.htm" TargetMode="External"/><Relationship Id="rId19" Type="http://schemas.openxmlformats.org/officeDocument/2006/relationships/hyperlink" Target="http://www.sec.gov/Archives/edgar/data/1820302/000119312521303985/d219325dex1012.htm" TargetMode="External"/><Relationship Id="rId20" Type="http://schemas.openxmlformats.org/officeDocument/2006/relationships/hyperlink" Target="http://www.sec.gov/Archives/edgar/data/1820302/000119312521303985/d219325dex10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2021-11-26T16:54:31Z</dcterms:created>
  <dcterms:modified xsi:type="dcterms:W3CDTF">2021-11-26T16:54:31Z</dcterms:modified>
</cp:coreProperties>
</file>