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Weiss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812,640.00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WAM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812,640.00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WEISS ANDREW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812,640.00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539"/>
        <w:spacing w:after="0"/>
        <w:rPr>
          <w:sz w:val="20"/>
          <w:szCs w:val="20"/>
          <w:color w:val="auto"/>
        </w:rPr>
      </w:pPr>
      <w:r>
        <w:rPr>
          <w:rFonts w:ascii="Times New Roman" w:cs="Times New Roman" w:eastAsia="Times New Roman" w:hAnsi="Times New Roman"/>
          <w:sz w:val="22"/>
          <w:szCs w:val="22"/>
          <w:color w:val="auto"/>
        </w:rPr>
        <w:t>ONE LIBERTY PLAZA, ONE LIBERTY PLAZA, NEW YORK, NEW YORK, 10006.</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0" w:firstLine="6"/>
        <w:spacing w:after="0" w:line="256" w:lineRule="auto"/>
        <w:tabs>
          <w:tab w:leader="none" w:pos="25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Weiss Asset Management LP ("Weiss Asset Management"). (ii) WAM GP LLC ("WAM GP"). (iii) Andrew M. Weiss, Ph.D. ("Andrew Weiss").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Weiss Asset Management, WAM GP, and Andrew Weiss have a business address of 222 Berkeley St., 16th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260" w:hanging="254"/>
        <w:spacing w:after="0"/>
        <w:tabs>
          <w:tab w:leader="none" w:pos="2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Weiss Asset Management is a Delaware limited partnership. (ii) WAM GP is a Delaware limited liability company.</w:t>
      </w:r>
    </w:p>
    <w:p>
      <w:pPr>
        <w:spacing w:after="0" w:line="25" w:lineRule="exact"/>
        <w:rPr>
          <w:rFonts w:ascii="Times New Roman" w:cs="Times New Roman" w:eastAsia="Times New Roman" w:hAnsi="Times New Roman"/>
          <w:sz w:val="21"/>
          <w:szCs w:val="21"/>
          <w:color w:val="auto"/>
        </w:rPr>
      </w:pPr>
    </w:p>
    <w:p>
      <w:pPr>
        <w:ind w:right="6320" w:firstLine="6"/>
        <w:spacing w:after="0" w:line="2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Andrew Weiss is a United States citizen. Title of class of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05759B305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right="940"/>
        <w:spacing w:after="0" w:line="253" w:lineRule="auto"/>
        <w:rPr>
          <w:sz w:val="20"/>
          <w:szCs w:val="20"/>
          <w:color w:val="auto"/>
        </w:rPr>
      </w:pPr>
      <w:r>
        <w:rPr>
          <w:rFonts w:ascii="Times New Roman" w:cs="Times New Roman" w:eastAsia="Times New Roman" w:hAnsi="Times New Roman"/>
          <w:sz w:val="21"/>
          <w:szCs w:val="21"/>
          <w:color w:val="auto"/>
        </w:rPr>
        <w:t>812,640 Weiss Asset Management is the sole investment manager to a private investment partnership, (the "Partnership") and private investment funds ("Funds"). WAM GP is the sole general partner of Weiss Asset</w:t>
      </w:r>
    </w:p>
    <w:p>
      <w:pPr>
        <w:spacing w:after="0" w:line="1" w:lineRule="exact"/>
        <w:rPr>
          <w:sz w:val="20"/>
          <w:szCs w:val="20"/>
          <w:color w:val="auto"/>
        </w:rPr>
      </w:pPr>
    </w:p>
    <w:p>
      <w:pPr>
        <w:ind w:left="920" w:hanging="912"/>
        <w:spacing w:after="0" w:line="209"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Management. Andrew Weiss is the managing member of WAM GP. Shares reported for WAM GP, Andrew Weiss and Weiss Asset Management include shares beneficially owned by the Partnership and the Funds. Each of WAM GP, Weiss Asset Management, and Andrew Weiss disclaims beneficial ownership of the shares reported herein as beneficially owned by each except to the extent of their respective pecuniary interest therein. The percent of class computations are based on 24,038,434 shares of Class A Common Stock, par value $0.0001 per share, as of November 6, 2025, as reported in the Form 10-Q of the Issuer, which was filed with the SEC on November 12, 2025.</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2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812,640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00" w:h="16838" w:orient="portrait"/>
          <w:cols w:equalWidth="0" w:num="1">
            <w:col w:w="11120"/>
          </w:cols>
          <w:pgMar w:left="360" w:top="112" w:right="419" w:bottom="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812,640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60" w:space="300"/>
            <w:col w:w="10220"/>
          </w:cols>
          <w:pgMar w:left="320" w:top="153" w:right="399" w:bottom="1440" w:gutter="0" w:footer="0" w:header="0"/>
        </w:sectPr>
      </w:pPr>
    </w:p>
    <w:p>
      <w:pPr>
        <w:spacing w:after="0" w:line="2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Weiss Asset Management LP</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Mary Merrigan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WAM GP LLC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Mary Merrigan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WEISS ANDREW M</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Mary Merrigan</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Attorney-in-Fact for Andrew M. Weiss***</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310"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***Duly authorized under Power of Attorney incorporated herein by reference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exhibit to the Form 13G/A filed by Weiss Asset Management LP on February 3, 2023 in respect of its holding in DEEP MEDICINE ACQUISITION CORP.</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Joint Filing Agreement</w:t>
      </w:r>
    </w:p>
    <w:sectPr>
      <w:pgSz w:w="11900" w:h="16838" w:orient="portrait"/>
      <w:cols w:equalWidth="0" w:num="1">
        <w:col w:w="11180"/>
      </w:cols>
      <w:pgMar w:left="32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1)"/>
      <w:numFmt w:val="lowerRoman"/>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2026-02-17T10:49:48Z</dcterms:created>
  <dcterms:modified xsi:type="dcterms:W3CDTF">2026-02-17T10:49:48Z</dcterms:modified>
</cp:coreProperties>
</file>