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66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VPC Impact Acquisition Holdings</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Sponsor, LLC</w:t>
        </w:r>
      </w:hyperlink>
    </w:p>
    <w:p>
      <w:pPr>
        <w:spacing w:after="0" w:line="304" w:lineRule="exact"/>
        <w:rPr>
          <w:sz w:val="20"/>
          <w:szCs w:val="20"/>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right="320"/>
        <w:spacing w:after="0" w:line="268" w:lineRule="auto"/>
        <w:rPr>
          <w:sz w:val="20"/>
          <w:szCs w:val="20"/>
          <w:color w:val="auto"/>
        </w:rPr>
      </w:pPr>
      <w:r>
        <w:rPr>
          <w:rFonts w:ascii="Arial" w:cs="Arial" w:eastAsia="Arial" w:hAnsi="Arial"/>
          <w:sz w:val="18"/>
          <w:szCs w:val="18"/>
          <w:color w:val="0000FF"/>
        </w:rPr>
        <w:t>C/O VICTORY PARK CAPITAL ADVISORS, LLC</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150 NORTH RIVERSIDE PLAZA, SUITE 5200</w:t>
      </w: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CHICAGO</w:t>
            </w:r>
          </w:p>
        </w:tc>
        <w:tc>
          <w:tcPr>
            <w:tcW w:w="1020" w:type="dxa"/>
            <w:vAlign w:val="bottom"/>
          </w:tcPr>
          <w:p>
            <w:pPr>
              <w:ind w:left="220"/>
              <w:spacing w:after="0"/>
              <w:rPr>
                <w:sz w:val="20"/>
                <w:szCs w:val="20"/>
                <w:color w:val="auto"/>
              </w:rPr>
            </w:pPr>
            <w:r>
              <w:rPr>
                <w:rFonts w:ascii="Arial" w:cs="Arial" w:eastAsia="Arial" w:hAnsi="Arial"/>
                <w:sz w:val="18"/>
                <w:szCs w:val="18"/>
                <w:color w:val="0000FF"/>
              </w:rPr>
              <w:t>IL</w:t>
            </w:r>
          </w:p>
        </w:tc>
        <w:tc>
          <w:tcPr>
            <w:tcW w:w="1600" w:type="dxa"/>
            <w:vAlign w:val="bottom"/>
          </w:tcPr>
          <w:p>
            <w:pPr>
              <w:ind w:left="420"/>
              <w:spacing w:after="0"/>
              <w:rPr>
                <w:sz w:val="20"/>
                <w:szCs w:val="20"/>
                <w:color w:val="auto"/>
              </w:rPr>
            </w:pPr>
            <w:r>
              <w:rPr>
                <w:rFonts w:ascii="Arial" w:cs="Arial" w:eastAsia="Arial" w:hAnsi="Arial"/>
                <w:sz w:val="18"/>
                <w:szCs w:val="18"/>
                <w:color w:val="0000FF"/>
              </w:rPr>
              <w:t>60606</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16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8"/>
                <w:szCs w:val="8"/>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18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07/12/2023</w:t>
            </w:r>
          </w:p>
        </w:tc>
        <w:tc>
          <w:tcPr>
            <w:tcW w:w="196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880" w:type="dxa"/>
            <w:vAlign w:val="bottom"/>
            <w:gridSpan w:val="3"/>
            <w:vMerge w:val="continue"/>
          </w:tcPr>
          <w:p>
            <w:pPr>
              <w:spacing w:after="0"/>
              <w:rPr>
                <w:sz w:val="12"/>
                <w:szCs w:val="12"/>
                <w:color w:val="auto"/>
              </w:rPr>
            </w:pPr>
          </w:p>
        </w:tc>
        <w:tc>
          <w:tcPr>
            <w:tcW w:w="1960" w:type="dxa"/>
            <w:vAlign w:val="bottom"/>
          </w:tcPr>
          <w:p>
            <w:pPr>
              <w:spacing w:after="0"/>
              <w:rPr>
                <w:sz w:val="12"/>
                <w:szCs w:val="12"/>
                <w:color w:val="auto"/>
              </w:rPr>
            </w:pPr>
          </w:p>
        </w:tc>
        <w:tc>
          <w:tcPr>
            <w:tcW w:w="2120" w:type="dxa"/>
            <w:vAlign w:val="bottom"/>
            <w:gridSpan w:val="2"/>
            <w:vMerge w:val="restart"/>
          </w:tcPr>
          <w:p>
            <w:pPr>
              <w:ind w:left="118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0"/>
          <w:szCs w:val="20"/>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8" w:lineRule="exact"/>
        <w:rPr>
          <w:sz w:val="20"/>
          <w:szCs w:val="20"/>
          <w:color w:val="auto"/>
        </w:rPr>
      </w:pPr>
    </w:p>
    <w:p>
      <w:pPr>
        <w:sectPr>
          <w:pgSz w:w="11900" w:h="16838" w:orient="portrait"/>
          <w:cols w:equalWidth="0" w:num="2">
            <w:col w:w="3760" w:space="80"/>
            <w:col w:w="7240"/>
          </w:cols>
          <w:pgMar w:left="460" w:top="226" w:right="359" w:bottom="145"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gridSpan w:val="2"/>
            <w:vMerge w:val="restart"/>
          </w:tcPr>
          <w:p>
            <w:pPr>
              <w:ind w:left="100"/>
              <w:spacing w:after="0" w:line="243" w:lineRule="exact"/>
              <w:rPr>
                <w:sz w:val="20"/>
                <w:szCs w:val="20"/>
                <w:color w:val="auto"/>
              </w:rPr>
            </w:pPr>
            <w:r>
              <w:rPr>
                <w:rFonts w:ascii="Arial" w:cs="Arial" w:eastAsia="Arial" w:hAnsi="Arial"/>
                <w:sz w:val="24"/>
                <w:szCs w:val="24"/>
                <w:b w:val="1"/>
                <w:bCs w:val="1"/>
                <w:color w:val="auto"/>
                <w:vertAlign w:val="superscript"/>
              </w:rPr>
              <w:t>(A) or</w:t>
            </w:r>
            <w:r>
              <w:rPr>
                <w:rFonts w:ascii="Arial" w:cs="Arial" w:eastAsia="Arial" w:hAnsi="Arial"/>
                <w:sz w:val="12"/>
                <w:szCs w:val="12"/>
                <w:b w:val="1"/>
                <w:bCs w:val="1"/>
                <w:color w:val="auto"/>
              </w:rPr>
              <w:t xml:space="preserve">  Price</w:t>
            </w: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96"/>
              </w:rPr>
              <w:t>Class A common stock, par value</w:t>
            </w:r>
          </w:p>
        </w:tc>
        <w:tc>
          <w:tcPr>
            <w:tcW w:w="1500" w:type="dxa"/>
            <w:vAlign w:val="bottom"/>
            <w:gridSpan w:val="2"/>
            <w:vMerge w:val="restart"/>
          </w:tcPr>
          <w:p>
            <w:pPr>
              <w:ind w:left="480"/>
              <w:spacing w:after="0"/>
              <w:rPr>
                <w:sz w:val="20"/>
                <w:szCs w:val="20"/>
                <w:color w:val="auto"/>
              </w:rPr>
            </w:pPr>
            <w:r>
              <w:rPr>
                <w:rFonts w:ascii="Arial" w:cs="Arial" w:eastAsia="Arial" w:hAnsi="Arial"/>
                <w:sz w:val="18"/>
                <w:szCs w:val="18"/>
                <w:color w:val="0000FF"/>
              </w:rPr>
              <w:t>07/12/2023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ind w:left="60"/>
              <w:spacing w:after="0"/>
              <w:rPr>
                <w:sz w:val="20"/>
                <w:szCs w:val="20"/>
                <w:color w:val="auto"/>
              </w:rPr>
            </w:pPr>
            <w:r>
              <w:rPr>
                <w:rFonts w:ascii="Arial" w:cs="Arial" w:eastAsia="Arial" w:hAnsi="Arial"/>
                <w:sz w:val="18"/>
                <w:szCs w:val="18"/>
                <w:color w:val="0000FF"/>
                <w:w w:val="86"/>
              </w:rPr>
              <w:t>400,000</w:t>
            </w:r>
            <w:r>
              <w:rPr>
                <w:rFonts w:ascii="Arial" w:cs="Arial" w:eastAsia="Arial" w:hAnsi="Arial"/>
                <w:sz w:val="22"/>
                <w:szCs w:val="22"/>
                <w:color w:val="008000"/>
                <w:w w:val="86"/>
                <w:vertAlign w:val="superscript"/>
              </w:rPr>
              <w:t>(1)</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2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1.5742</w:t>
            </w:r>
          </w:p>
        </w:tc>
        <w:tc>
          <w:tcPr>
            <w:tcW w:w="1200" w:type="dxa"/>
            <w:vAlign w:val="bottom"/>
            <w:gridSpan w:val="2"/>
            <w:vMerge w:val="restart"/>
          </w:tcPr>
          <w:p>
            <w:pPr>
              <w:ind w:left="220"/>
              <w:spacing w:after="0"/>
              <w:rPr>
                <w:sz w:val="20"/>
                <w:szCs w:val="20"/>
                <w:color w:val="auto"/>
              </w:rPr>
            </w:pPr>
            <w:r>
              <w:rPr>
                <w:rFonts w:ascii="Arial" w:cs="Arial" w:eastAsia="Arial" w:hAnsi="Arial"/>
                <w:sz w:val="18"/>
                <w:szCs w:val="18"/>
                <w:color w:val="0000FF"/>
              </w:rPr>
              <w:t>5,444,254</w:t>
            </w:r>
          </w:p>
        </w:tc>
        <w:tc>
          <w:tcPr>
            <w:tcW w:w="900" w:type="dxa"/>
            <w:vAlign w:val="bottom"/>
            <w:vMerge w:val="restart"/>
          </w:tcPr>
          <w:p>
            <w:pPr>
              <w:ind w:left="2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8"/>
              </w:rPr>
              <w:t>$0.0001 per share</w:t>
            </w: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410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2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-1926590</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VPC Impact Acquisition Holdings Sponsor,</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LLC</w:t>
        </w:r>
      </w:hyperlink>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VICTORY PARK CAPITAL ADVISORS,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150 NORTH RIVERSIDE PLAZA, SUITE 5200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CHICAGO</w:t>
            </w:r>
          </w:p>
        </w:tc>
        <w:tc>
          <w:tcPr>
            <w:tcW w:w="1280" w:type="dxa"/>
            <w:vAlign w:val="bottom"/>
          </w:tcPr>
          <w:p>
            <w:pPr>
              <w:spacing w:after="0"/>
              <w:rPr>
                <w:sz w:val="20"/>
                <w:szCs w:val="20"/>
                <w:color w:val="auto"/>
              </w:rPr>
            </w:pPr>
            <w:r>
              <w:rPr>
                <w:rFonts w:ascii="Arial" w:cs="Arial" w:eastAsia="Arial" w:hAnsi="Arial"/>
                <w:sz w:val="18"/>
                <w:szCs w:val="18"/>
                <w:color w:val="0000FF"/>
              </w:rPr>
              <w:t>IL</w:t>
            </w:r>
          </w:p>
        </w:tc>
        <w:tc>
          <w:tcPr>
            <w:tcW w:w="1480" w:type="dxa"/>
            <w:vAlign w:val="bottom"/>
          </w:tcPr>
          <w:p>
            <w:pPr>
              <w:ind w:left="120"/>
              <w:spacing w:after="0"/>
              <w:rPr>
                <w:sz w:val="20"/>
                <w:szCs w:val="20"/>
                <w:color w:val="auto"/>
              </w:rPr>
            </w:pPr>
            <w:r>
              <w:rPr>
                <w:rFonts w:ascii="Arial" w:cs="Arial" w:eastAsia="Arial" w:hAnsi="Arial"/>
                <w:sz w:val="18"/>
                <w:szCs w:val="18"/>
                <w:color w:val="0000FF"/>
              </w:rPr>
              <w:t>60606</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8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1"/>
              </w:rPr>
            </w:pPr>
            <w:hyperlink r:id="rId15">
              <w:r>
                <w:rPr>
                  <w:rFonts w:ascii="Arial" w:cs="Arial" w:eastAsia="Arial" w:hAnsi="Arial"/>
                  <w:sz w:val="22"/>
                  <w:szCs w:val="22"/>
                  <w:color w:val="0000EE"/>
                  <w:w w:val="91"/>
                </w:rPr>
                <w:t>Levy Richard N</w:t>
              </w:r>
            </w:hyperlink>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VICTORY PARK CAPITAL ADVISORS,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150 NORTH RIVERSIDE PLAZA, SUITE 5200</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080"/>
          </w:cols>
          <w:pgMar w:left="460" w:top="226" w:right="359" w:bottom="145" w:gutter="0" w:footer="0" w:header="0"/>
          <w:type w:val="continuous"/>
        </w:sectPr>
      </w:pPr>
    </w:p>
    <w:p>
      <w:pPr>
        <w:spacing w:after="0" w:line="3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8"/>
          <w:szCs w:val="18"/>
          <w:color w:val="0000FF"/>
        </w:rPr>
        <w:t>CHICAGO</w:t>
      </w:r>
      <w:r>
        <w:rPr>
          <w:sz w:val="20"/>
          <w:szCs w:val="20"/>
          <w:color w:val="auto"/>
        </w:rPr>
        <w:tab/>
      </w:r>
      <w:r>
        <w:rPr>
          <w:rFonts w:ascii="Arial" w:cs="Arial" w:eastAsia="Arial" w:hAnsi="Arial"/>
          <w:sz w:val="18"/>
          <w:szCs w:val="18"/>
          <w:color w:val="0000FF"/>
        </w:rPr>
        <w:t>IL</w:t>
      </w:r>
      <w:r>
        <w:rPr>
          <w:sz w:val="20"/>
          <w:szCs w:val="20"/>
          <w:color w:val="auto"/>
        </w:rPr>
        <w:tab/>
      </w:r>
      <w:r>
        <w:rPr>
          <w:rFonts w:ascii="Arial" w:cs="Arial" w:eastAsia="Arial" w:hAnsi="Arial"/>
          <w:sz w:val="15"/>
          <w:szCs w:val="15"/>
          <w:color w:val="0000FF"/>
        </w:rPr>
        <w:t>60606</w:t>
      </w:r>
    </w:p>
    <w:p>
      <w:pPr>
        <w:sectPr>
          <w:pgSz w:w="11900" w:h="16838" w:orient="portrait"/>
          <w:cols w:equalWidth="0" w:num="1">
            <w:col w:w="11080"/>
          </w:cols>
          <w:pgMar w:left="460" w:top="226" w:right="359" w:bottom="145"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4000" cy="210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00" cy="21018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firstLine="9"/>
        <w:spacing w:after="0" w:line="230" w:lineRule="auto"/>
        <w:tabs>
          <w:tab w:leader="none" w:pos="13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 from $1.54-1.6708, inclusive. The reporting person hereby undertakes to provide upon request by the Securities Exchange Commission staff, the issuer, or a shareholder of the issuer, full information regarding the number of shares sold at each separate price.</w:t>
      </w:r>
    </w:p>
    <w:p>
      <w:pPr>
        <w:spacing w:after="0" w:line="31" w:lineRule="exact"/>
        <w:rPr>
          <w:rFonts w:ascii="Arial" w:cs="Arial" w:eastAsia="Arial" w:hAnsi="Arial"/>
          <w:sz w:val="14"/>
          <w:szCs w:val="14"/>
          <w:color w:val="008000"/>
        </w:rPr>
      </w:pPr>
    </w:p>
    <w:p>
      <w:pPr>
        <w:jc w:val="both"/>
        <w:ind w:right="220" w:firstLine="9"/>
        <w:spacing w:after="0" w:line="233" w:lineRule="auto"/>
        <w:tabs>
          <w:tab w:leader="none" w:pos="13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580"/>
        <w:spacing w:after="0" w:line="239" w:lineRule="auto"/>
        <w:rPr>
          <w:sz w:val="20"/>
          <w:szCs w:val="20"/>
          <w:color w:val="auto"/>
        </w:rPr>
      </w:pPr>
      <w:r>
        <w:rPr>
          <w:rFonts w:ascii="Arial" w:cs="Arial" w:eastAsia="Arial" w:hAnsi="Arial"/>
          <w:sz w:val="14"/>
          <w:szCs w:val="14"/>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207"/>
        </w:trPr>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/s/ Sam Tuttleman, Attorney-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0000FF"/>
                <w:w w:val="91"/>
              </w:rPr>
              <w:t>in-Fact for VPC Impact</w:t>
            </w:r>
          </w:p>
        </w:tc>
        <w:tc>
          <w:tcPr>
            <w:tcW w:w="360" w:type="dxa"/>
            <w:vAlign w:val="bottom"/>
            <w:gridSpan w:val="2"/>
          </w:tcPr>
          <w:p>
            <w:pPr>
              <w:spacing w:after="0"/>
              <w:rPr>
                <w:sz w:val="17"/>
                <w:szCs w:val="17"/>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07/12/2023</w:t>
            </w:r>
          </w:p>
        </w:tc>
        <w:tc>
          <w:tcPr>
            <w:tcW w:w="0" w:type="dxa"/>
            <w:vAlign w:val="bottom"/>
          </w:tcPr>
          <w:p>
            <w:pPr>
              <w:spacing w:after="0"/>
              <w:rPr>
                <w:sz w:val="1"/>
                <w:szCs w:val="1"/>
                <w:color w:val="auto"/>
              </w:rPr>
            </w:pPr>
          </w:p>
        </w:tc>
      </w:tr>
      <w:tr>
        <w:trPr>
          <w:trHeight w:val="88"/>
        </w:trPr>
        <w:tc>
          <w:tcPr>
            <w:tcW w:w="15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2"/>
              </w:rPr>
              <w:t>Acquisition Holdings</w:t>
            </w:r>
          </w:p>
        </w:tc>
        <w:tc>
          <w:tcPr>
            <w:tcW w:w="520" w:type="dxa"/>
            <w:vAlign w:val="bottom"/>
            <w:gridSpan w:val="3"/>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gridSpan w:val="2"/>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Sponsor, LLC</w:t>
            </w:r>
          </w:p>
        </w:tc>
        <w:tc>
          <w:tcPr>
            <w:tcW w:w="10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/s/ Sam Tuttleman, Attorney-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07/12/2023</w:t>
            </w:r>
          </w:p>
        </w:tc>
        <w:tc>
          <w:tcPr>
            <w:tcW w:w="0" w:type="dxa"/>
            <w:vAlign w:val="bottom"/>
          </w:tcPr>
          <w:p>
            <w:pPr>
              <w:spacing w:after="0"/>
              <w:rPr>
                <w:sz w:val="1"/>
                <w:szCs w:val="1"/>
                <w:color w:val="auto"/>
              </w:rPr>
            </w:pPr>
          </w:p>
        </w:tc>
      </w:tr>
      <w:tr>
        <w:trPr>
          <w:trHeight w:val="88"/>
        </w:trPr>
        <w:tc>
          <w:tcPr>
            <w:tcW w:w="198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w w:val="91"/>
              </w:rPr>
              <w:t>in-Fact for Richard N. Levy</w:t>
            </w:r>
          </w:p>
        </w:tc>
        <w:tc>
          <w:tcPr>
            <w:tcW w:w="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auto"/>
            </w:tcBorders>
            <w:gridSpan w:val="4"/>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40" w:type="dxa"/>
            <w:vAlign w:val="bottom"/>
            <w:gridSpan w:val="5"/>
          </w:tcPr>
          <w:p>
            <w:pPr>
              <w:spacing w:after="0"/>
              <w:rPr>
                <w:sz w:val="20"/>
                <w:szCs w:val="20"/>
                <w:color w:val="auto"/>
              </w:rPr>
            </w:pPr>
            <w:r>
              <w:rPr>
                <w:rFonts w:ascii="Arial" w:cs="Arial" w:eastAsia="Arial" w:hAnsi="Arial"/>
                <w:sz w:val="14"/>
                <w:szCs w:val="14"/>
                <w:color w:val="auto"/>
                <w:w w:val="99"/>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6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69" w:right="519" w:bottom="1440" w:gutter="0" w:footer="0" w:header="0"/>
        </w:sectPr>
      </w:pPr>
    </w:p>
    <w:bookmarkStart w:id="2" w:name="page3"/>
    <w:bookmarkEnd w:id="2"/>
    <w:p>
      <w:pPr>
        <w:jc w:val="right"/>
        <w:ind w:right="2919"/>
        <w:spacing w:after="0"/>
        <w:rPr>
          <w:sz w:val="20"/>
          <w:szCs w:val="20"/>
          <w:color w:val="auto"/>
        </w:rPr>
      </w:pPr>
      <w:r>
        <w:rPr>
          <w:rFonts w:ascii="Arial" w:cs="Arial" w:eastAsia="Arial" w:hAnsi="Arial"/>
          <w:sz w:val="18"/>
          <w:szCs w:val="18"/>
          <w:color w:val="auto"/>
        </w:rPr>
        <w:t>Exhibit 99.1</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Joint Filer Information</w:t>
      </w:r>
    </w:p>
    <w:p>
      <w:pPr>
        <w:sectPr>
          <w:pgSz w:w="11900" w:h="16838" w:orient="portrait"/>
          <w:cols w:equalWidth="0" w:num="1">
            <w:col w:w="9999"/>
          </w:cols>
          <w:pgMar w:left="460" w:top="125"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VPC Impact Acquisition Holdings Sponsor, LLC</w:t>
      </w:r>
    </w:p>
    <w:p>
      <w:pPr>
        <w:spacing w:after="0" w:line="200" w:lineRule="exact"/>
        <w:rPr>
          <w:sz w:val="20"/>
          <w:szCs w:val="20"/>
          <w:color w:val="auto"/>
        </w:rPr>
      </w:pPr>
    </w:p>
    <w:p>
      <w:pPr>
        <w:sectPr>
          <w:pgSz w:w="11900" w:h="16838" w:orient="portrait"/>
          <w:cols w:equalWidth="0" w:num="2">
            <w:col w:w="1680" w:space="720"/>
            <w:col w:w="7599"/>
          </w:cols>
          <w:pgMar w:left="460" w:top="125" w:right="1440"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 Victory Park Capital Advisors, LLC</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150 North Riverside Plaza, Suite 5200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00" w:lineRule="exact"/>
        <w:rPr>
          <w:sz w:val="20"/>
          <w:szCs w:val="20"/>
          <w:color w:val="auto"/>
        </w:rPr>
      </w:pPr>
    </w:p>
    <w:p>
      <w:pPr>
        <w:sectPr>
          <w:pgSz w:w="11900" w:h="16838" w:orient="portrait"/>
          <w:cols w:equalWidth="0" w:num="2">
            <w:col w:w="1680" w:space="720"/>
            <w:col w:w="7599"/>
          </w:cols>
          <w:pgMar w:left="460" w:top="1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Relationship of Joint Filer to Issuer:  Director </w:t>
      </w:r>
      <w:r>
        <w:rPr>
          <w:rFonts w:ascii="Arial" w:cs="Arial" w:eastAsia="Arial" w:hAnsi="Arial"/>
          <w:sz w:val="16"/>
          <w:szCs w:val="16"/>
          <w:b w:val="1"/>
          <w:bCs w:val="1"/>
          <w:color w:val="auto"/>
        </w:rPr>
        <w:t>(See Remarks)</w:t>
      </w:r>
    </w:p>
    <w:p>
      <w:pPr>
        <w:sectPr>
          <w:pgSz w:w="11900" w:h="16838" w:orient="portrait"/>
          <w:cols w:equalWidth="0" w:num="1">
            <w:col w:w="9999"/>
          </w:cols>
          <w:pgMar w:left="460" w:top="125"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Bakkt Holdings, Inc. [BKKT]</w:t>
      </w:r>
    </w:p>
    <w:p>
      <w:pPr>
        <w:spacing w:after="0" w:line="237" w:lineRule="exact"/>
        <w:rPr>
          <w:sz w:val="20"/>
          <w:szCs w:val="20"/>
          <w:color w:val="auto"/>
        </w:rPr>
      </w:pPr>
    </w:p>
    <w:p>
      <w:pPr>
        <w:sectPr>
          <w:pgSz w:w="11900" w:h="16838" w:orient="portrait"/>
          <w:cols w:equalWidth="0" w:num="2">
            <w:col w:w="1740" w:space="720"/>
            <w:col w:w="7539"/>
          </w:cols>
          <w:pgMar w:left="460" w:top="125" w:right="1440" w:bottom="1440" w:gutter="0" w:footer="0" w:header="0"/>
          <w:type w:val="continuous"/>
        </w:sectPr>
      </w:pPr>
    </w:p>
    <w:p>
      <w:pPr>
        <w:spacing w:after="0"/>
        <w:rPr>
          <w:sz w:val="20"/>
          <w:szCs w:val="20"/>
          <w:color w:val="auto"/>
        </w:rPr>
      </w:pPr>
      <w:r>
        <w:rPr>
          <w:rFonts w:ascii="Arial" w:cs="Arial" w:eastAsia="Arial" w:hAnsi="Arial"/>
          <w:sz w:val="18"/>
          <w:szCs w:val="18"/>
          <w:color w:val="auto"/>
        </w:rPr>
        <w:t>Date of Event Requiring Statement:</w:t>
      </w:r>
    </w:p>
    <w:p>
      <w:pPr>
        <w:spacing w:after="0" w:line="24" w:lineRule="exact"/>
        <w:rPr>
          <w:sz w:val="20"/>
          <w:szCs w:val="20"/>
          <w:color w:val="auto"/>
        </w:rPr>
      </w:pPr>
    </w:p>
    <w:p>
      <w:pPr>
        <w:spacing w:after="0"/>
        <w:tabs>
          <w:tab w:leader="none" w:pos="2400" w:val="left"/>
        </w:tabs>
        <w:rPr>
          <w:sz w:val="20"/>
          <w:szCs w:val="20"/>
          <w:color w:val="auto"/>
        </w:rPr>
      </w:pPr>
      <w:r>
        <w:rPr>
          <w:rFonts w:ascii="Arial" w:cs="Arial" w:eastAsia="Arial" w:hAnsi="Arial"/>
          <w:sz w:val="16"/>
          <w:szCs w:val="16"/>
          <w:color w:val="auto"/>
        </w:rPr>
        <w:t>(Month/Day/Year):</w:t>
      </w:r>
      <w:r>
        <w:rPr>
          <w:sz w:val="20"/>
          <w:szCs w:val="20"/>
          <w:color w:val="auto"/>
        </w:rPr>
        <w:tab/>
      </w:r>
      <w:r>
        <w:rPr>
          <w:rFonts w:ascii="Arial" w:cs="Arial" w:eastAsia="Arial" w:hAnsi="Arial"/>
          <w:sz w:val="16"/>
          <w:szCs w:val="16"/>
          <w:color w:val="auto"/>
        </w:rPr>
        <w:t>07/12/2023</w:t>
      </w:r>
    </w:p>
    <w:p>
      <w:pPr>
        <w:sectPr>
          <w:pgSz w:w="11900" w:h="16838" w:orient="portrait"/>
          <w:cols w:equalWidth="0" w:num="1">
            <w:col w:w="9999"/>
          </w:cols>
          <w:pgMar w:left="46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Richard N. Levy</w:t>
      </w:r>
    </w:p>
    <w:p>
      <w:pPr>
        <w:spacing w:after="0" w:line="200" w:lineRule="exact"/>
        <w:rPr>
          <w:sz w:val="20"/>
          <w:szCs w:val="20"/>
          <w:color w:val="auto"/>
        </w:rPr>
      </w:pPr>
    </w:p>
    <w:p>
      <w:pPr>
        <w:sectPr>
          <w:pgSz w:w="11900" w:h="16838" w:orient="portrait"/>
          <w:cols w:equalWidth="0" w:num="2">
            <w:col w:w="1700" w:space="720"/>
            <w:col w:w="7579"/>
          </w:cols>
          <w:pgMar w:left="460" w:top="125" w:right="1440"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 Victory Park Capital Advisors, LLC</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150 North Riverside Plaza, Suite 5200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00" w:lineRule="exact"/>
        <w:rPr>
          <w:sz w:val="20"/>
          <w:szCs w:val="20"/>
          <w:color w:val="auto"/>
        </w:rPr>
      </w:pPr>
    </w:p>
    <w:p>
      <w:pPr>
        <w:sectPr>
          <w:pgSz w:w="11900" w:h="16838" w:orient="portrait"/>
          <w:cols w:equalWidth="0" w:num="2">
            <w:col w:w="1680" w:space="720"/>
            <w:col w:w="7599"/>
          </w:cols>
          <w:pgMar w:left="460" w:top="1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Relationship of Joint Filer to Issuer:  Director </w:t>
      </w:r>
      <w:r>
        <w:rPr>
          <w:rFonts w:ascii="Arial" w:cs="Arial" w:eastAsia="Arial" w:hAnsi="Arial"/>
          <w:sz w:val="16"/>
          <w:szCs w:val="16"/>
          <w:b w:val="1"/>
          <w:bCs w:val="1"/>
          <w:color w:val="auto"/>
        </w:rPr>
        <w:t>(See Remarks)</w:t>
      </w:r>
    </w:p>
    <w:p>
      <w:pPr>
        <w:sectPr>
          <w:pgSz w:w="11900" w:h="16838" w:orient="portrait"/>
          <w:cols w:equalWidth="0" w:num="1">
            <w:col w:w="9999"/>
          </w:cols>
          <w:pgMar w:left="460" w:top="125"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Bakkt Holdings, Inc. [BKKT]</w:t>
      </w:r>
    </w:p>
    <w:p>
      <w:pPr>
        <w:spacing w:after="0" w:line="312" w:lineRule="exact"/>
        <w:rPr>
          <w:sz w:val="20"/>
          <w:szCs w:val="20"/>
          <w:color w:val="auto"/>
        </w:rPr>
      </w:pPr>
    </w:p>
    <w:p>
      <w:pPr>
        <w:sectPr>
          <w:pgSz w:w="11900" w:h="16838" w:orient="portrait"/>
          <w:cols w:equalWidth="0" w:num="2">
            <w:col w:w="1740" w:space="720"/>
            <w:col w:w="7539"/>
          </w:cols>
          <w:pgMar w:left="460" w:top="125"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of Event Requiring Statement:</w:t>
      </w:r>
    </w:p>
    <w:p>
      <w:pPr>
        <w:spacing w:after="0" w:line="24" w:lineRule="exact"/>
        <w:rPr>
          <w:sz w:val="20"/>
          <w:szCs w:val="20"/>
          <w:color w:val="auto"/>
        </w:rPr>
      </w:pPr>
    </w:p>
    <w:p>
      <w:pPr>
        <w:spacing w:after="0"/>
        <w:tabs>
          <w:tab w:leader="none" w:pos="2460" w:val="left"/>
        </w:tabs>
        <w:rPr>
          <w:sz w:val="20"/>
          <w:szCs w:val="20"/>
          <w:color w:val="auto"/>
        </w:rPr>
      </w:pPr>
      <w:r>
        <w:rPr>
          <w:rFonts w:ascii="Arial" w:cs="Arial" w:eastAsia="Arial" w:hAnsi="Arial"/>
          <w:sz w:val="16"/>
          <w:szCs w:val="16"/>
          <w:color w:val="auto"/>
        </w:rPr>
        <w:t>(Month/Day/Year):</w:t>
      </w:r>
      <w:r>
        <w:rPr>
          <w:sz w:val="20"/>
          <w:szCs w:val="20"/>
          <w:color w:val="auto"/>
        </w:rPr>
        <w:tab/>
      </w:r>
      <w:r>
        <w:rPr>
          <w:rFonts w:ascii="Arial" w:cs="Arial" w:eastAsia="Arial" w:hAnsi="Arial"/>
          <w:sz w:val="16"/>
          <w:szCs w:val="16"/>
          <w:color w:val="auto"/>
        </w:rPr>
        <w:t>07/12/2023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69875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6987540" cy="42545"/>
                    </a:xfrm>
                    <a:prstGeom prst="rect">
                      <a:avLst/>
                    </a:prstGeom>
                    <a:noFill/>
                  </pic:spPr>
                </pic:pic>
              </a:graphicData>
            </a:graphic>
          </wp:anchor>
        </w:drawing>
      </w:r>
    </w:p>
    <w:sectPr>
      <w:pgSz w:w="11900" w:h="16838" w:orient="portrait"/>
      <w:cols w:equalWidth="0" w:num="1">
        <w:col w:w="9999"/>
      </w:cols>
      <w:pgMar w:left="46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2023-07-12T15:39:03Z</dcterms:created>
  <dcterms:modified xsi:type="dcterms:W3CDTF">2023-07-12T15:39:03Z</dcterms:modified>
</cp:coreProperties>
</file>