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1442720</wp:posOffset>
            </wp:positionH>
            <wp:positionV relativeFrom="page">
              <wp:posOffset>740410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766445</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73025</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92710</wp:posOffset>
            </wp:positionV>
            <wp:extent cx="4972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30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6"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205"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001-39544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248920</wp:posOffset>
            </wp:positionV>
            <wp:extent cx="497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BAKKT HOLDINGS, INC.</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73025</wp:posOffset>
            </wp:positionV>
            <wp:extent cx="497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p>
      <w:pPr>
        <w:spacing w:after="0" w:line="200" w:lineRule="exact"/>
        <w:rPr>
          <w:sz w:val="24"/>
          <w:szCs w:val="24"/>
          <w:color w:val="auto"/>
        </w:rPr>
      </w:pPr>
    </w:p>
    <w:p>
      <w:pPr>
        <w:spacing w:after="0" w:line="289"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2020"/>
        <w:spacing w:after="0"/>
        <w:rPr>
          <w:sz w:val="20"/>
          <w:szCs w:val="20"/>
          <w:color w:val="auto"/>
        </w:rPr>
      </w:pPr>
      <w:r>
        <w:rPr>
          <w:rFonts w:ascii="Arial" w:cs="Arial" w:eastAsia="Arial" w:hAnsi="Arial"/>
          <w:sz w:val="10"/>
          <w:szCs w:val="10"/>
          <w:b w:val="1"/>
          <w:bCs w:val="1"/>
          <w:color w:val="auto"/>
        </w:rPr>
        <w:t>(State or other jurisdiction of</w:t>
      </w:r>
    </w:p>
    <w:p>
      <w:pPr>
        <w:spacing w:after="0" w:line="16"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7"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98-1550750</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42" w:lineRule="exact"/>
        <w:rPr>
          <w:sz w:val="24"/>
          <w:szCs w:val="24"/>
          <w:color w:val="auto"/>
        </w:rPr>
      </w:pPr>
    </w:p>
    <w:p>
      <w:pPr>
        <w:sectPr>
          <w:pgSz w:w="11900" w:h="16838" w:orient="portrait"/>
          <w:cols w:equalWidth="0" w:num="2">
            <w:col w:w="7220" w:space="720"/>
            <w:col w:w="3300"/>
          </w:cols>
          <w:pgMar w:left="320" w:top="1359" w:right="339" w:bottom="1440" w:gutter="0" w:footer="0" w:header="0"/>
          <w:type w:val="continuous"/>
        </w:sectPr>
      </w:pPr>
    </w:p>
    <w:tbl>
      <w:tblPr>
        <w:tblLayout w:type="fixed"/>
        <w:tblInd w:w="1440" w:type="dxa"/>
        <w:tblCellMar>
          <w:top w:w="0" w:type="dxa"/>
          <w:left w:w="0" w:type="dxa"/>
          <w:bottom w:w="0" w:type="dxa"/>
          <w:right w:w="0" w:type="dxa"/>
        </w:tblCellMar>
      </w:tblPr>
      <w:tr>
        <w:trPr>
          <w:trHeight w:val="207"/>
        </w:trPr>
        <w:tc>
          <w:tcPr>
            <w:tcW w:w="4720" w:type="dxa"/>
            <w:vAlign w:val="bottom"/>
          </w:tcPr>
          <w:p>
            <w:pPr>
              <w:jc w:val="center"/>
              <w:ind w:right="1879"/>
              <w:spacing w:after="0"/>
              <w:rPr>
                <w:sz w:val="20"/>
                <w:szCs w:val="20"/>
                <w:color w:val="auto"/>
              </w:rPr>
            </w:pPr>
            <w:r>
              <w:rPr>
                <w:rFonts w:ascii="Arial" w:cs="Arial" w:eastAsia="Arial" w:hAnsi="Arial"/>
                <w:sz w:val="18"/>
                <w:szCs w:val="18"/>
                <w:b w:val="1"/>
                <w:bCs w:val="1"/>
                <w:color w:val="auto"/>
                <w:w w:val="89"/>
              </w:rPr>
              <w:t>10000 Avalon Boulevard, Suite 1000</w:t>
            </w:r>
          </w:p>
        </w:tc>
        <w:tc>
          <w:tcPr>
            <w:tcW w:w="2560" w:type="dxa"/>
            <w:vAlign w:val="bottom"/>
          </w:tcPr>
          <w:p>
            <w:pPr>
              <w:spacing w:after="0"/>
              <w:rPr>
                <w:sz w:val="18"/>
                <w:szCs w:val="18"/>
                <w:color w:val="auto"/>
              </w:rPr>
            </w:pPr>
          </w:p>
        </w:tc>
      </w:tr>
      <w:tr>
        <w:trPr>
          <w:trHeight w:val="257"/>
        </w:trPr>
        <w:tc>
          <w:tcPr>
            <w:tcW w:w="47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2"/>
              </w:rPr>
              <w:t>Alpharetta, Georgia</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30009</w:t>
            </w:r>
          </w:p>
        </w:tc>
      </w:tr>
      <w:tr>
        <w:trPr>
          <w:trHeight w:val="164"/>
        </w:trPr>
        <w:tc>
          <w:tcPr>
            <w:tcW w:w="4720" w:type="dxa"/>
            <w:vAlign w:val="bottom"/>
          </w:tcPr>
          <w:p>
            <w:pPr>
              <w:jc w:val="center"/>
              <w:ind w:right="187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560" w:type="dxa"/>
            <w:vAlign w:val="bottom"/>
          </w:tcPr>
          <w:p>
            <w:pPr>
              <w:jc w:val="center"/>
              <w:ind w:left="1904"/>
              <w:spacing w:after="0"/>
              <w:rPr>
                <w:sz w:val="20"/>
                <w:szCs w:val="20"/>
                <w:color w:val="auto"/>
              </w:rPr>
            </w:pPr>
            <w:r>
              <w:rPr>
                <w:rFonts w:ascii="Arial" w:cs="Arial" w:eastAsia="Arial" w:hAnsi="Arial"/>
                <w:sz w:val="13"/>
                <w:szCs w:val="13"/>
                <w:b w:val="1"/>
                <w:bCs w:val="1"/>
                <w:color w:val="auto"/>
                <w:w w:val="90"/>
              </w:rPr>
              <w:t>(Zip Code)</w:t>
            </w:r>
          </w:p>
        </w:tc>
      </w:tr>
    </w:tbl>
    <w:p>
      <w:pPr>
        <w:spacing w:after="0" w:line="1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85725</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68" w:lineRule="exact"/>
        <w:rPr>
          <w:sz w:val="24"/>
          <w:szCs w:val="24"/>
          <w:color w:val="auto"/>
        </w:rPr>
      </w:pPr>
    </w:p>
    <w:p>
      <w:pPr>
        <w:ind w:left="40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800" w:type="dxa"/>
            <w:vAlign w:val="bottom"/>
            <w:gridSpan w:val="2"/>
          </w:tcPr>
          <w:p>
            <w:pPr>
              <w:ind w:left="1780"/>
              <w:spacing w:after="0"/>
              <w:rPr>
                <w:sz w:val="20"/>
                <w:szCs w:val="20"/>
                <w:color w:val="auto"/>
              </w:rPr>
            </w:pPr>
            <w:r>
              <w:rPr>
                <w:rFonts w:ascii="Arial" w:cs="Arial" w:eastAsia="Arial" w:hAnsi="Arial"/>
                <w:sz w:val="14"/>
                <w:szCs w:val="14"/>
                <w:b w:val="1"/>
                <w:bCs w:val="1"/>
                <w:color w:val="auto"/>
              </w:rPr>
              <w:t>Title of each class</w:t>
            </w:r>
          </w:p>
        </w:tc>
        <w:tc>
          <w:tcPr>
            <w:tcW w:w="2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Trading Symbol (s)</w:t>
            </w:r>
          </w:p>
        </w:tc>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4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180"/>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Class A Common Stock, par value $0.0001 per share</w:t>
            </w:r>
          </w:p>
        </w:tc>
        <w:tc>
          <w:tcPr>
            <w:tcW w:w="16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BKKT</w:t>
            </w:r>
          </w:p>
        </w:tc>
        <w:tc>
          <w:tcPr>
            <w:tcW w:w="160" w:type="dxa"/>
            <w:vAlign w:val="bottom"/>
          </w:tcPr>
          <w:p>
            <w:pPr>
              <w:spacing w:after="0"/>
              <w:rPr>
                <w:sz w:val="15"/>
                <w:szCs w:val="15"/>
                <w:color w:val="auto"/>
              </w:rPr>
            </w:pPr>
          </w:p>
        </w:tc>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3"/>
              </w:rPr>
              <w:t>The New York Stock Exchange</w:t>
            </w:r>
          </w:p>
        </w:tc>
      </w:tr>
      <w:tr>
        <w:trPr>
          <w:trHeight w:val="193"/>
        </w:trPr>
        <w:tc>
          <w:tcPr>
            <w:tcW w:w="4800" w:type="dxa"/>
            <w:vAlign w:val="bottom"/>
            <w:gridSpan w:val="2"/>
          </w:tcPr>
          <w:p>
            <w:pPr>
              <w:ind w:left="20"/>
              <w:spacing w:after="0"/>
              <w:rPr>
                <w:sz w:val="20"/>
                <w:szCs w:val="20"/>
                <w:color w:val="auto"/>
              </w:rPr>
            </w:pPr>
            <w:r>
              <w:rPr>
                <w:rFonts w:ascii="Arial" w:cs="Arial" w:eastAsia="Arial" w:hAnsi="Arial"/>
                <w:sz w:val="14"/>
                <w:szCs w:val="14"/>
                <w:b w:val="1"/>
                <w:bCs w:val="1"/>
                <w:color w:val="auto"/>
              </w:rPr>
              <w:t>Warrants to purchase Class A Common Stock</w:t>
            </w:r>
          </w:p>
        </w:tc>
        <w:tc>
          <w:tcPr>
            <w:tcW w:w="2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BKKT WS</w:t>
            </w:r>
          </w:p>
        </w:tc>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3"/>
              </w:rPr>
              <w:t>The New York Stock Exchange</w:t>
            </w:r>
          </w:p>
        </w:tc>
      </w:tr>
    </w:tbl>
    <w:p>
      <w:pPr>
        <w:spacing w:after="0" w:line="164" w:lineRule="exact"/>
        <w:rPr>
          <w:sz w:val="24"/>
          <w:szCs w:val="24"/>
          <w:color w:val="auto"/>
        </w:rPr>
      </w:pPr>
    </w:p>
    <w:p>
      <w:pPr>
        <w:jc w:val="both"/>
        <w:ind w:firstLine="518"/>
        <w:spacing w:after="0" w:line="24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6" w:lineRule="exact"/>
        <w:rPr>
          <w:sz w:val="24"/>
          <w:szCs w:val="24"/>
          <w:color w:val="auto"/>
        </w:rPr>
      </w:pPr>
    </w:p>
    <w:p>
      <w:pPr>
        <w:ind w:right="180" w:firstLine="518"/>
        <w:spacing w:after="0" w:line="20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ind w:right="300" w:firstLine="518"/>
        <w:spacing w:after="0" w:line="22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24"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1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302" w:lineRule="exact"/>
        <w:rPr>
          <w:sz w:val="24"/>
          <w:szCs w:val="24"/>
          <w:color w:val="auto"/>
        </w:rPr>
      </w:pPr>
    </w:p>
    <w:p>
      <w:pPr>
        <w:ind w:right="60" w:firstLine="518"/>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5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4"/>
          <w:szCs w:val="14"/>
          <w:color w:val="auto"/>
        </w:rPr>
        <w:t>☒</w:t>
      </w:r>
    </w:p>
    <w:p>
      <w:pPr>
        <w:spacing w:after="0" w:line="64" w:lineRule="exact"/>
        <w:rPr>
          <w:sz w:val="24"/>
          <w:szCs w:val="24"/>
          <w:color w:val="auto"/>
        </w:rPr>
      </w:pPr>
    </w:p>
    <w:p>
      <w:pPr>
        <w:ind w:right="360" w:firstLine="518"/>
        <w:spacing w:after="0"/>
        <w:rPr>
          <w:sz w:val="20"/>
          <w:szCs w:val="20"/>
          <w:color w:val="auto"/>
        </w:rPr>
      </w:pPr>
      <w:r>
        <w:rPr>
          <w:rFonts w:ascii="Arial" w:cs="Arial" w:eastAsia="Arial" w:hAnsi="Arial"/>
          <w:sz w:val="16"/>
          <w:szCs w:val="16"/>
          <w:color w:val="auto"/>
        </w:rPr>
        <w:t>As of November 1, 2022, there were 78,592,887 shares of the registrant’s Class A common stock, 185,442,358 shares of Class V common stock, and 7,140,808 public warrants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55245</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81280</wp:posOffset>
            </wp:positionV>
            <wp:extent cx="466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80" w:type="dxa"/>
            <w:vAlign w:val="bottom"/>
            <w:gridSpan w:val="6"/>
          </w:tcPr>
          <w:p>
            <w:pPr>
              <w:ind w:left="22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0"/>
        </w:trPr>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20" w:type="dxa"/>
            <w:vAlign w:val="bottom"/>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220" w:type="dxa"/>
            <w:vAlign w:val="bottom"/>
            <w:gridSpan w:val="21"/>
            <w:vMerge w:val="restart"/>
          </w:tcPr>
          <w:p>
            <w:pPr>
              <w:spacing w:after="0"/>
              <w:rPr>
                <w:sz w:val="20"/>
                <w:szCs w:val="20"/>
                <w:color w:val="auto"/>
              </w:rPr>
            </w:pPr>
            <w:r>
              <w:rPr>
                <w:rFonts w:ascii="Arial" w:cs="Arial" w:eastAsia="Arial" w:hAnsi="Arial"/>
                <w:sz w:val="18"/>
                <w:szCs w:val="18"/>
                <w:color w:val="0E32E1"/>
              </w:rPr>
              <w:t>FINANCIAL INFORMATION</w:t>
            </w: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120" w:type="dxa"/>
            <w:vAlign w:val="bottom"/>
            <w:vMerge w:val="continue"/>
          </w:tcPr>
          <w:p>
            <w:pPr>
              <w:spacing w:after="0"/>
              <w:rPr>
                <w:sz w:val="14"/>
                <w:szCs w:val="14"/>
                <w:color w:val="auto"/>
              </w:rPr>
            </w:pPr>
          </w:p>
        </w:tc>
        <w:tc>
          <w:tcPr>
            <w:tcW w:w="9220" w:type="dxa"/>
            <w:vAlign w:val="bottom"/>
            <w:gridSpan w:val="21"/>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9220" w:type="dxa"/>
            <w:vAlign w:val="bottom"/>
            <w:gridSpan w:val="21"/>
          </w:tcPr>
          <w:p>
            <w:pPr>
              <w:spacing w:after="0"/>
              <w:rPr>
                <w:sz w:val="20"/>
                <w:szCs w:val="20"/>
                <w:color w:val="auto"/>
              </w:rPr>
            </w:pPr>
            <w:r>
              <w:rPr>
                <w:rFonts w:ascii="Arial" w:cs="Arial" w:eastAsia="Arial" w:hAnsi="Arial"/>
                <w:sz w:val="18"/>
                <w:szCs w:val="18"/>
                <w:color w:val="0E32E1"/>
              </w:rPr>
              <w:t>Consolidated Financial Statements (Unaudited)</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2100" w:type="dxa"/>
            <w:vAlign w:val="bottom"/>
            <w:tcBorders>
              <w:top w:val="single" w:sz="8" w:color="0E32E1"/>
              <w:bottom w:val="single" w:sz="8" w:color="0E32E1"/>
            </w:tcBorders>
            <w:gridSpan w:val="9"/>
          </w:tcPr>
          <w:p>
            <w:pPr>
              <w:spacing w:after="0"/>
              <w:rPr>
                <w:sz w:val="20"/>
                <w:szCs w:val="20"/>
                <w:color w:val="auto"/>
              </w:rPr>
            </w:pPr>
            <w:r>
              <w:rPr>
                <w:rFonts w:ascii="Arial" w:cs="Arial" w:eastAsia="Arial" w:hAnsi="Arial"/>
                <w:sz w:val="18"/>
                <w:szCs w:val="18"/>
                <w:color w:val="0E32E1"/>
                <w:w w:val="88"/>
              </w:rPr>
              <w:t>Consolidated Balance Sheets</w:t>
            </w:r>
          </w:p>
        </w:tc>
        <w:tc>
          <w:tcPr>
            <w:tcW w:w="1320" w:type="dxa"/>
            <w:vAlign w:val="bottom"/>
            <w:tcBorders>
              <w:top w:val="single" w:sz="8" w:color="0E32E1"/>
            </w:tcBorders>
            <w:gridSpan w:val="5"/>
          </w:tcPr>
          <w:p>
            <w:pPr>
              <w:spacing w:after="0"/>
              <w:rPr>
                <w:sz w:val="18"/>
                <w:szCs w:val="18"/>
                <w:color w:val="auto"/>
              </w:rPr>
            </w:pPr>
          </w:p>
        </w:tc>
        <w:tc>
          <w:tcPr>
            <w:tcW w:w="5800" w:type="dxa"/>
            <w:vAlign w:val="bottom"/>
            <w:gridSpan w:val="7"/>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Arial" w:cs="Arial" w:eastAsia="Arial" w:hAnsi="Arial"/>
                <w:sz w:val="18"/>
                <w:szCs w:val="18"/>
                <w:color w:val="0E32E1"/>
              </w:rPr>
              <w:t>Consolidated Statements of Operations</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3"/>
            <w:shd w:val="clear" w:color="auto" w:fill="0E32E1"/>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Arial" w:cs="Arial" w:eastAsia="Arial" w:hAnsi="Arial"/>
                <w:sz w:val="18"/>
                <w:szCs w:val="18"/>
                <w:color w:val="0E32E1"/>
              </w:rPr>
              <w:t>Consolidated Statements of Comprehensive Loss</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3"/>
            <w:shd w:val="clear" w:color="auto" w:fill="0E32E1"/>
          </w:tcPr>
          <w:p>
            <w:pPr>
              <w:spacing w:after="0" w:line="20" w:lineRule="exact"/>
              <w:rPr>
                <w:sz w:val="1"/>
                <w:szCs w:val="1"/>
                <w:color w:val="auto"/>
              </w:rPr>
            </w:pPr>
          </w:p>
        </w:tc>
        <w:tc>
          <w:tcPr>
            <w:tcW w:w="540" w:type="dxa"/>
            <w:vAlign w:val="bottom"/>
            <w:gridSpan w:val="2"/>
            <w:shd w:val="clear" w:color="auto" w:fill="0E32E1"/>
          </w:tcPr>
          <w:p>
            <w:pPr>
              <w:spacing w:after="0" w:line="20" w:lineRule="exact"/>
              <w:rPr>
                <w:sz w:val="1"/>
                <w:szCs w:val="1"/>
                <w:color w:val="auto"/>
              </w:rPr>
            </w:pPr>
          </w:p>
        </w:tc>
        <w:tc>
          <w:tcPr>
            <w:tcW w:w="660" w:type="dxa"/>
            <w:vAlign w:val="bottom"/>
            <w:gridSpan w:val="2"/>
            <w:shd w:val="clear" w:color="auto" w:fill="0E32E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Arial" w:cs="Arial" w:eastAsia="Arial" w:hAnsi="Arial"/>
                <w:sz w:val="18"/>
                <w:szCs w:val="18"/>
                <w:color w:val="0E32E1"/>
              </w:rPr>
              <w:t>Consolidated Statements of Changes in Stockholders’ Equity</w:t>
            </w: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3"/>
            <w:shd w:val="clear" w:color="auto" w:fill="0E32E1"/>
          </w:tcPr>
          <w:p>
            <w:pPr>
              <w:spacing w:after="0" w:line="20" w:lineRule="exact"/>
              <w:rPr>
                <w:sz w:val="1"/>
                <w:szCs w:val="1"/>
                <w:color w:val="auto"/>
              </w:rPr>
            </w:pPr>
          </w:p>
        </w:tc>
        <w:tc>
          <w:tcPr>
            <w:tcW w:w="540" w:type="dxa"/>
            <w:vAlign w:val="bottom"/>
            <w:gridSpan w:val="2"/>
            <w:shd w:val="clear" w:color="auto" w:fill="0E32E1"/>
          </w:tcPr>
          <w:p>
            <w:pPr>
              <w:spacing w:after="0" w:line="20" w:lineRule="exact"/>
              <w:rPr>
                <w:sz w:val="1"/>
                <w:szCs w:val="1"/>
                <w:color w:val="auto"/>
              </w:rPr>
            </w:pPr>
          </w:p>
        </w:tc>
        <w:tc>
          <w:tcPr>
            <w:tcW w:w="1080" w:type="dxa"/>
            <w:vAlign w:val="bottom"/>
            <w:gridSpan w:val="3"/>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40" w:type="dxa"/>
            <w:vAlign w:val="bottom"/>
            <w:tcBorders>
              <w:right w:val="single" w:sz="8" w:color="0E32E1"/>
            </w:tcBorders>
            <w:shd w:val="clear" w:color="auto" w:fill="0E32E1"/>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Arial" w:cs="Arial" w:eastAsia="Arial" w:hAnsi="Arial"/>
                <w:sz w:val="18"/>
                <w:szCs w:val="18"/>
                <w:color w:val="0000FF"/>
              </w:rPr>
              <w:t>Consolidated Statements of Changes in Members' Equity and Mezzanine Equity</w:t>
            </w: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2880" w:type="dxa"/>
            <w:vAlign w:val="bottom"/>
            <w:tcBorders>
              <w:top w:val="single" w:sz="8" w:color="0000FF"/>
              <w:bottom w:val="single" w:sz="8" w:color="0E32E1"/>
            </w:tcBorders>
            <w:gridSpan w:val="13"/>
          </w:tcPr>
          <w:p>
            <w:pPr>
              <w:spacing w:after="0"/>
              <w:rPr>
                <w:sz w:val="20"/>
                <w:szCs w:val="20"/>
                <w:color w:val="auto"/>
              </w:rPr>
            </w:pPr>
            <w:r>
              <w:rPr>
                <w:rFonts w:ascii="Arial" w:cs="Arial" w:eastAsia="Arial" w:hAnsi="Arial"/>
                <w:sz w:val="18"/>
                <w:szCs w:val="18"/>
                <w:color w:val="0E32E1"/>
                <w:w w:val="89"/>
              </w:rPr>
              <w:t>Consolidated Statements of Cash Flows</w:t>
            </w:r>
          </w:p>
        </w:tc>
        <w:tc>
          <w:tcPr>
            <w:tcW w:w="2900" w:type="dxa"/>
            <w:vAlign w:val="bottom"/>
            <w:tcBorders>
              <w:top w:val="single" w:sz="8" w:color="0000FF"/>
            </w:tcBorders>
            <w:gridSpan w:val="6"/>
          </w:tcPr>
          <w:p>
            <w:pPr>
              <w:spacing w:after="0"/>
              <w:rPr>
                <w:sz w:val="18"/>
                <w:szCs w:val="18"/>
                <w:color w:val="auto"/>
              </w:rPr>
            </w:pPr>
          </w:p>
        </w:tc>
        <w:tc>
          <w:tcPr>
            <w:tcW w:w="3440" w:type="dxa"/>
            <w:vAlign w:val="bottom"/>
            <w:gridSpan w:val="2"/>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960" w:type="dxa"/>
            <w:vAlign w:val="bottom"/>
            <w:tcBorders>
              <w:bottom w:val="single" w:sz="8" w:color="0E32E1"/>
            </w:tcBorders>
            <w:gridSpan w:val="16"/>
          </w:tcPr>
          <w:p>
            <w:pPr>
              <w:spacing w:after="0"/>
              <w:rPr>
                <w:sz w:val="20"/>
                <w:szCs w:val="20"/>
                <w:color w:val="auto"/>
              </w:rPr>
            </w:pPr>
            <w:r>
              <w:rPr>
                <w:rFonts w:ascii="Arial" w:cs="Arial" w:eastAsia="Arial" w:hAnsi="Arial"/>
                <w:sz w:val="18"/>
                <w:szCs w:val="18"/>
                <w:color w:val="0E32E1"/>
                <w:w w:val="90"/>
              </w:rPr>
              <w:t>Notes to Unaudited Consolidated Financial Statements</w:t>
            </w:r>
          </w:p>
        </w:tc>
        <w:tc>
          <w:tcPr>
            <w:tcW w:w="5260" w:type="dxa"/>
            <w:vAlign w:val="bottom"/>
            <w:gridSpan w:val="5"/>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9220" w:type="dxa"/>
            <w:vAlign w:val="bottom"/>
            <w:gridSpan w:val="21"/>
          </w:tcPr>
          <w:p>
            <w:pPr>
              <w:spacing w:after="0"/>
              <w:rPr>
                <w:sz w:val="20"/>
                <w:szCs w:val="20"/>
                <w:color w:val="auto"/>
              </w:rPr>
            </w:pPr>
            <w:r>
              <w:rPr>
                <w:rFonts w:ascii="Arial" w:cs="Arial" w:eastAsia="Arial" w:hAnsi="Arial"/>
                <w:sz w:val="18"/>
                <w:szCs w:val="18"/>
                <w:color w:val="0E32E1"/>
              </w:rPr>
              <w:t>Management’s Discussion and Analysis of Financial Condition and Results of Operations</w:t>
            </w: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4400" w:type="dxa"/>
            <w:vAlign w:val="bottom"/>
            <w:tcBorders>
              <w:top w:val="single" w:sz="8" w:color="0E32E1"/>
              <w:bottom w:val="single" w:sz="8" w:color="0E32E1"/>
            </w:tcBorders>
            <w:gridSpan w:val="18"/>
          </w:tcPr>
          <w:p>
            <w:pPr>
              <w:spacing w:after="0"/>
              <w:rPr>
                <w:sz w:val="20"/>
                <w:szCs w:val="20"/>
                <w:color w:val="auto"/>
              </w:rPr>
            </w:pPr>
            <w:r>
              <w:rPr>
                <w:rFonts w:ascii="Arial" w:cs="Arial" w:eastAsia="Arial" w:hAnsi="Arial"/>
                <w:sz w:val="18"/>
                <w:szCs w:val="18"/>
                <w:color w:val="0E32E1"/>
                <w:w w:val="92"/>
              </w:rPr>
              <w:t>Quantitative and Qualitative Disclosures About Market Risk</w:t>
            </w:r>
          </w:p>
        </w:tc>
        <w:tc>
          <w:tcPr>
            <w:tcW w:w="2060" w:type="dxa"/>
            <w:vAlign w:val="bottom"/>
            <w:tcBorders>
              <w:top w:val="single" w:sz="8" w:color="0E32E1"/>
            </w:tcBorders>
            <w:gridSpan w:val="2"/>
          </w:tcPr>
          <w:p>
            <w:pPr>
              <w:spacing w:after="0"/>
              <w:rPr>
                <w:sz w:val="18"/>
                <w:szCs w:val="18"/>
                <w:color w:val="auto"/>
              </w:rPr>
            </w:pPr>
          </w:p>
        </w:tc>
        <w:tc>
          <w:tcPr>
            <w:tcW w:w="27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E32E1"/>
            </w:tcBorders>
            <w:gridSpan w:val="7"/>
          </w:tcPr>
          <w:p>
            <w:pPr>
              <w:spacing w:after="0"/>
              <w:rPr>
                <w:sz w:val="20"/>
                <w:szCs w:val="20"/>
                <w:color w:val="auto"/>
              </w:rPr>
            </w:pPr>
            <w:r>
              <w:rPr>
                <w:rFonts w:ascii="Arial" w:cs="Arial" w:eastAsia="Arial" w:hAnsi="Arial"/>
                <w:sz w:val="18"/>
                <w:szCs w:val="18"/>
                <w:color w:val="0E32E1"/>
                <w:w w:val="89"/>
              </w:rPr>
              <w:t>Controls and Procedures</w:t>
            </w:r>
          </w:p>
        </w:tc>
        <w:tc>
          <w:tcPr>
            <w:tcW w:w="7420" w:type="dxa"/>
            <w:vAlign w:val="bottom"/>
            <w:gridSpan w:val="14"/>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E32E1"/>
            </w:tcBorders>
            <w:gridSpan w:val="8"/>
          </w:tcPr>
          <w:p>
            <w:pPr>
              <w:spacing w:after="0"/>
              <w:rPr>
                <w:sz w:val="20"/>
                <w:szCs w:val="20"/>
                <w:color w:val="auto"/>
              </w:rPr>
            </w:pPr>
            <w:r>
              <w:rPr>
                <w:rFonts w:ascii="Arial" w:cs="Arial" w:eastAsia="Arial" w:hAnsi="Arial"/>
                <w:sz w:val="18"/>
                <w:szCs w:val="18"/>
                <w:color w:val="0E32E1"/>
                <w:w w:val="96"/>
              </w:rPr>
              <w:t>OTHER INFORMATION</w:t>
            </w:r>
          </w:p>
        </w:tc>
        <w:tc>
          <w:tcPr>
            <w:tcW w:w="7320" w:type="dxa"/>
            <w:vAlign w:val="bottom"/>
            <w:gridSpan w:val="13"/>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9220" w:type="dxa"/>
            <w:vAlign w:val="bottom"/>
            <w:gridSpan w:val="21"/>
          </w:tcPr>
          <w:p>
            <w:pPr>
              <w:spacing w:after="0"/>
              <w:rPr>
                <w:sz w:val="20"/>
                <w:szCs w:val="20"/>
                <w:color w:val="auto"/>
              </w:rPr>
            </w:pPr>
            <w:r>
              <w:rPr>
                <w:rFonts w:ascii="Arial" w:cs="Arial" w:eastAsia="Arial" w:hAnsi="Arial"/>
                <w:sz w:val="18"/>
                <w:szCs w:val="18"/>
                <w:color w:val="0E32E1"/>
              </w:rPr>
              <w:t>Legal Proceedings</w:t>
            </w: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E32E1"/>
              <w:bottom w:val="single" w:sz="8" w:color="0E32E1"/>
            </w:tcBorders>
            <w:gridSpan w:val="3"/>
          </w:tcPr>
          <w:p>
            <w:pPr>
              <w:spacing w:after="0"/>
              <w:rPr>
                <w:sz w:val="20"/>
                <w:szCs w:val="20"/>
                <w:color w:val="auto"/>
              </w:rPr>
            </w:pPr>
            <w:r>
              <w:rPr>
                <w:rFonts w:ascii="Arial" w:cs="Arial" w:eastAsia="Arial" w:hAnsi="Arial"/>
                <w:sz w:val="18"/>
                <w:szCs w:val="18"/>
                <w:color w:val="0E32E1"/>
                <w:w w:val="89"/>
              </w:rPr>
              <w:t>Risk Factors</w:t>
            </w:r>
          </w:p>
        </w:tc>
        <w:tc>
          <w:tcPr>
            <w:tcW w:w="420" w:type="dxa"/>
            <w:vAlign w:val="bottom"/>
            <w:tcBorders>
              <w:top w:val="single" w:sz="8" w:color="0E32E1"/>
            </w:tcBorders>
            <w:gridSpan w:val="2"/>
          </w:tcPr>
          <w:p>
            <w:pPr>
              <w:spacing w:after="0"/>
              <w:rPr>
                <w:sz w:val="18"/>
                <w:szCs w:val="18"/>
                <w:color w:val="auto"/>
              </w:rPr>
            </w:pPr>
          </w:p>
        </w:tc>
        <w:tc>
          <w:tcPr>
            <w:tcW w:w="7880" w:type="dxa"/>
            <w:vAlign w:val="bottom"/>
            <w:gridSpan w:val="16"/>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E32E1"/>
            </w:tcBorders>
            <w:gridSpan w:val="17"/>
          </w:tcPr>
          <w:p>
            <w:pPr>
              <w:spacing w:after="0"/>
              <w:rPr>
                <w:sz w:val="20"/>
                <w:szCs w:val="20"/>
                <w:color w:val="auto"/>
              </w:rPr>
            </w:pPr>
            <w:r>
              <w:rPr>
                <w:rFonts w:ascii="Arial" w:cs="Arial" w:eastAsia="Arial" w:hAnsi="Arial"/>
                <w:sz w:val="18"/>
                <w:szCs w:val="18"/>
                <w:color w:val="0E32E1"/>
                <w:w w:val="89"/>
              </w:rPr>
              <w:t>Unregistered Sales of Equity Securities and Use of Proceeds</w:t>
            </w:r>
          </w:p>
        </w:tc>
        <w:tc>
          <w:tcPr>
            <w:tcW w:w="4860" w:type="dxa"/>
            <w:vAlign w:val="bottom"/>
            <w:gridSpan w:val="4"/>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E32E1"/>
            </w:tcBorders>
            <w:gridSpan w:val="11"/>
          </w:tcPr>
          <w:p>
            <w:pPr>
              <w:spacing w:after="0"/>
              <w:rPr>
                <w:sz w:val="20"/>
                <w:szCs w:val="20"/>
                <w:color w:val="auto"/>
              </w:rPr>
            </w:pPr>
            <w:r>
              <w:rPr>
                <w:rFonts w:ascii="Arial" w:cs="Arial" w:eastAsia="Arial" w:hAnsi="Arial"/>
                <w:sz w:val="18"/>
                <w:szCs w:val="18"/>
                <w:color w:val="0E32E1"/>
                <w:w w:val="90"/>
              </w:rPr>
              <w:t>Defaults Upon Senior Securities</w:t>
            </w:r>
          </w:p>
        </w:tc>
        <w:tc>
          <w:tcPr>
            <w:tcW w:w="6880" w:type="dxa"/>
            <w:vAlign w:val="bottom"/>
            <w:gridSpan w:val="10"/>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E32E1"/>
            </w:tcBorders>
            <w:gridSpan w:val="6"/>
          </w:tcPr>
          <w:p>
            <w:pPr>
              <w:spacing w:after="0"/>
              <w:rPr>
                <w:sz w:val="20"/>
                <w:szCs w:val="20"/>
                <w:color w:val="auto"/>
              </w:rPr>
            </w:pPr>
            <w:r>
              <w:rPr>
                <w:rFonts w:ascii="Arial" w:cs="Arial" w:eastAsia="Arial" w:hAnsi="Arial"/>
                <w:sz w:val="18"/>
                <w:szCs w:val="18"/>
                <w:color w:val="0E32E1"/>
                <w:w w:val="91"/>
              </w:rPr>
              <w:t>Mine Safety Disclosures</w:t>
            </w:r>
          </w:p>
        </w:tc>
        <w:tc>
          <w:tcPr>
            <w:tcW w:w="7440" w:type="dxa"/>
            <w:vAlign w:val="bottom"/>
            <w:gridSpan w:val="15"/>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Arial" w:cs="Arial" w:eastAsia="Arial" w:hAnsi="Arial"/>
                <w:sz w:val="18"/>
                <w:szCs w:val="18"/>
                <w:color w:val="auto"/>
              </w:rPr>
              <w:t>Item 5.</w:t>
            </w:r>
          </w:p>
        </w:tc>
        <w:tc>
          <w:tcPr>
            <w:tcW w:w="9220" w:type="dxa"/>
            <w:vAlign w:val="bottom"/>
            <w:gridSpan w:val="21"/>
          </w:tcPr>
          <w:p>
            <w:pPr>
              <w:spacing w:after="0"/>
              <w:rPr>
                <w:sz w:val="20"/>
                <w:szCs w:val="20"/>
                <w:color w:val="auto"/>
              </w:rPr>
            </w:pPr>
            <w:r>
              <w:rPr>
                <w:rFonts w:ascii="Arial" w:cs="Arial" w:eastAsia="Arial" w:hAnsi="Arial"/>
                <w:sz w:val="18"/>
                <w:szCs w:val="18"/>
                <w:color w:val="0E32E1"/>
              </w:rPr>
              <w:t>Other Information</w:t>
            </w: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E32E1"/>
            </w:tcBorders>
            <w:gridSpan w:val="4"/>
          </w:tcPr>
          <w:p>
            <w:pPr>
              <w:spacing w:after="0"/>
              <w:rPr>
                <w:sz w:val="20"/>
                <w:szCs w:val="20"/>
                <w:color w:val="auto"/>
              </w:rPr>
            </w:pPr>
            <w:r>
              <w:rPr>
                <w:rFonts w:ascii="Arial" w:cs="Arial" w:eastAsia="Arial" w:hAnsi="Arial"/>
                <w:sz w:val="18"/>
                <w:szCs w:val="18"/>
                <w:color w:val="0E32E1"/>
              </w:rPr>
              <w:t>Exhibits</w:t>
            </w:r>
          </w:p>
        </w:tc>
        <w:tc>
          <w:tcPr>
            <w:tcW w:w="7900" w:type="dxa"/>
            <w:vAlign w:val="bottom"/>
            <w:gridSpan w:val="17"/>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60" w:type="dxa"/>
            <w:vAlign w:val="bottom"/>
            <w:gridSpan w:val="1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Arial" w:cs="Arial" w:eastAsia="Arial" w:hAnsi="Arial"/>
                <w:sz w:val="18"/>
                <w:szCs w:val="18"/>
                <w:color w:val="0E32E1"/>
              </w:rPr>
              <w:t>Signatures</w:t>
            </w: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80" w:top="918"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i w:val="1"/>
          <w:iCs w:val="1"/>
          <w:color w:val="auto"/>
        </w:rPr>
        <w:t>Unless the context otherwise requires, all references to “Bakkt,” “we,” “us,” “our,” or the “Company” in this Quarterly Report on Form 10-Q (this “Report”) refer to Bakkt Holdings, Inc. and its subsidiaries.</w:t>
      </w:r>
    </w:p>
    <w:p>
      <w:pPr>
        <w:spacing w:after="0" w:line="33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makes forward-looking statements in this Report and in documents incorporated herein by reference. All statements, other than statements of present or historical fact included in or incorporated by reference in this Report, regarding the Company’s future financial performance, as well as the Company’s strategy, future operations, financial position, estimated revenues, and losses, projected costs, prospects, plans and objectives of management are forward-looking statements. When used in this Report, the words “anticipate,” “believe,” “continue,” “could,” “estimate,” “expect,”</w:t>
      </w:r>
    </w:p>
    <w:p>
      <w:pPr>
        <w:spacing w:after="0" w:line="2"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“intends,” “may,” “might,” “plan,” “possible,” “potential,” “predict,” “project,” “should,” “will,” “would,” the negative of such terms, and other similar expressions are intended to identify forward-looking statements, although not all forward-looking statements contain such identifying words. These</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forward-looking statements are based on management’s current expectations, assumptions, hopes, beliefs, intentions and strategies regarding future events and are based on currently available information as to the outcome and timing of future events. The Company cautions you that these forward-looking statements are subject to all of the risks and uncertainties, most of which are difficult to predict and many of which are beyond the control of the Company and incident to its business. </w:t>
      </w:r>
      <w:r>
        <w:rPr>
          <w:rFonts w:ascii="Arial" w:cs="Arial" w:eastAsia="Arial" w:hAnsi="Arial"/>
          <w:sz w:val="17"/>
          <w:szCs w:val="17"/>
          <w:color w:val="231F20"/>
        </w:rPr>
        <w:t>Forward-looking statements in this Report may include, for example, statements about:</w:t>
      </w:r>
    </w:p>
    <w:p>
      <w:pPr>
        <w:spacing w:after="0" w:line="218" w:lineRule="exact"/>
        <w:rPr>
          <w:sz w:val="20"/>
          <w:szCs w:val="20"/>
          <w:color w:val="auto"/>
        </w:rPr>
      </w:pPr>
    </w:p>
    <w:p>
      <w:pPr>
        <w:ind w:left="800" w:hanging="252"/>
        <w:spacing w:after="0"/>
        <w:tabs>
          <w:tab w:leader="none" w:pos="8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future financial performance;</w:t>
      </w:r>
    </w:p>
    <w:p>
      <w:pPr>
        <w:spacing w:after="0" w:line="23" w:lineRule="exact"/>
        <w:rPr>
          <w:rFonts w:ascii="Arial" w:cs="Arial" w:eastAsia="Arial" w:hAnsi="Arial"/>
          <w:sz w:val="18"/>
          <w:szCs w:val="18"/>
          <w:color w:val="231F20"/>
        </w:rPr>
      </w:pPr>
    </w:p>
    <w:p>
      <w:pPr>
        <w:ind w:left="800" w:hanging="252"/>
        <w:spacing w:after="0"/>
        <w:tabs>
          <w:tab w:leader="none" w:pos="8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changes in the market for our products and services;</w:t>
      </w:r>
    </w:p>
    <w:p>
      <w:pPr>
        <w:spacing w:after="0" w:line="22" w:lineRule="exact"/>
        <w:rPr>
          <w:rFonts w:ascii="Arial" w:cs="Arial" w:eastAsia="Arial" w:hAnsi="Arial"/>
          <w:sz w:val="18"/>
          <w:szCs w:val="18"/>
          <w:color w:val="231F20"/>
        </w:rPr>
      </w:pPr>
    </w:p>
    <w:p>
      <w:pPr>
        <w:ind w:left="800" w:hanging="252"/>
        <w:spacing w:after="0"/>
        <w:tabs>
          <w:tab w:leader="none" w:pos="8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expected timing and impact of our acquisition of Apex (as defined below); and</w:t>
      </w:r>
    </w:p>
    <w:p>
      <w:pPr>
        <w:spacing w:after="0" w:line="9" w:lineRule="exact"/>
        <w:rPr>
          <w:rFonts w:ascii="Arial" w:cs="Arial" w:eastAsia="Arial" w:hAnsi="Arial"/>
          <w:sz w:val="18"/>
          <w:szCs w:val="18"/>
          <w:color w:val="231F20"/>
        </w:rPr>
      </w:pPr>
    </w:p>
    <w:p>
      <w:pPr>
        <w:ind w:left="800" w:hanging="252"/>
        <w:spacing w:after="0"/>
        <w:tabs>
          <w:tab w:leader="none" w:pos="8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expansion plans and opportunities.</w:t>
      </w:r>
    </w:p>
    <w:p>
      <w:pPr>
        <w:spacing w:after="0" w:line="319" w:lineRule="exact"/>
        <w:rPr>
          <w:sz w:val="20"/>
          <w:szCs w:val="20"/>
          <w:color w:val="auto"/>
        </w:rPr>
      </w:pPr>
    </w:p>
    <w:p>
      <w:pPr>
        <w:ind w:firstLine="648"/>
        <w:spacing w:after="0" w:line="256" w:lineRule="auto"/>
        <w:rPr>
          <w:sz w:val="20"/>
          <w:szCs w:val="20"/>
          <w:color w:val="auto"/>
        </w:rPr>
      </w:pPr>
      <w:r>
        <w:rPr>
          <w:rFonts w:ascii="Arial" w:cs="Arial" w:eastAsia="Arial" w:hAnsi="Arial"/>
          <w:sz w:val="16"/>
          <w:szCs w:val="16"/>
          <w:color w:val="231F20"/>
        </w:rPr>
        <w:t xml:space="preserve">These forward-looking statements are based on information available as of the date of this </w:t>
      </w:r>
      <w:r>
        <w:rPr>
          <w:rFonts w:ascii="Arial" w:cs="Arial" w:eastAsia="Arial" w:hAnsi="Arial"/>
          <w:sz w:val="16"/>
          <w:szCs w:val="16"/>
          <w:color w:val="000000"/>
        </w:rPr>
        <w:t>Report</w:t>
      </w:r>
      <w:r>
        <w:rPr>
          <w:rFonts w:ascii="Arial" w:cs="Arial" w:eastAsia="Arial" w:hAnsi="Arial"/>
          <w:sz w:val="16"/>
          <w:szCs w:val="16"/>
          <w:color w:val="231F20"/>
        </w:rPr>
        <w:t xml:space="preserve"> and management’s current expectations, forecasts and assumptions, and involve a number of judgments, known and/ or unknown risks and uncertainties. Accordingly, forward-looking statements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6"/>
          <w:szCs w:val="16"/>
          <w:color w:val="231F20"/>
        </w:rPr>
        <w:t>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231F20"/>
        </w:rPr>
        <w:t>required under applicable law.</w:t>
      </w:r>
    </w:p>
    <w:p>
      <w:pPr>
        <w:spacing w:after="0" w:line="223" w:lineRule="exact"/>
        <w:rPr>
          <w:sz w:val="20"/>
          <w:szCs w:val="20"/>
          <w:color w:val="auto"/>
        </w:rPr>
      </w:pPr>
    </w:p>
    <w:p>
      <w:pPr>
        <w:jc w:val="both"/>
        <w:ind w:right="40" w:firstLine="648"/>
        <w:spacing w:after="0" w:line="294" w:lineRule="auto"/>
        <w:rPr>
          <w:sz w:val="20"/>
          <w:szCs w:val="20"/>
          <w:color w:val="auto"/>
        </w:rPr>
      </w:pPr>
      <w:r>
        <w:rPr>
          <w:rFonts w:ascii="Arial" w:cs="Arial" w:eastAsia="Arial" w:hAnsi="Arial"/>
          <w:sz w:val="17"/>
          <w:szCs w:val="17"/>
          <w:color w:val="231F20"/>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 looking statements. Some factors that could cause actual results to differ include, but are not limited to:</w:t>
      </w:r>
    </w:p>
    <w:p>
      <w:pPr>
        <w:spacing w:after="0" w:line="173" w:lineRule="exact"/>
        <w:rPr>
          <w:sz w:val="20"/>
          <w:szCs w:val="20"/>
          <w:color w:val="auto"/>
        </w:rPr>
      </w:pPr>
    </w:p>
    <w:p>
      <w:pPr>
        <w:ind w:left="800" w:hanging="252"/>
        <w:spacing w:after="0"/>
        <w:tabs>
          <w:tab w:leader="none" w:pos="80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our ability to grow and manage growth profitably;</w:t>
      </w:r>
    </w:p>
    <w:p>
      <w:pPr>
        <w:spacing w:after="0" w:line="225" w:lineRule="exact"/>
        <w:rPr>
          <w:rFonts w:ascii="Arial" w:cs="Arial" w:eastAsia="Arial" w:hAnsi="Arial"/>
          <w:sz w:val="18"/>
          <w:szCs w:val="18"/>
          <w:color w:val="231F20"/>
        </w:rPr>
      </w:pPr>
    </w:p>
    <w:p>
      <w:pPr>
        <w:ind w:left="820" w:right="480" w:hanging="272"/>
        <w:spacing w:after="0" w:line="293" w:lineRule="auto"/>
        <w:tabs>
          <w:tab w:leader="none" w:pos="861"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changes in the market in which we compete, including with respect to our competitive landscape, technology evolution or changes in applicable laws or regulations;</w:t>
      </w:r>
    </w:p>
    <w:p>
      <w:pPr>
        <w:spacing w:after="0" w:line="169" w:lineRule="exact"/>
        <w:rPr>
          <w:rFonts w:ascii="Arial" w:cs="Arial" w:eastAsia="Arial" w:hAnsi="Arial"/>
          <w:sz w:val="18"/>
          <w:szCs w:val="18"/>
          <w:color w:val="231F20"/>
        </w:rPr>
      </w:pPr>
    </w:p>
    <w:p>
      <w:pPr>
        <w:ind w:left="800" w:hanging="252"/>
        <w:spacing w:after="0"/>
        <w:tabs>
          <w:tab w:leader="none" w:pos="80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changes in the digital asset markets that we target;</w:t>
      </w:r>
    </w:p>
    <w:p>
      <w:pPr>
        <w:spacing w:after="0" w:line="211" w:lineRule="exact"/>
        <w:rPr>
          <w:rFonts w:ascii="Arial" w:cs="Arial" w:eastAsia="Arial" w:hAnsi="Arial"/>
          <w:sz w:val="18"/>
          <w:szCs w:val="18"/>
          <w:color w:val="231F20"/>
        </w:rPr>
      </w:pPr>
    </w:p>
    <w:p>
      <w:pPr>
        <w:ind w:left="800" w:hanging="252"/>
        <w:spacing w:after="0"/>
        <w:tabs>
          <w:tab w:leader="none" w:pos="80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changes to our relationships within the payment ecosystem;</w:t>
      </w:r>
    </w:p>
    <w:p>
      <w:pPr>
        <w:spacing w:after="0" w:line="238" w:lineRule="exact"/>
        <w:rPr>
          <w:rFonts w:ascii="Arial" w:cs="Arial" w:eastAsia="Arial" w:hAnsi="Arial"/>
          <w:sz w:val="18"/>
          <w:szCs w:val="18"/>
          <w:color w:val="231F20"/>
        </w:rPr>
      </w:pPr>
    </w:p>
    <w:p>
      <w:pPr>
        <w:ind w:left="800" w:hanging="252"/>
        <w:spacing w:after="0"/>
        <w:tabs>
          <w:tab w:leader="none" w:pos="80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the inability to launch new services and products or to profitably expand into new markets and services;</w:t>
      </w:r>
    </w:p>
    <w:p>
      <w:pPr>
        <w:spacing w:after="0" w:line="252" w:lineRule="exact"/>
        <w:rPr>
          <w:rFonts w:ascii="Arial" w:cs="Arial" w:eastAsia="Arial" w:hAnsi="Arial"/>
          <w:sz w:val="18"/>
          <w:szCs w:val="18"/>
          <w:color w:val="231F20"/>
        </w:rPr>
      </w:pPr>
    </w:p>
    <w:p>
      <w:pPr>
        <w:ind w:left="820" w:hanging="272"/>
        <w:spacing w:after="0" w:line="251" w:lineRule="auto"/>
        <w:tabs>
          <w:tab w:leader="none" w:pos="892"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the inability to execute our growth strategies, including identifying and executing acquisitions and our initiatives to add new partners and customers;</w:t>
      </w:r>
    </w:p>
    <w:p>
      <w:pPr>
        <w:spacing w:after="0" w:line="1" w:lineRule="exact"/>
        <w:rPr>
          <w:rFonts w:ascii="Arial" w:cs="Arial" w:eastAsia="Arial" w:hAnsi="Arial"/>
          <w:sz w:val="18"/>
          <w:szCs w:val="18"/>
          <w:color w:val="231F20"/>
        </w:rPr>
      </w:pPr>
    </w:p>
    <w:p>
      <w:pPr>
        <w:ind w:left="800" w:hanging="252"/>
        <w:spacing w:after="0"/>
        <w:tabs>
          <w:tab w:leader="none" w:pos="800" w:val="left"/>
        </w:tabs>
        <w:numPr>
          <w:ilvl w:val="0"/>
          <w:numId w:val="4"/>
        </w:numPr>
        <w:rPr>
          <w:rFonts w:ascii="Arial" w:cs="Arial" w:eastAsia="Arial" w:hAnsi="Arial"/>
          <w:sz w:val="16"/>
          <w:szCs w:val="16"/>
          <w:color w:val="231F20"/>
        </w:rPr>
      </w:pPr>
      <w:r>
        <w:rPr>
          <w:rFonts w:ascii="Arial" w:cs="Arial" w:eastAsia="Arial" w:hAnsi="Arial"/>
          <w:sz w:val="16"/>
          <w:szCs w:val="16"/>
          <w:color w:val="231F20"/>
        </w:rPr>
        <w:t>our ability to obtain all the necessary approvals to close our acquisition of Apex and successfully integrate the acquired business and employees;</w:t>
      </w:r>
    </w:p>
    <w:p>
      <w:pPr>
        <w:spacing w:after="0" w:line="232" w:lineRule="exact"/>
        <w:rPr>
          <w:rFonts w:ascii="Arial" w:cs="Arial" w:eastAsia="Arial" w:hAnsi="Arial"/>
          <w:sz w:val="16"/>
          <w:szCs w:val="16"/>
          <w:color w:val="231F20"/>
        </w:rPr>
      </w:pPr>
    </w:p>
    <w:p>
      <w:pPr>
        <w:ind w:left="800" w:hanging="252"/>
        <w:spacing w:after="0"/>
        <w:tabs>
          <w:tab w:leader="none" w:pos="80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the inability to develop and maintain effective internal controls and procedures;</w:t>
      </w:r>
    </w:p>
    <w:p>
      <w:pPr>
        <w:spacing w:after="0" w:line="225" w:lineRule="exact"/>
        <w:rPr>
          <w:rFonts w:ascii="Arial" w:cs="Arial" w:eastAsia="Arial" w:hAnsi="Arial"/>
          <w:sz w:val="18"/>
          <w:szCs w:val="18"/>
          <w:color w:val="231F20"/>
        </w:rPr>
      </w:pPr>
    </w:p>
    <w:p>
      <w:pPr>
        <w:ind w:left="800" w:hanging="252"/>
        <w:spacing w:after="0"/>
        <w:tabs>
          <w:tab w:leader="none" w:pos="80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the exposure to any liability, protracted and costly litigation or reputational damage relating to our data security;</w:t>
      </w:r>
    </w:p>
    <w:p>
      <w:pPr>
        <w:spacing w:after="0" w:line="252" w:lineRule="exact"/>
        <w:rPr>
          <w:rFonts w:ascii="Arial" w:cs="Arial" w:eastAsia="Arial" w:hAnsi="Arial"/>
          <w:sz w:val="18"/>
          <w:szCs w:val="18"/>
          <w:color w:val="231F20"/>
        </w:rPr>
      </w:pPr>
    </w:p>
    <w:p>
      <w:pPr>
        <w:ind w:left="800" w:hanging="252"/>
        <w:spacing w:after="0"/>
        <w:tabs>
          <w:tab w:leader="none" w:pos="80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the possibility that we may be adversely affected by other economic, business, and/or competitive factors;</w:t>
      </w:r>
    </w:p>
    <w:p>
      <w:pPr>
        <w:spacing w:after="0" w:line="252" w:lineRule="exact"/>
        <w:rPr>
          <w:rFonts w:ascii="Arial" w:cs="Arial" w:eastAsia="Arial" w:hAnsi="Arial"/>
          <w:sz w:val="18"/>
          <w:szCs w:val="18"/>
          <w:color w:val="231F20"/>
        </w:rPr>
      </w:pPr>
    </w:p>
    <w:p>
      <w:pPr>
        <w:ind w:left="800" w:hanging="252"/>
        <w:spacing w:after="0"/>
        <w:tabs>
          <w:tab w:leader="none" w:pos="80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the impact of the novel coronavirus pandemic;</w:t>
      </w:r>
    </w:p>
    <w:p>
      <w:pPr>
        <w:spacing w:after="0" w:line="211" w:lineRule="exact"/>
        <w:rPr>
          <w:rFonts w:ascii="Arial" w:cs="Arial" w:eastAsia="Arial" w:hAnsi="Arial"/>
          <w:sz w:val="18"/>
          <w:szCs w:val="18"/>
          <w:color w:val="231F20"/>
        </w:rPr>
      </w:pPr>
    </w:p>
    <w:p>
      <w:pPr>
        <w:ind w:left="800" w:hanging="252"/>
        <w:spacing w:after="0"/>
        <w:tabs>
          <w:tab w:leader="none" w:pos="80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our inability to maintain the listing of our securities on the NYSE; and</w:t>
      </w:r>
    </w:p>
    <w:p>
      <w:pPr>
        <w:spacing w:after="0" w:line="225" w:lineRule="exact"/>
        <w:rPr>
          <w:rFonts w:ascii="Arial" w:cs="Arial" w:eastAsia="Arial" w:hAnsi="Arial"/>
          <w:sz w:val="18"/>
          <w:szCs w:val="18"/>
          <w:color w:val="231F20"/>
        </w:rPr>
      </w:pPr>
    </w:p>
    <w:p>
      <w:pPr>
        <w:ind w:left="800" w:hanging="252"/>
        <w:spacing w:after="0"/>
        <w:tabs>
          <w:tab w:leader="none" w:pos="80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other risks and uncertainties indicated in this Report, including those set forth under “</w:t>
      </w:r>
      <w:r>
        <w:rPr>
          <w:rFonts w:ascii="Arial" w:cs="Arial" w:eastAsia="Arial" w:hAnsi="Arial"/>
          <w:sz w:val="18"/>
          <w:szCs w:val="18"/>
          <w:i w:val="1"/>
          <w:iCs w:val="1"/>
          <w:color w:val="231F20"/>
        </w:rPr>
        <w:t>Risk Factors</w:t>
      </w:r>
      <w:r>
        <w:rPr>
          <w:rFonts w:ascii="Arial" w:cs="Arial" w:eastAsia="Arial" w:hAnsi="Arial"/>
          <w:sz w:val="18"/>
          <w:szCs w:val="18"/>
          <w:color w:val="231F20"/>
        </w:rPr>
        <w:t>.”</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Bakkt Holdings, Inc.</w:t>
      </w:r>
    </w:p>
    <w:p>
      <w:pPr>
        <w:jc w:val="center"/>
        <w:spacing w:after="0" w:line="203" w:lineRule="auto"/>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As of</w:t>
            </w:r>
          </w:p>
        </w:tc>
        <w:tc>
          <w:tcPr>
            <w:tcW w:w="260" w:type="dxa"/>
            <w:vAlign w:val="bottom"/>
          </w:tcPr>
          <w:p>
            <w:pPr>
              <w:spacing w:after="0"/>
              <w:rPr>
                <w:sz w:val="11"/>
                <w:szCs w:val="11"/>
                <w:color w:val="auto"/>
              </w:rPr>
            </w:pPr>
          </w:p>
        </w:tc>
        <w:tc>
          <w:tcPr>
            <w:tcW w:w="1440" w:type="dxa"/>
            <w:vAlign w:val="bottom"/>
          </w:tcPr>
          <w:p>
            <w:pPr>
              <w:jc w:val="right"/>
              <w:ind w:right="628"/>
              <w:spacing w:after="0" w:line="129" w:lineRule="exact"/>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39"/>
        </w:trPr>
        <w:tc>
          <w:tcPr>
            <w:tcW w:w="7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September 30, 2022</w:t>
            </w:r>
          </w:p>
        </w:tc>
        <w:tc>
          <w:tcPr>
            <w:tcW w:w="260" w:type="dxa"/>
            <w:vAlign w:val="bottom"/>
          </w:tcPr>
          <w:p>
            <w:pPr>
              <w:spacing w:after="0"/>
              <w:rPr>
                <w:sz w:val="12"/>
                <w:szCs w:val="12"/>
                <w:color w:val="auto"/>
              </w:rPr>
            </w:pPr>
          </w:p>
        </w:tc>
        <w:tc>
          <w:tcPr>
            <w:tcW w:w="1440" w:type="dxa"/>
            <w:vAlign w:val="bottom"/>
          </w:tcPr>
          <w:p>
            <w:pPr>
              <w:jc w:val="right"/>
              <w:ind w:right="188"/>
              <w:spacing w:after="0" w:line="139" w:lineRule="exact"/>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86"/>
        </w:trPr>
        <w:tc>
          <w:tcPr>
            <w:tcW w:w="7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77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77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159,850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391,364</w:t>
            </w:r>
          </w:p>
        </w:tc>
        <w:tc>
          <w:tcPr>
            <w:tcW w:w="0" w:type="dxa"/>
            <w:vAlign w:val="bottom"/>
          </w:tcPr>
          <w:p>
            <w:pPr>
              <w:spacing w:after="0"/>
              <w:rPr>
                <w:sz w:val="1"/>
                <w:szCs w:val="1"/>
                <w:color w:val="auto"/>
              </w:rPr>
            </w:pPr>
          </w:p>
        </w:tc>
      </w:tr>
      <w:tr>
        <w:trPr>
          <w:trHeight w:val="182"/>
        </w:trPr>
        <w:tc>
          <w:tcPr>
            <w:tcW w:w="7740" w:type="dxa"/>
            <w:vAlign w:val="bottom"/>
          </w:tcPr>
          <w:p>
            <w:pPr>
              <w:ind w:left="240"/>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16,525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16,500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Customer funds</w:t>
            </w: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182"/>
        </w:trPr>
        <w:tc>
          <w:tcPr>
            <w:tcW w:w="7740" w:type="dxa"/>
            <w:vAlign w:val="bottom"/>
          </w:tcPr>
          <w:p>
            <w:pPr>
              <w:ind w:left="240"/>
              <w:spacing w:after="0"/>
              <w:rPr>
                <w:sz w:val="20"/>
                <w:szCs w:val="20"/>
                <w:color w:val="auto"/>
              </w:rPr>
            </w:pPr>
            <w:r>
              <w:rPr>
                <w:rFonts w:ascii="Arial" w:cs="Arial" w:eastAsia="Arial" w:hAnsi="Arial"/>
                <w:sz w:val="14"/>
                <w:szCs w:val="14"/>
                <w:color w:val="auto"/>
              </w:rPr>
              <w:t>Available-for-sale securities</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113,867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Accounts receivable, net</w:t>
            </w: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22,106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18,142</w:t>
            </w:r>
          </w:p>
        </w:tc>
        <w:tc>
          <w:tcPr>
            <w:tcW w:w="0" w:type="dxa"/>
            <w:vAlign w:val="bottom"/>
          </w:tcPr>
          <w:p>
            <w:pPr>
              <w:spacing w:after="0"/>
              <w:rPr>
                <w:sz w:val="1"/>
                <w:szCs w:val="1"/>
                <w:color w:val="auto"/>
              </w:rPr>
            </w:pPr>
          </w:p>
        </w:tc>
      </w:tr>
      <w:tr>
        <w:trPr>
          <w:trHeight w:val="182"/>
        </w:trPr>
        <w:tc>
          <w:tcPr>
            <w:tcW w:w="7740" w:type="dxa"/>
            <w:vAlign w:val="bottom"/>
          </w:tcPr>
          <w:p>
            <w:pPr>
              <w:ind w:left="240"/>
              <w:spacing w:after="0"/>
              <w:rPr>
                <w:sz w:val="20"/>
                <w:szCs w:val="20"/>
                <w:color w:val="auto"/>
              </w:rPr>
            </w:pPr>
            <w:r>
              <w:rPr>
                <w:rFonts w:ascii="Arial" w:cs="Arial" w:eastAsia="Arial" w:hAnsi="Arial"/>
                <w:sz w:val="14"/>
                <w:szCs w:val="14"/>
                <w:color w:val="auto"/>
              </w:rPr>
              <w:t>Prepaid insurance</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20,577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32,206</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Safeguarding asset for cryptoassets</w:t>
            </w: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119,359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7740" w:type="dxa"/>
            <w:vAlign w:val="bottom"/>
          </w:tcPr>
          <w:p>
            <w:pPr>
              <w:ind w:left="240"/>
              <w:spacing w:after="0"/>
              <w:rPr>
                <w:sz w:val="20"/>
                <w:szCs w:val="20"/>
                <w:color w:val="auto"/>
              </w:rPr>
            </w:pPr>
            <w:r>
              <w:rPr>
                <w:rFonts w:ascii="Arial" w:cs="Arial" w:eastAsia="Arial" w:hAnsi="Arial"/>
                <w:sz w:val="14"/>
                <w:szCs w:val="14"/>
                <w:color w:val="auto"/>
              </w:rPr>
              <w:t>Other current assets</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6,148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4,784</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7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current assets</w:t>
            </w: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459,024</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463,547</w:t>
            </w:r>
          </w:p>
        </w:tc>
        <w:tc>
          <w:tcPr>
            <w:tcW w:w="0" w:type="dxa"/>
            <w:vAlign w:val="bottom"/>
          </w:tcPr>
          <w:p>
            <w:pPr>
              <w:spacing w:after="0"/>
              <w:rPr>
                <w:sz w:val="1"/>
                <w:szCs w:val="1"/>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color w:val="auto"/>
              </w:rPr>
              <w:t>Property, equipment and software, net</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29,384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6,121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137,195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1,527,118</w:t>
            </w:r>
          </w:p>
        </w:tc>
        <w:tc>
          <w:tcPr>
            <w:tcW w:w="0" w:type="dxa"/>
            <w:vAlign w:val="bottom"/>
          </w:tcPr>
          <w:p>
            <w:pPr>
              <w:spacing w:after="0"/>
              <w:rPr>
                <w:sz w:val="1"/>
                <w:szCs w:val="1"/>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214,366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388,469</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Deposits with clearinghouse, noncurrent</w:t>
            </w: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15,150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15,151</w:t>
            </w:r>
          </w:p>
        </w:tc>
        <w:tc>
          <w:tcPr>
            <w:tcW w:w="0" w:type="dxa"/>
            <w:vAlign w:val="bottom"/>
          </w:tcPr>
          <w:p>
            <w:pPr>
              <w:spacing w:after="0"/>
              <w:rPr>
                <w:sz w:val="1"/>
                <w:szCs w:val="1"/>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23,425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13,879</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878,544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2,414,285</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240"/>
              <w:spacing w:after="0"/>
              <w:rPr>
                <w:sz w:val="20"/>
                <w:szCs w:val="20"/>
                <w:color w:val="auto"/>
              </w:rPr>
            </w:pPr>
            <w:r>
              <w:rPr>
                <w:rFonts w:ascii="Arial" w:cs="Arial" w:eastAsia="Arial" w:hAnsi="Arial"/>
                <w:sz w:val="14"/>
                <w:szCs w:val="14"/>
                <w:color w:val="auto"/>
              </w:rPr>
              <w:t>Accounts payable and accrued liabilities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56,184</w:t>
            </w:r>
          </w:p>
        </w:tc>
        <w:tc>
          <w:tcPr>
            <w:tcW w:w="10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64,090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Customer funds payable</w:t>
            </w: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182"/>
        </w:trPr>
        <w:tc>
          <w:tcPr>
            <w:tcW w:w="7740" w:type="dxa"/>
            <w:vAlign w:val="bottom"/>
          </w:tcPr>
          <w:p>
            <w:pPr>
              <w:ind w:left="240"/>
              <w:spacing w:after="0"/>
              <w:rPr>
                <w:sz w:val="20"/>
                <w:szCs w:val="20"/>
                <w:color w:val="auto"/>
              </w:rPr>
            </w:pPr>
            <w:r>
              <w:rPr>
                <w:rFonts w:ascii="Arial" w:cs="Arial" w:eastAsia="Arial" w:hAnsi="Arial"/>
                <w:sz w:val="14"/>
                <w:szCs w:val="14"/>
                <w:color w:val="auto"/>
              </w:rPr>
              <w:t>Deferred revenue, current</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3,835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4,629</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Due to related party</w:t>
            </w: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82"/>
        </w:trPr>
        <w:tc>
          <w:tcPr>
            <w:tcW w:w="7740" w:type="dxa"/>
            <w:vAlign w:val="bottom"/>
          </w:tcPr>
          <w:p>
            <w:pPr>
              <w:ind w:left="240"/>
              <w:spacing w:after="0"/>
              <w:rPr>
                <w:sz w:val="20"/>
                <w:szCs w:val="20"/>
                <w:color w:val="auto"/>
              </w:rPr>
            </w:pPr>
            <w:r>
              <w:rPr>
                <w:rFonts w:ascii="Arial" w:cs="Arial" w:eastAsia="Arial" w:hAnsi="Arial"/>
                <w:sz w:val="14"/>
                <w:szCs w:val="14"/>
                <w:color w:val="auto"/>
              </w:rPr>
              <w:t>Safeguarding obligations for cryptoassets</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119,359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 current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3,423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3,717</w:t>
            </w:r>
          </w:p>
        </w:tc>
        <w:tc>
          <w:tcPr>
            <w:tcW w:w="0" w:type="dxa"/>
            <w:vAlign w:val="bottom"/>
          </w:tcPr>
          <w:p>
            <w:pPr>
              <w:spacing w:after="0"/>
              <w:rPr>
                <w:sz w:val="1"/>
                <w:szCs w:val="1"/>
                <w:color w:val="auto"/>
              </w:rPr>
            </w:pPr>
          </w:p>
        </w:tc>
      </w:tr>
      <w:tr>
        <w:trPr>
          <w:trHeight w:val="176"/>
        </w:trPr>
        <w:tc>
          <w:tcPr>
            <w:tcW w:w="7740" w:type="dxa"/>
            <w:vAlign w:val="bottom"/>
          </w:tcPr>
          <w:p>
            <w:pPr>
              <w:ind w:left="460"/>
              <w:spacing w:after="0"/>
              <w:rPr>
                <w:sz w:val="20"/>
                <w:szCs w:val="20"/>
                <w:color w:val="auto"/>
              </w:rPr>
            </w:pPr>
            <w:r>
              <w:rPr>
                <w:rFonts w:ascii="Arial" w:cs="Arial" w:eastAsia="Arial" w:hAnsi="Arial"/>
                <w:sz w:val="14"/>
                <w:szCs w:val="14"/>
                <w:color w:val="auto"/>
              </w:rPr>
              <w:t>Total current liabilities</w:t>
            </w: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184,294</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73,604</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revenue, noncurrent</w:t>
            </w: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4,819</w:t>
            </w:r>
          </w:p>
        </w:tc>
        <w:tc>
          <w:tcPr>
            <w:tcW w:w="0" w:type="dxa"/>
            <w:vAlign w:val="bottom"/>
          </w:tcPr>
          <w:p>
            <w:pPr>
              <w:spacing w:after="0"/>
              <w:rPr>
                <w:sz w:val="1"/>
                <w:szCs w:val="1"/>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color w:val="auto"/>
              </w:rPr>
              <w:t>Warrant liability</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4,284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17,424</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liabilities, net</w:t>
            </w: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2,736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11,593</w:t>
            </w:r>
          </w:p>
        </w:tc>
        <w:tc>
          <w:tcPr>
            <w:tcW w:w="0" w:type="dxa"/>
            <w:vAlign w:val="bottom"/>
          </w:tcPr>
          <w:p>
            <w:pPr>
              <w:spacing w:after="0"/>
              <w:rPr>
                <w:sz w:val="1"/>
                <w:szCs w:val="1"/>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color w:val="auto"/>
              </w:rPr>
              <w:t>Other noncurrent liabilities</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24,825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12,674</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7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219,719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120,114</w:t>
            </w:r>
          </w:p>
        </w:tc>
        <w:tc>
          <w:tcPr>
            <w:tcW w:w="0" w:type="dxa"/>
            <w:vAlign w:val="bottom"/>
          </w:tcPr>
          <w:p>
            <w:pPr>
              <w:spacing w:after="0"/>
              <w:rPr>
                <w:sz w:val="1"/>
                <w:szCs w:val="1"/>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color w:val="auto"/>
              </w:rPr>
              <w:t>Commitments and contingencies (Note 13)</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7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Class A common stock ($0.0001 par value, 750,000,000 shares authorized, 77,682,402 shares</w:t>
            </w:r>
          </w:p>
        </w:tc>
        <w:tc>
          <w:tcPr>
            <w:tcW w:w="1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7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issued and outstanding as of September 30, 2022 and 57,164,388 shares issued and outstanding</w:t>
            </w:r>
          </w:p>
        </w:tc>
        <w:tc>
          <w:tcPr>
            <w:tcW w:w="1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 of December 31, 2021)</w:t>
            </w: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35"/>
        </w:trPr>
        <w:tc>
          <w:tcPr>
            <w:tcW w:w="7740" w:type="dxa"/>
            <w:vAlign w:val="bottom"/>
          </w:tcPr>
          <w:p>
            <w:pPr>
              <w:ind w:left="20"/>
              <w:spacing w:after="0" w:line="135" w:lineRule="exact"/>
              <w:rPr>
                <w:sz w:val="20"/>
                <w:szCs w:val="20"/>
                <w:color w:val="auto"/>
              </w:rPr>
            </w:pPr>
            <w:r>
              <w:rPr>
                <w:rFonts w:ascii="Arial" w:cs="Arial" w:eastAsia="Arial" w:hAnsi="Arial"/>
                <w:sz w:val="14"/>
                <w:szCs w:val="14"/>
                <w:color w:val="auto"/>
              </w:rPr>
              <w:t>Class V common stock ($0.0001 par value, 250,000,000 shares authorized, 186,352,843 shares</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740" w:type="dxa"/>
            <w:vAlign w:val="bottom"/>
          </w:tcPr>
          <w:p>
            <w:pPr>
              <w:ind w:left="20"/>
              <w:spacing w:after="0" w:line="143" w:lineRule="exact"/>
              <w:rPr>
                <w:sz w:val="20"/>
                <w:szCs w:val="20"/>
                <w:color w:val="auto"/>
              </w:rPr>
            </w:pPr>
            <w:r>
              <w:rPr>
                <w:rFonts w:ascii="Arial" w:cs="Arial" w:eastAsia="Arial" w:hAnsi="Arial"/>
                <w:sz w:val="14"/>
                <w:szCs w:val="14"/>
                <w:color w:val="auto"/>
              </w:rPr>
              <w:t>issued and outstanding as of September 30, 2022 and 206,271,792 shares issued and outstanding</w:t>
            </w: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color w:val="auto"/>
              </w:rPr>
              <w:t>as of December 31, 2021)</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5"/>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1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763,187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566,766</w:t>
            </w:r>
          </w:p>
        </w:tc>
        <w:tc>
          <w:tcPr>
            <w:tcW w:w="0" w:type="dxa"/>
            <w:vAlign w:val="bottom"/>
          </w:tcPr>
          <w:p>
            <w:pPr>
              <w:spacing w:after="0"/>
              <w:rPr>
                <w:sz w:val="1"/>
                <w:szCs w:val="1"/>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(577,499)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(98,342)</w:t>
            </w:r>
          </w:p>
        </w:tc>
        <w:tc>
          <w:tcPr>
            <w:tcW w:w="0" w:type="dxa"/>
            <w:vAlign w:val="bottom"/>
          </w:tcPr>
          <w:p>
            <w:pPr>
              <w:spacing w:after="0"/>
              <w:rPr>
                <w:sz w:val="1"/>
                <w:szCs w:val="1"/>
                <w:color w:val="auto"/>
              </w:rPr>
            </w:pPr>
          </w:p>
        </w:tc>
      </w:tr>
      <w:tr>
        <w:trPr>
          <w:trHeight w:val="176"/>
        </w:trPr>
        <w:tc>
          <w:tcPr>
            <w:tcW w:w="7740" w:type="dxa"/>
            <w:vAlign w:val="bottom"/>
          </w:tcPr>
          <w:p>
            <w:pPr>
              <w:ind w:left="46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185,315</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468,396</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1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473,510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1,825,775</w:t>
            </w:r>
          </w:p>
        </w:tc>
        <w:tc>
          <w:tcPr>
            <w:tcW w:w="0" w:type="dxa"/>
            <w:vAlign w:val="bottom"/>
          </w:tcPr>
          <w:p>
            <w:pPr>
              <w:spacing w:after="0"/>
              <w:rPr>
                <w:sz w:val="1"/>
                <w:szCs w:val="1"/>
                <w:color w:val="auto"/>
              </w:rPr>
            </w:pPr>
          </w:p>
        </w:tc>
      </w:tr>
      <w:tr>
        <w:trPr>
          <w:trHeight w:val="176"/>
        </w:trPr>
        <w:tc>
          <w:tcPr>
            <w:tcW w:w="7740" w:type="dxa"/>
            <w:vAlign w:val="bottom"/>
          </w:tcPr>
          <w:p>
            <w:pPr>
              <w:ind w:left="460"/>
              <w:spacing w:after="0"/>
              <w:rPr>
                <w:sz w:val="20"/>
                <w:szCs w:val="20"/>
                <w:color w:val="auto"/>
              </w:rPr>
            </w:pPr>
            <w:r>
              <w:rPr>
                <w:rFonts w:ascii="Arial" w:cs="Arial" w:eastAsia="Arial" w:hAnsi="Arial"/>
                <w:sz w:val="14"/>
                <w:szCs w:val="14"/>
                <w:color w:val="auto"/>
              </w:rPr>
              <w:t>Total equity</w:t>
            </w: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658,825</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2,294,171</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878,544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2,414,285</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Bakkt Holdings, Inc.</w:t>
      </w:r>
    </w:p>
    <w:p>
      <w:pPr>
        <w:jc w:val="center"/>
        <w:spacing w:after="0" w:line="219" w:lineRule="auto"/>
        <w:rPr>
          <w:sz w:val="20"/>
          <w:szCs w:val="20"/>
          <w:color w:val="auto"/>
        </w:rPr>
      </w:pPr>
      <w:r>
        <w:rPr>
          <w:rFonts w:ascii="Arial" w:cs="Arial" w:eastAsia="Arial" w:hAnsi="Arial"/>
          <w:sz w:val="18"/>
          <w:szCs w:val="18"/>
          <w:b w:val="1"/>
          <w:bCs w:val="1"/>
          <w:color w:val="auto"/>
        </w:rPr>
        <w:t>Consolidated Statements of Operations</w:t>
      </w:r>
    </w:p>
    <w:p>
      <w:pPr>
        <w:jc w:val="center"/>
        <w:spacing w:after="0" w:line="203" w:lineRule="auto"/>
        <w:rPr>
          <w:sz w:val="20"/>
          <w:szCs w:val="20"/>
          <w:color w:val="auto"/>
        </w:rPr>
      </w:pPr>
      <w:r>
        <w:rPr>
          <w:rFonts w:ascii="Arial" w:cs="Arial" w:eastAsia="Arial" w:hAnsi="Arial"/>
          <w:sz w:val="18"/>
          <w:szCs w:val="18"/>
          <w:b w:val="1"/>
          <w:b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Successor</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5"/>
              </w:rPr>
              <w:t>Predecessor</w:t>
            </w:r>
          </w:p>
        </w:tc>
        <w:tc>
          <w:tcPr>
            <w:tcW w:w="260" w:type="dxa"/>
            <w:vAlign w:val="bottom"/>
          </w:tcPr>
          <w:p>
            <w:pPr>
              <w:spacing w:after="0"/>
              <w:rPr>
                <w:sz w:val="18"/>
                <w:szCs w:val="18"/>
                <w:color w:val="auto"/>
              </w:rPr>
            </w:pPr>
          </w:p>
        </w:tc>
        <w:tc>
          <w:tcPr>
            <w:tcW w:w="1260" w:type="dxa"/>
            <w:vAlign w:val="bottom"/>
          </w:tcPr>
          <w:p>
            <w:pPr>
              <w:jc w:val="center"/>
              <w:ind w:right="179"/>
              <w:spacing w:after="0"/>
              <w:rPr>
                <w:sz w:val="20"/>
                <w:szCs w:val="20"/>
                <w:color w:val="auto"/>
              </w:rPr>
            </w:pPr>
            <w:r>
              <w:rPr>
                <w:rFonts w:ascii="Arial" w:cs="Arial" w:eastAsia="Arial" w:hAnsi="Arial"/>
                <w:sz w:val="16"/>
                <w:szCs w:val="16"/>
                <w:b w:val="1"/>
                <w:bCs w:val="1"/>
                <w:color w:val="auto"/>
                <w:w w:val="83"/>
              </w:rPr>
              <w:t>Successor</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right="122"/>
              <w:spacing w:after="0"/>
              <w:rPr>
                <w:sz w:val="20"/>
                <w:szCs w:val="20"/>
                <w:color w:val="auto"/>
              </w:rPr>
            </w:pPr>
            <w:r>
              <w:rPr>
                <w:rFonts w:ascii="Arial" w:cs="Arial" w:eastAsia="Arial" w:hAnsi="Arial"/>
                <w:sz w:val="16"/>
                <w:szCs w:val="16"/>
                <w:b w:val="1"/>
                <w:bCs w:val="1"/>
                <w:color w:val="auto"/>
                <w:w w:val="85"/>
              </w:rPr>
              <w:t>Predecessor</w:t>
            </w:r>
          </w:p>
        </w:tc>
        <w:tc>
          <w:tcPr>
            <w:tcW w:w="0" w:type="dxa"/>
            <w:vAlign w:val="bottom"/>
          </w:tcPr>
          <w:p>
            <w:pPr>
              <w:spacing w:after="0"/>
              <w:rPr>
                <w:sz w:val="1"/>
                <w:szCs w:val="1"/>
                <w:color w:val="auto"/>
              </w:rPr>
            </w:pPr>
          </w:p>
        </w:tc>
      </w:tr>
      <w:tr>
        <w:trPr>
          <w:trHeight w:val="155"/>
        </w:trPr>
        <w:tc>
          <w:tcPr>
            <w:tcW w:w="4700" w:type="dxa"/>
            <w:vAlign w:val="bottom"/>
          </w:tcPr>
          <w:p>
            <w:pPr>
              <w:spacing w:after="0"/>
              <w:rPr>
                <w:sz w:val="13"/>
                <w:szCs w:val="13"/>
                <w:color w:val="auto"/>
              </w:rPr>
            </w:pPr>
          </w:p>
        </w:tc>
        <w:tc>
          <w:tcPr>
            <w:tcW w:w="152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6"/>
                <w:szCs w:val="16"/>
                <w:b w:val="1"/>
                <w:bCs w:val="1"/>
                <w:color w:val="auto"/>
                <w:w w:val="93"/>
              </w:rPr>
              <w:t>Three Months Ended</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6"/>
                <w:szCs w:val="16"/>
                <w:b w:val="1"/>
                <w:bCs w:val="1"/>
                <w:color w:val="auto"/>
                <w:w w:val="93"/>
              </w:rPr>
              <w:t>Three Months Ended</w:t>
            </w:r>
          </w:p>
        </w:tc>
        <w:tc>
          <w:tcPr>
            <w:tcW w:w="100" w:type="dxa"/>
            <w:vAlign w:val="bottom"/>
          </w:tcPr>
          <w:p>
            <w:pPr>
              <w:spacing w:after="0"/>
              <w:rPr>
                <w:sz w:val="13"/>
                <w:szCs w:val="13"/>
                <w:color w:val="auto"/>
              </w:rPr>
            </w:pPr>
          </w:p>
        </w:tc>
        <w:tc>
          <w:tcPr>
            <w:tcW w:w="15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6"/>
                <w:szCs w:val="16"/>
                <w:b w:val="1"/>
                <w:bCs w:val="1"/>
                <w:color w:val="auto"/>
                <w:w w:val="93"/>
              </w:rPr>
              <w:t>Nine Months Ended</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September 30, 2022</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September 30, 2021</w:t>
            </w:r>
          </w:p>
        </w:tc>
        <w:tc>
          <w:tcPr>
            <w:tcW w:w="15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September 30, 2022</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September 30, 2021</w:t>
            </w:r>
          </w:p>
        </w:tc>
        <w:tc>
          <w:tcPr>
            <w:tcW w:w="0" w:type="dxa"/>
            <w:vAlign w:val="bottom"/>
          </w:tcPr>
          <w:p>
            <w:pPr>
              <w:spacing w:after="0"/>
              <w:rPr>
                <w:sz w:val="1"/>
                <w:szCs w:val="1"/>
                <w:color w:val="auto"/>
              </w:rPr>
            </w:pPr>
          </w:p>
        </w:tc>
      </w:tr>
      <w:tr>
        <w:trPr>
          <w:trHeight w:val="199"/>
        </w:trPr>
        <w:tc>
          <w:tcPr>
            <w:tcW w:w="4700" w:type="dxa"/>
            <w:vAlign w:val="bottom"/>
          </w:tcPr>
          <w:p>
            <w:pPr>
              <w:ind w:left="20"/>
              <w:spacing w:after="0"/>
              <w:rPr>
                <w:sz w:val="20"/>
                <w:szCs w:val="20"/>
                <w:color w:val="auto"/>
              </w:rPr>
            </w:pPr>
            <w:r>
              <w:rPr>
                <w:rFonts w:ascii="Arial" w:cs="Arial" w:eastAsia="Arial" w:hAnsi="Arial"/>
                <w:sz w:val="16"/>
                <w:szCs w:val="16"/>
                <w:color w:val="auto"/>
              </w:rPr>
              <w:t>Revenues:</w:t>
            </w: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70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w w:val="96"/>
              </w:rPr>
              <w:t>Net revenues (includes related party net revenues of $6 and $40,</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00" w:type="dxa"/>
            <w:vAlign w:val="bottom"/>
            <w:shd w:val="clear" w:color="auto" w:fill="CCEEFF"/>
          </w:tcPr>
          <w:p>
            <w:pPr>
              <w:ind w:left="240"/>
              <w:spacing w:after="0" w:line="162" w:lineRule="exact"/>
              <w:rPr>
                <w:sz w:val="20"/>
                <w:szCs w:val="20"/>
                <w:color w:val="auto"/>
              </w:rPr>
            </w:pPr>
            <w:r>
              <w:rPr>
                <w:rFonts w:ascii="Arial" w:cs="Arial" w:eastAsia="Arial" w:hAnsi="Arial"/>
                <w:sz w:val="16"/>
                <w:szCs w:val="16"/>
                <w:color w:val="auto"/>
              </w:rPr>
              <w:t>respectively, and affiliate net revenues of $(111) and $(154),</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12,860</w:t>
            </w:r>
          </w:p>
        </w:tc>
        <w:tc>
          <w:tcPr>
            <w:tcW w:w="120" w:type="dxa"/>
            <w:vAlign w:val="bottom"/>
            <w:tcBorders>
              <w:right w:val="single" w:sz="8" w:color="auto"/>
            </w:tcBorders>
            <w:shd w:val="clear" w:color="auto" w:fill="CCEEFF"/>
          </w:tcPr>
          <w:p>
            <w:pPr>
              <w:spacing w:after="0"/>
              <w:rPr>
                <w:sz w:val="14"/>
                <w:szCs w:val="14"/>
                <w:color w:val="auto"/>
              </w:rPr>
            </w:pPr>
          </w:p>
        </w:tc>
        <w:tc>
          <w:tcPr>
            <w:tcW w:w="280" w:type="dxa"/>
            <w:vAlign w:val="bottom"/>
            <w:gridSpan w:val="2"/>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9,142</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38,964</w:t>
            </w:r>
          </w:p>
        </w:tc>
        <w:tc>
          <w:tcPr>
            <w:tcW w:w="120" w:type="dxa"/>
            <w:vAlign w:val="bottom"/>
            <w:tcBorders>
              <w:right w:val="single" w:sz="8" w:color="auto"/>
            </w:tcBorders>
            <w:shd w:val="clear" w:color="auto" w:fill="CCEEFF"/>
          </w:tcPr>
          <w:p>
            <w:pPr>
              <w:spacing w:after="0"/>
              <w:rPr>
                <w:sz w:val="14"/>
                <w:szCs w:val="14"/>
                <w:color w:val="auto"/>
              </w:rPr>
            </w:pPr>
          </w:p>
        </w:tc>
        <w:tc>
          <w:tcPr>
            <w:tcW w:w="280" w:type="dxa"/>
            <w:vAlign w:val="bottom"/>
            <w:gridSpan w:val="2"/>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25,773</w:t>
            </w: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240"/>
              <w:spacing w:after="0" w:line="213" w:lineRule="exact"/>
              <w:rPr>
                <w:sz w:val="20"/>
                <w:szCs w:val="20"/>
                <w:color w:val="auto"/>
              </w:rPr>
            </w:pPr>
            <w:r>
              <w:rPr>
                <w:rFonts w:ascii="Arial" w:cs="Arial" w:eastAsia="Arial" w:hAnsi="Arial"/>
                <w:sz w:val="16"/>
                <w:szCs w:val="16"/>
                <w:color w:val="auto"/>
              </w:rPr>
              <w:t xml:space="preserve">respectively) </w:t>
            </w:r>
            <w:r>
              <w:rPr>
                <w:rFonts w:ascii="Arial" w:cs="Arial" w:eastAsia="Arial" w:hAnsi="Arial"/>
                <w:sz w:val="21"/>
                <w:szCs w:val="21"/>
                <w:color w:val="auto"/>
                <w:vertAlign w:val="superscript"/>
              </w:rPr>
              <w:t>(1)</w:t>
            </w:r>
          </w:p>
        </w:tc>
        <w:tc>
          <w:tcPr>
            <w:tcW w:w="26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Compensation and benefits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37,800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107,135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57,375</w:t>
            </w:r>
          </w:p>
        </w:tc>
        <w:tc>
          <w:tcPr>
            <w:tcW w:w="0" w:type="dxa"/>
            <w:vAlign w:val="bottom"/>
          </w:tcPr>
          <w:p>
            <w:pPr>
              <w:spacing w:after="0"/>
              <w:rPr>
                <w:sz w:val="1"/>
                <w:szCs w:val="1"/>
                <w:color w:val="auto"/>
              </w:rPr>
            </w:pPr>
          </w:p>
        </w:tc>
      </w:tr>
      <w:tr>
        <w:trPr>
          <w:trHeight w:val="213"/>
        </w:trPr>
        <w:tc>
          <w:tcPr>
            <w:tcW w:w="4700" w:type="dxa"/>
            <w:vAlign w:val="bottom"/>
          </w:tcPr>
          <w:p>
            <w:pPr>
              <w:ind w:left="240"/>
              <w:spacing w:after="0"/>
              <w:rPr>
                <w:sz w:val="20"/>
                <w:szCs w:val="20"/>
                <w:color w:val="auto"/>
              </w:rPr>
            </w:pPr>
            <w:r>
              <w:rPr>
                <w:rFonts w:ascii="Arial" w:cs="Arial" w:eastAsia="Arial" w:hAnsi="Arial"/>
                <w:sz w:val="16"/>
                <w:szCs w:val="16"/>
                <w:color w:val="auto"/>
              </w:rPr>
              <w:t>Professional services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2,707</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9,291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5,006</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Technology and communication</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9,851</w:t>
            </w:r>
          </w:p>
        </w:tc>
        <w:tc>
          <w:tcPr>
            <w:tcW w:w="0" w:type="dxa"/>
            <w:vAlign w:val="bottom"/>
          </w:tcPr>
          <w:p>
            <w:pPr>
              <w:spacing w:after="0"/>
              <w:rPr>
                <w:sz w:val="1"/>
                <w:szCs w:val="1"/>
                <w:color w:val="auto"/>
              </w:rPr>
            </w:pPr>
          </w:p>
        </w:tc>
      </w:tr>
      <w:tr>
        <w:trPr>
          <w:trHeight w:val="213"/>
        </w:trPr>
        <w:tc>
          <w:tcPr>
            <w:tcW w:w="4700" w:type="dxa"/>
            <w:vAlign w:val="bottom"/>
          </w:tcPr>
          <w:p>
            <w:pPr>
              <w:ind w:left="24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7,792</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26,995</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19,514</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Acquisition-related expenses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12,075</w:t>
            </w:r>
          </w:p>
        </w:tc>
        <w:tc>
          <w:tcPr>
            <w:tcW w:w="0" w:type="dxa"/>
            <w:vAlign w:val="bottom"/>
          </w:tcPr>
          <w:p>
            <w:pPr>
              <w:spacing w:after="0"/>
              <w:rPr>
                <w:sz w:val="1"/>
                <w:szCs w:val="1"/>
                <w:color w:val="auto"/>
              </w:rPr>
            </w:pPr>
          </w:p>
        </w:tc>
      </w:tr>
      <w:tr>
        <w:trPr>
          <w:trHeight w:val="213"/>
        </w:trPr>
        <w:tc>
          <w:tcPr>
            <w:tcW w:w="470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6,391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18,340</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9,098</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 xml:space="preserve">Related party expenses (affiliate in Predecessor periods)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w:t>
            </w:r>
          </w:p>
        </w:tc>
        <w:tc>
          <w:tcPr>
            <w:tcW w:w="0" w:type="dxa"/>
            <w:vAlign w:val="bottom"/>
          </w:tcPr>
          <w:p>
            <w:pPr>
              <w:spacing w:after="0"/>
              <w:rPr>
                <w:sz w:val="1"/>
                <w:szCs w:val="1"/>
                <w:color w:val="auto"/>
              </w:rPr>
            </w:pPr>
          </w:p>
        </w:tc>
      </w:tr>
      <w:tr>
        <w:trPr>
          <w:trHeight w:val="213"/>
        </w:trPr>
        <w:tc>
          <w:tcPr>
            <w:tcW w:w="4700" w:type="dxa"/>
            <w:vAlign w:val="bottom"/>
          </w:tcPr>
          <w:p>
            <w:pPr>
              <w:ind w:left="240"/>
              <w:spacing w:after="0"/>
              <w:rPr>
                <w:sz w:val="20"/>
                <w:szCs w:val="20"/>
                <w:color w:val="auto"/>
              </w:rPr>
            </w:pPr>
            <w:r>
              <w:rPr>
                <w:rFonts w:ascii="Arial" w:cs="Arial" w:eastAsia="Arial" w:hAnsi="Arial"/>
                <w:sz w:val="16"/>
                <w:szCs w:val="16"/>
                <w:color w:val="auto"/>
              </w:rPr>
              <w:t>Goodwill and intangible assets impairments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1,547,711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1,547,711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0" w:type="dxa"/>
            <w:vAlign w:val="bottom"/>
          </w:tcPr>
          <w:p>
            <w:pPr>
              <w:spacing w:after="0"/>
              <w:rPr>
                <w:sz w:val="1"/>
                <w:szCs w:val="1"/>
                <w:color w:val="auto"/>
              </w:rPr>
            </w:pPr>
          </w:p>
        </w:tc>
      </w:tr>
      <w:tr>
        <w:trPr>
          <w:trHeight w:val="207"/>
        </w:trPr>
        <w:tc>
          <w:tcPr>
            <w:tcW w:w="47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1,607,761</w:t>
            </w: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39,004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1,725,901</w:t>
            </w:r>
          </w:p>
        </w:tc>
        <w:tc>
          <w:tcPr>
            <w:tcW w:w="12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115,370</w:t>
            </w: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(1,594,901)</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(29,862)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(1,686,937)</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(89,597)</w:t>
            </w:r>
          </w:p>
        </w:tc>
        <w:tc>
          <w:tcPr>
            <w:tcW w:w="0" w:type="dxa"/>
            <w:vAlign w:val="bottom"/>
          </w:tcPr>
          <w:p>
            <w:pPr>
              <w:spacing w:after="0"/>
              <w:rPr>
                <w:sz w:val="1"/>
                <w:szCs w:val="1"/>
                <w:color w:val="auto"/>
              </w:rPr>
            </w:pPr>
          </w:p>
        </w:tc>
      </w:tr>
      <w:tr>
        <w:trPr>
          <w:trHeight w:val="207"/>
        </w:trPr>
        <w:tc>
          <w:tcPr>
            <w:tcW w:w="4700" w:type="dxa"/>
            <w:vAlign w:val="bottom"/>
          </w:tcPr>
          <w:p>
            <w:pPr>
              <w:ind w:left="240"/>
              <w:spacing w:after="0"/>
              <w:rPr>
                <w:sz w:val="20"/>
                <w:szCs w:val="20"/>
                <w:color w:val="auto"/>
              </w:rPr>
            </w:pPr>
            <w:r>
              <w:rPr>
                <w:rFonts w:ascii="Arial" w:cs="Arial" w:eastAsia="Arial" w:hAnsi="Arial"/>
                <w:sz w:val="16"/>
                <w:szCs w:val="16"/>
                <w:color w:val="auto"/>
              </w:rPr>
              <w:t>Interest income (expense), net</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623</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838</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Gain from change in fair value of warrant liability</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13"/>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(1,593,154)</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(1,672,353)</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(89,363)</w:t>
            </w:r>
          </w:p>
        </w:tc>
        <w:tc>
          <w:tcPr>
            <w:tcW w:w="0" w:type="dxa"/>
            <w:vAlign w:val="bottom"/>
          </w:tcPr>
          <w:p>
            <w:pPr>
              <w:spacing w:after="0"/>
              <w:rPr>
                <w:sz w:val="1"/>
                <w:szCs w:val="1"/>
                <w:color w:val="auto"/>
              </w:rPr>
            </w:pPr>
          </w:p>
        </w:tc>
      </w:tr>
      <w:tr>
        <w:trPr>
          <w:trHeight w:val="213"/>
        </w:trPr>
        <w:tc>
          <w:tcPr>
            <w:tcW w:w="4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Income tax benefit (expense)</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8,844</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32"/>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(1,592,548)</w:t>
            </w:r>
          </w:p>
        </w:tc>
        <w:tc>
          <w:tcPr>
            <w:tcW w:w="120" w:type="dxa"/>
            <w:vAlign w:val="bottom"/>
            <w:tcBorders>
              <w:right w:val="single" w:sz="8" w:color="auto"/>
            </w:tcBorders>
            <w:shd w:val="clear" w:color="auto" w:fill="CCEEFF"/>
          </w:tcPr>
          <w:p>
            <w:pPr>
              <w:spacing w:after="0"/>
              <w:rPr>
                <w:sz w:val="20"/>
                <w:szCs w:val="20"/>
                <w:color w:val="auto"/>
              </w:rPr>
            </w:pPr>
          </w:p>
        </w:tc>
        <w:tc>
          <w:tcPr>
            <w:tcW w:w="2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(28,847)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(1,663,509)</w:t>
            </w:r>
          </w:p>
        </w:tc>
        <w:tc>
          <w:tcPr>
            <w:tcW w:w="120" w:type="dxa"/>
            <w:vAlign w:val="bottom"/>
            <w:tcBorders>
              <w:right w:val="single" w:sz="8" w:color="auto"/>
            </w:tcBorders>
            <w:shd w:val="clear" w:color="auto" w:fill="CCEEFF"/>
          </w:tcPr>
          <w:p>
            <w:pPr>
              <w:spacing w:after="0"/>
              <w:rPr>
                <w:sz w:val="20"/>
                <w:szCs w:val="20"/>
                <w:color w:val="auto"/>
              </w:rPr>
            </w:pPr>
          </w:p>
        </w:tc>
        <w:tc>
          <w:tcPr>
            <w:tcW w:w="28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(89,558)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Less: Net loss attributable to noncontrolling interest</w:t>
            </w: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(1,124,416)</w:t>
            </w: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(1,184,352)</w:t>
            </w: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700" w:type="dxa"/>
            <w:vAlign w:val="bottom"/>
            <w:tcBorders>
              <w:bottom w:val="single" w:sz="8" w:color="CCEEFF"/>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right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right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Bakkt Holdings, Inc.</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(468,132)</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(479,157)</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7"/>
              </w:rPr>
              <w:t>Net loss per share attributable to Class A common stockholders: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440"/>
              <w:spacing w:after="0"/>
              <w:rPr>
                <w:sz w:val="20"/>
                <w:szCs w:val="20"/>
                <w:color w:val="auto"/>
              </w:rPr>
            </w:pPr>
            <w:r>
              <w:rPr>
                <w:rFonts w:ascii="Arial" w:cs="Arial" w:eastAsia="Arial" w:hAnsi="Arial"/>
                <w:sz w:val="16"/>
                <w:szCs w:val="16"/>
                <w:color w:val="auto"/>
              </w:rPr>
              <w:t>Basic</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(6.11)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a result of the Business Combination, ICE and its affiliates are no longer our affiliates. Refer to Note 7 for our related party disclosures.</w:t>
      </w:r>
    </w:p>
    <w:p>
      <w:pPr>
        <w:spacing w:after="0" w:line="41" w:lineRule="exact"/>
        <w:rPr>
          <w:rFonts w:ascii="Arial" w:cs="Arial" w:eastAsia="Arial" w:hAnsi="Arial"/>
          <w:sz w:val="14"/>
          <w:szCs w:val="14"/>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Basic and diluted loss per share is not presented for the Predecessor period due to lack of comparability with the Successor period.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The accompanying notes are an integral part of these consolidated financial statements</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Bakkt Holdings, Inc.</w:t>
      </w:r>
    </w:p>
    <w:p>
      <w:pPr>
        <w:jc w:val="center"/>
        <w:spacing w:after="0" w:line="219" w:lineRule="auto"/>
        <w:rPr>
          <w:sz w:val="20"/>
          <w:szCs w:val="20"/>
          <w:color w:val="auto"/>
        </w:rPr>
      </w:pPr>
      <w:r>
        <w:rPr>
          <w:rFonts w:ascii="Arial" w:cs="Arial" w:eastAsia="Arial" w:hAnsi="Arial"/>
          <w:sz w:val="18"/>
          <w:szCs w:val="18"/>
          <w:b w:val="1"/>
          <w:bCs w:val="1"/>
          <w:color w:val="231F20"/>
        </w:rPr>
        <w:t>Consolidated Statements of Comprehensive Loss</w:t>
      </w:r>
    </w:p>
    <w:p>
      <w:pPr>
        <w:jc w:val="center"/>
        <w:spacing w:after="0" w:line="203" w:lineRule="auto"/>
        <w:rPr>
          <w:sz w:val="20"/>
          <w:szCs w:val="20"/>
          <w:color w:val="auto"/>
        </w:rPr>
      </w:pPr>
      <w:r>
        <w:rPr>
          <w:rFonts w:ascii="Arial" w:cs="Arial" w:eastAsia="Arial" w:hAnsi="Arial"/>
          <w:sz w:val="18"/>
          <w:szCs w:val="18"/>
          <w:b w:val="1"/>
          <w:bCs w:val="1"/>
          <w:color w:val="231F20"/>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83"/>
              </w:rPr>
              <w:t>Successor</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5"/>
              </w:rPr>
              <w:t>Predecessor</w:t>
            </w:r>
          </w:p>
        </w:tc>
        <w:tc>
          <w:tcPr>
            <w:tcW w:w="240" w:type="dxa"/>
            <w:vAlign w:val="bottom"/>
          </w:tcPr>
          <w:p>
            <w:pPr>
              <w:spacing w:after="0"/>
              <w:rPr>
                <w:sz w:val="18"/>
                <w:szCs w:val="18"/>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81"/>
              </w:rPr>
              <w:t>Successor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39"/>
              <w:spacing w:after="0"/>
              <w:rPr>
                <w:sz w:val="20"/>
                <w:szCs w:val="20"/>
                <w:color w:val="auto"/>
              </w:rPr>
            </w:pPr>
            <w:r>
              <w:rPr>
                <w:rFonts w:ascii="Arial" w:cs="Arial" w:eastAsia="Arial" w:hAnsi="Arial"/>
                <w:sz w:val="16"/>
                <w:szCs w:val="16"/>
                <w:b w:val="1"/>
                <w:bCs w:val="1"/>
                <w:color w:val="auto"/>
                <w:w w:val="85"/>
              </w:rPr>
              <w:t>Predecessor</w:t>
            </w:r>
          </w:p>
        </w:tc>
        <w:tc>
          <w:tcPr>
            <w:tcW w:w="0" w:type="dxa"/>
            <w:vAlign w:val="bottom"/>
          </w:tcPr>
          <w:p>
            <w:pPr>
              <w:spacing w:after="0"/>
              <w:rPr>
                <w:sz w:val="1"/>
                <w:szCs w:val="1"/>
                <w:color w:val="auto"/>
              </w:rPr>
            </w:pPr>
          </w:p>
        </w:tc>
      </w:tr>
      <w:tr>
        <w:trPr>
          <w:trHeight w:val="156"/>
        </w:trPr>
        <w:tc>
          <w:tcPr>
            <w:tcW w:w="47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119"/>
              <w:spacing w:after="0" w:line="155" w:lineRule="exact"/>
              <w:rPr>
                <w:sz w:val="20"/>
                <w:szCs w:val="20"/>
                <w:color w:val="auto"/>
              </w:rPr>
            </w:pPr>
            <w:r>
              <w:rPr>
                <w:rFonts w:ascii="Arial" w:cs="Arial" w:eastAsia="Arial" w:hAnsi="Arial"/>
                <w:sz w:val="16"/>
                <w:szCs w:val="16"/>
                <w:b w:val="1"/>
                <w:bCs w:val="1"/>
                <w:color w:val="auto"/>
                <w:w w:val="93"/>
              </w:rPr>
              <w:t>Three Months</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119"/>
              <w:spacing w:after="0" w:line="155" w:lineRule="exact"/>
              <w:rPr>
                <w:sz w:val="20"/>
                <w:szCs w:val="20"/>
                <w:color w:val="auto"/>
              </w:rPr>
            </w:pPr>
            <w:r>
              <w:rPr>
                <w:rFonts w:ascii="Arial" w:cs="Arial" w:eastAsia="Arial" w:hAnsi="Arial"/>
                <w:sz w:val="16"/>
                <w:szCs w:val="16"/>
                <w:b w:val="1"/>
                <w:bCs w:val="1"/>
                <w:color w:val="auto"/>
                <w:w w:val="93"/>
              </w:rPr>
              <w:t>Three Months</w:t>
            </w:r>
          </w:p>
        </w:tc>
        <w:tc>
          <w:tcPr>
            <w:tcW w:w="240" w:type="dxa"/>
            <w:vAlign w:val="bottom"/>
          </w:tcPr>
          <w:p>
            <w:pPr>
              <w:spacing w:after="0"/>
              <w:rPr>
                <w:sz w:val="13"/>
                <w:szCs w:val="13"/>
                <w:color w:val="auto"/>
              </w:rPr>
            </w:pPr>
          </w:p>
        </w:tc>
        <w:tc>
          <w:tcPr>
            <w:tcW w:w="146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2"/>
              </w:rPr>
              <w:t>Nine Months Ended</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3"/>
              </w:rPr>
              <w:t>Nine Months Ended</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89"/>
              </w:rPr>
              <w:t>Ended</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420"/>
              <w:spacing w:after="0" w:line="162" w:lineRule="exact"/>
              <w:rPr>
                <w:sz w:val="20"/>
                <w:szCs w:val="20"/>
                <w:color w:val="auto"/>
              </w:rPr>
            </w:pPr>
            <w:r>
              <w:rPr>
                <w:rFonts w:ascii="Arial" w:cs="Arial" w:eastAsia="Arial" w:hAnsi="Arial"/>
                <w:sz w:val="16"/>
                <w:szCs w:val="16"/>
                <w:b w:val="1"/>
                <w:bCs w:val="1"/>
                <w:color w:val="auto"/>
                <w:w w:val="89"/>
              </w:rPr>
              <w:t>Ended</w:t>
            </w:r>
          </w:p>
        </w:tc>
        <w:tc>
          <w:tcPr>
            <w:tcW w:w="146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7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September 30, 2022</w:t>
            </w: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September 30, 2021</w:t>
            </w:r>
          </w:p>
        </w:tc>
        <w:tc>
          <w:tcPr>
            <w:tcW w:w="2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September 30, 2022</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September 30, 2021</w:t>
            </w:r>
          </w:p>
        </w:tc>
        <w:tc>
          <w:tcPr>
            <w:tcW w:w="0" w:type="dxa"/>
            <w:vAlign w:val="bottom"/>
          </w:tcPr>
          <w:p>
            <w:pPr>
              <w:spacing w:after="0"/>
              <w:rPr>
                <w:sz w:val="1"/>
                <w:szCs w:val="1"/>
                <w:color w:val="auto"/>
              </w:rPr>
            </w:pPr>
          </w:p>
        </w:tc>
      </w:tr>
      <w:tr>
        <w:trPr>
          <w:trHeight w:val="212"/>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(1,592,548)</w:t>
            </w:r>
          </w:p>
        </w:tc>
        <w:tc>
          <w:tcPr>
            <w:tcW w:w="100" w:type="dxa"/>
            <w:vAlign w:val="bottom"/>
            <w:tcBorders>
              <w:right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(28,847)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(1,663,509)</w:t>
            </w:r>
          </w:p>
        </w:tc>
        <w:tc>
          <w:tcPr>
            <w:tcW w:w="120" w:type="dxa"/>
            <w:vAlign w:val="bottom"/>
            <w:tcBorders>
              <w:right w:val="single" w:sz="8" w:color="auto"/>
            </w:tcBorders>
            <w:shd w:val="clear" w:color="auto" w:fill="CCEEFF"/>
          </w:tcPr>
          <w:p>
            <w:pPr>
              <w:spacing w:after="0"/>
              <w:rPr>
                <w:sz w:val="18"/>
                <w:szCs w:val="18"/>
                <w:color w:val="auto"/>
              </w:rPr>
            </w:pPr>
          </w:p>
        </w:tc>
        <w:tc>
          <w:tcPr>
            <w:tcW w:w="2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(89,558)</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color w:val="auto"/>
              </w:rPr>
              <w:t>Currency translation adjustment, net of tax</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(777)</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(971)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losses on available-for-sale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(1,593,490)</w:t>
            </w:r>
          </w:p>
        </w:tc>
        <w:tc>
          <w:tcPr>
            <w:tcW w:w="100" w:type="dxa"/>
            <w:vAlign w:val="bottom"/>
            <w:tcBorders>
              <w:right w:val="single" w:sz="8" w:color="auto"/>
            </w:tcBorders>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(29,038)</w:t>
            </w:r>
          </w:p>
        </w:tc>
        <w:tc>
          <w:tcPr>
            <w:tcW w:w="2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(1,664,658)</w:t>
            </w:r>
          </w:p>
        </w:tc>
        <w:tc>
          <w:tcPr>
            <w:tcW w:w="120" w:type="dxa"/>
            <w:vAlign w:val="bottom"/>
            <w:tcBorders>
              <w:right w:val="single" w:sz="8" w:color="auto"/>
            </w:tcBorders>
          </w:tcPr>
          <w:p>
            <w:pPr>
              <w:spacing w:after="0"/>
              <w:rPr>
                <w:sz w:val="18"/>
                <w:szCs w:val="18"/>
                <w:color w:val="auto"/>
              </w:rPr>
            </w:pPr>
          </w:p>
        </w:tc>
        <w:tc>
          <w:tcPr>
            <w:tcW w:w="28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(89,576)</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2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Comprehensive loss attributable to noncontrolling interest</w:t>
            </w: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(1,125,081)</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(1,185,157)</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4720" w:type="dxa"/>
            <w:vAlign w:val="bottom"/>
          </w:tcPr>
          <w:p>
            <w:pPr>
              <w:ind w:left="20"/>
              <w:spacing w:after="0"/>
              <w:rPr>
                <w:sz w:val="20"/>
                <w:szCs w:val="20"/>
                <w:color w:val="auto"/>
              </w:rPr>
            </w:pPr>
            <w:r>
              <w:rPr>
                <w:rFonts w:ascii="Arial" w:cs="Arial" w:eastAsia="Arial" w:hAnsi="Arial"/>
                <w:sz w:val="16"/>
                <w:szCs w:val="16"/>
                <w:color w:val="auto"/>
              </w:rPr>
              <w:t>Comprehensive loss attributable to Bakkt Holdings, Inc.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(468,409)</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(479,501)</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The accompanying notes are an integral part of these consolidated financial statements</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40" w:right="680" w:hanging="107"/>
        <w:spacing w:after="0" w:line="375" w:lineRule="auto"/>
        <w:rPr>
          <w:sz w:val="20"/>
          <w:szCs w:val="20"/>
          <w:color w:val="auto"/>
        </w:rPr>
      </w:pPr>
      <w:r>
        <w:rPr>
          <w:rFonts w:ascii="Arial" w:cs="Arial" w:eastAsia="Arial" w:hAnsi="Arial"/>
          <w:sz w:val="9"/>
          <w:szCs w:val="9"/>
          <w:color w:val="auto"/>
        </w:rPr>
        <w:t>Balance as of December 31, 2021 Share-based compensation Unit-based compensation</w:t>
      </w:r>
    </w:p>
    <w:p>
      <w:pPr>
        <w:spacing w:after="0" w:line="1" w:lineRule="exact"/>
        <w:rPr>
          <w:sz w:val="20"/>
          <w:szCs w:val="20"/>
          <w:color w:val="auto"/>
        </w:rPr>
      </w:pPr>
    </w:p>
    <w:p>
      <w:pPr>
        <w:ind w:left="140" w:right="100"/>
        <w:spacing w:after="0" w:line="307" w:lineRule="auto"/>
        <w:rPr>
          <w:sz w:val="20"/>
          <w:szCs w:val="20"/>
          <w:color w:val="auto"/>
        </w:rPr>
      </w:pPr>
      <w:r>
        <w:rPr>
          <w:rFonts w:ascii="Arial" w:cs="Arial" w:eastAsia="Arial" w:hAnsi="Arial"/>
          <w:sz w:val="11"/>
          <w:szCs w:val="11"/>
          <w:color w:val="auto"/>
        </w:rPr>
        <w:t>Forfeiture and cancellation of common units Exercise of warrants</w:t>
      </w:r>
    </w:p>
    <w:p>
      <w:pPr>
        <w:ind w:left="140" w:right="180"/>
        <w:spacing w:after="0" w:line="325" w:lineRule="auto"/>
        <w:rPr>
          <w:sz w:val="20"/>
          <w:szCs w:val="20"/>
          <w:color w:val="auto"/>
        </w:rPr>
      </w:pPr>
      <w:r>
        <w:rPr>
          <w:rFonts w:ascii="Arial" w:cs="Arial" w:eastAsia="Arial" w:hAnsi="Arial"/>
          <w:sz w:val="11"/>
          <w:szCs w:val="11"/>
          <w:color w:val="auto"/>
        </w:rPr>
        <w:t>Currency translation adjustment, net of tax Net loss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1"/>
          <w:szCs w:val="11"/>
          <w:color w:val="auto"/>
        </w:rPr>
        <w:t>Balance as of March 31, 2022</w:t>
      </w:r>
    </w:p>
    <w:p>
      <w:pPr>
        <w:spacing w:after="0" w:line="198" w:lineRule="exact"/>
        <w:rPr>
          <w:sz w:val="20"/>
          <w:szCs w:val="20"/>
          <w:color w:val="auto"/>
        </w:rPr>
      </w:pPr>
    </w:p>
    <w:p>
      <w:pPr>
        <w:ind w:left="140" w:right="880"/>
        <w:spacing w:after="0" w:line="375" w:lineRule="auto"/>
        <w:rPr>
          <w:sz w:val="20"/>
          <w:szCs w:val="20"/>
          <w:color w:val="auto"/>
        </w:rPr>
      </w:pPr>
      <w:r>
        <w:rPr>
          <w:rFonts w:ascii="Arial" w:cs="Arial" w:eastAsia="Arial" w:hAnsi="Arial"/>
          <w:sz w:val="9"/>
          <w:szCs w:val="9"/>
          <w:color w:val="auto"/>
        </w:rPr>
        <w:t>Share-based compensation Unit-based compensation</w:t>
      </w:r>
    </w:p>
    <w:p>
      <w:pPr>
        <w:spacing w:after="0" w:line="1" w:lineRule="exact"/>
        <w:rPr>
          <w:sz w:val="20"/>
          <w:szCs w:val="20"/>
          <w:color w:val="auto"/>
        </w:rPr>
      </w:pPr>
    </w:p>
    <w:p>
      <w:pPr>
        <w:ind w:left="140" w:right="100"/>
        <w:spacing w:after="0" w:line="307" w:lineRule="auto"/>
        <w:rPr>
          <w:sz w:val="20"/>
          <w:szCs w:val="20"/>
          <w:color w:val="auto"/>
        </w:rPr>
      </w:pPr>
      <w:r>
        <w:rPr>
          <w:rFonts w:ascii="Arial" w:cs="Arial" w:eastAsia="Arial" w:hAnsi="Arial"/>
          <w:sz w:val="11"/>
          <w:szCs w:val="11"/>
          <w:color w:val="auto"/>
        </w:rPr>
        <w:t>Forfeiture and cancellation of common units Exercise of warrants</w:t>
      </w:r>
    </w:p>
    <w:p>
      <w:pPr>
        <w:ind w:left="140" w:right="200"/>
        <w:spacing w:after="0" w:line="231" w:lineRule="auto"/>
        <w:rPr>
          <w:sz w:val="20"/>
          <w:szCs w:val="20"/>
          <w:color w:val="auto"/>
        </w:rPr>
      </w:pPr>
      <w:r>
        <w:rPr>
          <w:rFonts w:ascii="Arial" w:cs="Arial" w:eastAsia="Arial" w:hAnsi="Arial"/>
          <w:sz w:val="11"/>
          <w:szCs w:val="11"/>
          <w:color w:val="auto"/>
        </w:rPr>
        <w:t>Shares issued upon vesting of share-based awards, net of tax withholding</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9"/>
          <w:szCs w:val="9"/>
          <w:color w:val="auto"/>
        </w:rPr>
        <w:t>Exchange of Class V shares for Class A shares</w:t>
      </w:r>
    </w:p>
    <w:p>
      <w:pPr>
        <w:spacing w:after="0" w:line="59" w:lineRule="exact"/>
        <w:rPr>
          <w:sz w:val="20"/>
          <w:szCs w:val="20"/>
          <w:color w:val="auto"/>
        </w:rPr>
      </w:pPr>
    </w:p>
    <w:p>
      <w:pPr>
        <w:ind w:left="140" w:right="60"/>
        <w:spacing w:after="0" w:line="222" w:lineRule="auto"/>
        <w:rPr>
          <w:sz w:val="20"/>
          <w:szCs w:val="20"/>
          <w:color w:val="auto"/>
        </w:rPr>
      </w:pPr>
      <w:r>
        <w:rPr>
          <w:rFonts w:ascii="Arial" w:cs="Arial" w:eastAsia="Arial" w:hAnsi="Arial"/>
          <w:sz w:val="11"/>
          <w:szCs w:val="11"/>
          <w:color w:val="auto"/>
        </w:rPr>
        <w:t>Increase in deferred tax liability from step-up tax basis related to exchanges of Opco Common Units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Currency translation adjustment, net of tax</w:t>
      </w:r>
    </w:p>
    <w:p>
      <w:pPr>
        <w:spacing w:after="0" w:line="47" w:lineRule="exact"/>
        <w:rPr>
          <w:sz w:val="20"/>
          <w:szCs w:val="20"/>
          <w:color w:val="auto"/>
        </w:rPr>
      </w:pPr>
    </w:p>
    <w:p>
      <w:pPr>
        <w:ind w:left="140" w:right="520"/>
        <w:spacing w:after="0" w:line="231" w:lineRule="auto"/>
        <w:rPr>
          <w:sz w:val="20"/>
          <w:szCs w:val="20"/>
          <w:color w:val="auto"/>
        </w:rPr>
      </w:pPr>
      <w:r>
        <w:rPr>
          <w:rFonts w:ascii="Arial" w:cs="Arial" w:eastAsia="Arial" w:hAnsi="Arial"/>
          <w:sz w:val="11"/>
          <w:szCs w:val="11"/>
          <w:color w:val="auto"/>
        </w:rPr>
        <w:t>Unrealized losses on available-for-sale securities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Net loss</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1"/>
          <w:szCs w:val="11"/>
          <w:color w:val="auto"/>
        </w:rPr>
        <w:t>Balance as of June 30, 2022</w:t>
      </w:r>
    </w:p>
    <w:p>
      <w:pPr>
        <w:spacing w:after="0" w:line="198" w:lineRule="exact"/>
        <w:rPr>
          <w:sz w:val="20"/>
          <w:szCs w:val="20"/>
          <w:color w:val="auto"/>
        </w:rPr>
      </w:pPr>
    </w:p>
    <w:p>
      <w:pPr>
        <w:ind w:left="140" w:right="880"/>
        <w:spacing w:after="0" w:line="375" w:lineRule="auto"/>
        <w:rPr>
          <w:sz w:val="20"/>
          <w:szCs w:val="20"/>
          <w:color w:val="auto"/>
        </w:rPr>
      </w:pPr>
      <w:r>
        <w:rPr>
          <w:rFonts w:ascii="Arial" w:cs="Arial" w:eastAsia="Arial" w:hAnsi="Arial"/>
          <w:sz w:val="9"/>
          <w:szCs w:val="9"/>
          <w:color w:val="auto"/>
        </w:rPr>
        <w:t>Share-based compensation Unit-based compensation</w:t>
      </w:r>
    </w:p>
    <w:p>
      <w:pPr>
        <w:spacing w:after="0" w:line="1" w:lineRule="exact"/>
        <w:rPr>
          <w:sz w:val="20"/>
          <w:szCs w:val="20"/>
          <w:color w:val="auto"/>
        </w:rPr>
      </w:pPr>
    </w:p>
    <w:p>
      <w:pPr>
        <w:ind w:left="140" w:right="100"/>
        <w:spacing w:after="0" w:line="307" w:lineRule="auto"/>
        <w:rPr>
          <w:sz w:val="20"/>
          <w:szCs w:val="20"/>
          <w:color w:val="auto"/>
        </w:rPr>
      </w:pPr>
      <w:r>
        <w:rPr>
          <w:rFonts w:ascii="Arial" w:cs="Arial" w:eastAsia="Arial" w:hAnsi="Arial"/>
          <w:sz w:val="11"/>
          <w:szCs w:val="11"/>
          <w:color w:val="auto"/>
        </w:rPr>
        <w:t>Forfeiture and cancellation of common units Exercise of warrants</w:t>
      </w:r>
    </w:p>
    <w:p>
      <w:pPr>
        <w:ind w:left="140" w:right="200"/>
        <w:spacing w:after="0" w:line="231" w:lineRule="auto"/>
        <w:rPr>
          <w:sz w:val="20"/>
          <w:szCs w:val="20"/>
          <w:color w:val="auto"/>
        </w:rPr>
      </w:pPr>
      <w:r>
        <w:rPr>
          <w:rFonts w:ascii="Arial" w:cs="Arial" w:eastAsia="Arial" w:hAnsi="Arial"/>
          <w:sz w:val="11"/>
          <w:szCs w:val="11"/>
          <w:color w:val="auto"/>
        </w:rPr>
        <w:t>Shares issued upon vesting of share-based awards, net of tax withholding</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9"/>
          <w:szCs w:val="9"/>
          <w:color w:val="auto"/>
        </w:rPr>
        <w:t>Exchange of Class V shares for Class A shares</w:t>
      </w:r>
    </w:p>
    <w:p>
      <w:pPr>
        <w:spacing w:after="0" w:line="59" w:lineRule="exact"/>
        <w:rPr>
          <w:sz w:val="20"/>
          <w:szCs w:val="20"/>
          <w:color w:val="auto"/>
        </w:rPr>
      </w:pPr>
    </w:p>
    <w:p>
      <w:pPr>
        <w:ind w:left="140" w:right="160"/>
        <w:spacing w:after="0" w:line="222" w:lineRule="auto"/>
        <w:rPr>
          <w:sz w:val="20"/>
          <w:szCs w:val="20"/>
          <w:color w:val="auto"/>
        </w:rPr>
      </w:pPr>
      <w:r>
        <w:rPr>
          <w:rFonts w:ascii="Arial" w:cs="Arial" w:eastAsia="Arial" w:hAnsi="Arial"/>
          <w:sz w:val="11"/>
          <w:szCs w:val="11"/>
          <w:color w:val="auto"/>
        </w:rPr>
        <w:t>Decrease in deferred tax liability due to tax impact of goodwill and intangible assets impairments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Currency translation adjustment, net of tax</w:t>
      </w:r>
    </w:p>
    <w:p>
      <w:pPr>
        <w:spacing w:after="0" w:line="47" w:lineRule="exact"/>
        <w:rPr>
          <w:sz w:val="20"/>
          <w:szCs w:val="20"/>
          <w:color w:val="auto"/>
        </w:rPr>
      </w:pPr>
    </w:p>
    <w:p>
      <w:pPr>
        <w:ind w:left="140" w:right="520"/>
        <w:spacing w:after="0" w:line="231" w:lineRule="auto"/>
        <w:rPr>
          <w:sz w:val="20"/>
          <w:szCs w:val="20"/>
          <w:color w:val="auto"/>
        </w:rPr>
      </w:pPr>
      <w:r>
        <w:rPr>
          <w:rFonts w:ascii="Arial" w:cs="Arial" w:eastAsia="Arial" w:hAnsi="Arial"/>
          <w:sz w:val="11"/>
          <w:szCs w:val="11"/>
          <w:color w:val="auto"/>
        </w:rPr>
        <w:t>Unrealized losses on available-for-sale securities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Net loss</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1"/>
          <w:szCs w:val="11"/>
          <w:color w:val="auto"/>
        </w:rPr>
        <w:t>Balance as of September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220"/>
        <w:spacing w:after="0"/>
        <w:rPr>
          <w:sz w:val="20"/>
          <w:szCs w:val="20"/>
          <w:color w:val="auto"/>
        </w:rPr>
      </w:pPr>
      <w:r>
        <w:rPr>
          <w:rFonts w:ascii="Arial" w:cs="Arial" w:eastAsia="Arial" w:hAnsi="Arial"/>
          <w:sz w:val="18"/>
          <w:szCs w:val="18"/>
          <w:b w:val="1"/>
          <w:bCs w:val="1"/>
          <w:color w:val="231F20"/>
        </w:rPr>
        <w:t>Bakkt Holdings, Inc.</w:t>
      </w:r>
    </w:p>
    <w:p>
      <w:pPr>
        <w:jc w:val="center"/>
        <w:ind w:right="2220"/>
        <w:spacing w:after="0" w:line="219" w:lineRule="auto"/>
        <w:rPr>
          <w:sz w:val="20"/>
          <w:szCs w:val="20"/>
          <w:color w:val="auto"/>
        </w:rPr>
      </w:pPr>
      <w:r>
        <w:rPr>
          <w:rFonts w:ascii="Arial" w:cs="Arial" w:eastAsia="Arial" w:hAnsi="Arial"/>
          <w:sz w:val="18"/>
          <w:szCs w:val="18"/>
          <w:b w:val="1"/>
          <w:bCs w:val="1"/>
          <w:color w:val="231F20"/>
        </w:rPr>
        <w:t>Consolidated Statements of Changes in Stockholders’ Equity (Successor)</w:t>
      </w:r>
    </w:p>
    <w:p>
      <w:pPr>
        <w:jc w:val="center"/>
        <w:ind w:right="2220"/>
        <w:spacing w:after="0" w:line="203" w:lineRule="auto"/>
        <w:rPr>
          <w:sz w:val="20"/>
          <w:szCs w:val="20"/>
          <w:color w:val="auto"/>
        </w:rPr>
      </w:pPr>
      <w:r>
        <w:rPr>
          <w:rFonts w:ascii="Arial" w:cs="Arial" w:eastAsia="Arial" w:hAnsi="Arial"/>
          <w:sz w:val="18"/>
          <w:szCs w:val="18"/>
          <w:b w:val="1"/>
          <w:bCs w:val="1"/>
          <w:color w:val="231F20"/>
        </w:rPr>
        <w:t>(in thousands, except share data)</w:t>
      </w:r>
    </w:p>
    <w:p>
      <w:pPr>
        <w:spacing w:after="0" w:line="1" w:lineRule="exact"/>
        <w:rPr>
          <w:sz w:val="20"/>
          <w:szCs w:val="20"/>
          <w:color w:val="auto"/>
        </w:rPr>
      </w:pPr>
    </w:p>
    <w:p>
      <w:pPr>
        <w:jc w:val="center"/>
        <w:ind w:right="2220"/>
        <w:spacing w:after="0"/>
        <w:rPr>
          <w:sz w:val="20"/>
          <w:szCs w:val="20"/>
          <w:color w:val="auto"/>
        </w:rPr>
      </w:pPr>
      <w:r>
        <w:rPr>
          <w:rFonts w:ascii="Arial" w:cs="Arial" w:eastAsia="Arial" w:hAnsi="Arial"/>
          <w:sz w:val="18"/>
          <w:szCs w:val="18"/>
          <w:b w:val="1"/>
          <w:bCs w:val="1"/>
          <w:color w:val="231F20"/>
        </w:rPr>
        <w:t>(Unaudited)</w:t>
      </w:r>
    </w:p>
    <w:tbl>
      <w:tblPr>
        <w:tblLayout w:type="fixed"/>
        <w:tblInd w:w="0" w:type="dxa"/>
        <w:tblCellMar>
          <w:top w:w="0" w:type="dxa"/>
          <w:left w:w="0" w:type="dxa"/>
          <w:bottom w:w="0" w:type="dxa"/>
          <w:right w:w="0" w:type="dxa"/>
        </w:tblCellMar>
      </w:tblPr>
      <w:tr>
        <w:trPr>
          <w:trHeight w:val="115"/>
        </w:trPr>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7"/>
              </w:rPr>
              <w:t>Additional Paid-</w:t>
            </w:r>
          </w:p>
        </w:tc>
        <w:tc>
          <w:tcPr>
            <w:tcW w:w="180" w:type="dxa"/>
            <w:vAlign w:val="bottom"/>
          </w:tcPr>
          <w:p>
            <w:pPr>
              <w:spacing w:after="0"/>
              <w:rPr>
                <w:sz w:val="10"/>
                <w:szCs w:val="10"/>
                <w:color w:val="auto"/>
              </w:rPr>
            </w:pPr>
          </w:p>
        </w:tc>
        <w:tc>
          <w:tcPr>
            <w:tcW w:w="860" w:type="dxa"/>
            <w:vAlign w:val="bottom"/>
            <w:vMerge w:val="restart"/>
          </w:tcPr>
          <w:p>
            <w:pPr>
              <w:jc w:val="right"/>
              <w:ind w:right="146"/>
              <w:spacing w:after="0"/>
              <w:rPr>
                <w:sz w:val="20"/>
                <w:szCs w:val="20"/>
                <w:color w:val="auto"/>
              </w:rPr>
            </w:pPr>
            <w:r>
              <w:rPr>
                <w:rFonts w:ascii="Arial" w:cs="Arial" w:eastAsia="Arial" w:hAnsi="Arial"/>
                <w:sz w:val="11"/>
                <w:szCs w:val="11"/>
                <w:b w:val="1"/>
                <w:bCs w:val="1"/>
                <w:color w:val="auto"/>
                <w:w w:val="92"/>
              </w:rPr>
              <w:t>Accumulated</w:t>
            </w:r>
          </w:p>
        </w:tc>
        <w:tc>
          <w:tcPr>
            <w:tcW w:w="120" w:type="dxa"/>
            <w:vAlign w:val="bottom"/>
          </w:tcPr>
          <w:p>
            <w:pPr>
              <w:spacing w:after="0"/>
              <w:rPr>
                <w:sz w:val="10"/>
                <w:szCs w:val="10"/>
                <w:color w:val="auto"/>
              </w:rPr>
            </w:pPr>
          </w:p>
        </w:tc>
        <w:tc>
          <w:tcPr>
            <w:tcW w:w="1040" w:type="dxa"/>
            <w:vAlign w:val="bottom"/>
          </w:tcPr>
          <w:p>
            <w:pPr>
              <w:jc w:val="center"/>
              <w:ind w:right="46"/>
              <w:spacing w:after="0" w:line="115" w:lineRule="exact"/>
              <w:rPr>
                <w:sz w:val="20"/>
                <w:szCs w:val="20"/>
                <w:color w:val="auto"/>
              </w:rPr>
            </w:pPr>
            <w:r>
              <w:rPr>
                <w:rFonts w:ascii="Arial" w:cs="Arial" w:eastAsia="Arial" w:hAnsi="Arial"/>
                <w:sz w:val="11"/>
                <w:szCs w:val="11"/>
                <w:b w:val="1"/>
                <w:bCs w:val="1"/>
                <w:color w:val="auto"/>
                <w:w w:val="88"/>
              </w:rPr>
              <w:t>Accumulated Other</w:t>
            </w:r>
          </w:p>
        </w:tc>
        <w:tc>
          <w:tcPr>
            <w:tcW w:w="10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w w:val="93"/>
              </w:rPr>
              <w:t>Total Stockholders’</w:t>
            </w:r>
          </w:p>
        </w:tc>
        <w:tc>
          <w:tcPr>
            <w:tcW w:w="180" w:type="dxa"/>
            <w:vAlign w:val="bottom"/>
          </w:tcPr>
          <w:p>
            <w:pPr>
              <w:spacing w:after="0"/>
              <w:rPr>
                <w:sz w:val="10"/>
                <w:szCs w:val="10"/>
                <w:color w:val="auto"/>
              </w:rPr>
            </w:pPr>
          </w:p>
        </w:tc>
        <w:tc>
          <w:tcPr>
            <w:tcW w:w="96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w w:val="91"/>
              </w:rPr>
              <w:t>Noncontrolling</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20" w:type="dxa"/>
            <w:vAlign w:val="bottom"/>
            <w:gridSpan w:val="3"/>
            <w:vMerge w:val="restart"/>
          </w:tcPr>
          <w:p>
            <w:pPr>
              <w:jc w:val="right"/>
              <w:ind w:right="166"/>
              <w:spacing w:after="0"/>
              <w:rPr>
                <w:sz w:val="20"/>
                <w:szCs w:val="20"/>
                <w:color w:val="auto"/>
              </w:rPr>
            </w:pPr>
            <w:r>
              <w:rPr>
                <w:rFonts w:ascii="Arial" w:cs="Arial" w:eastAsia="Arial" w:hAnsi="Arial"/>
                <w:sz w:val="11"/>
                <w:szCs w:val="11"/>
                <w:b w:val="1"/>
                <w:bCs w:val="1"/>
                <w:color w:val="auto"/>
                <w:w w:val="95"/>
              </w:rPr>
              <w:t>Class A Common Stock</w:t>
            </w:r>
          </w:p>
        </w:tc>
        <w:tc>
          <w:tcPr>
            <w:tcW w:w="1500" w:type="dxa"/>
            <w:vAlign w:val="bottom"/>
            <w:gridSpan w:val="4"/>
            <w:vMerge w:val="restart"/>
          </w:tcPr>
          <w:p>
            <w:pPr>
              <w:ind w:left="160"/>
              <w:spacing w:after="0"/>
              <w:rPr>
                <w:sz w:val="20"/>
                <w:szCs w:val="20"/>
                <w:color w:val="auto"/>
              </w:rPr>
            </w:pPr>
            <w:r>
              <w:rPr>
                <w:rFonts w:ascii="Arial" w:cs="Arial" w:eastAsia="Arial" w:hAnsi="Arial"/>
                <w:sz w:val="11"/>
                <w:szCs w:val="11"/>
                <w:b w:val="1"/>
                <w:bCs w:val="1"/>
                <w:color w:val="auto"/>
              </w:rPr>
              <w:t>Class V Common Stock</w:t>
            </w:r>
          </w:p>
        </w:tc>
        <w:tc>
          <w:tcPr>
            <w:tcW w:w="8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0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88"/>
              </w:rPr>
              <w:t>Total Equity</w:t>
            </w:r>
          </w:p>
        </w:tc>
        <w:tc>
          <w:tcPr>
            <w:tcW w:w="0" w:type="dxa"/>
            <w:vAlign w:val="bottom"/>
          </w:tcPr>
          <w:p>
            <w:pPr>
              <w:spacing w:after="0"/>
              <w:rPr>
                <w:sz w:val="1"/>
                <w:szCs w:val="1"/>
                <w:color w:val="auto"/>
              </w:rPr>
            </w:pPr>
          </w:p>
        </w:tc>
      </w:tr>
      <w:tr>
        <w:trPr>
          <w:trHeight w:val="140"/>
        </w:trPr>
        <w:tc>
          <w:tcPr>
            <w:tcW w:w="1420" w:type="dxa"/>
            <w:vAlign w:val="bottom"/>
            <w:gridSpan w:val="3"/>
            <w:vMerge w:val="continue"/>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166"/>
              <w:spacing w:after="0"/>
              <w:rPr>
                <w:sz w:val="20"/>
                <w:szCs w:val="20"/>
                <w:color w:val="auto"/>
              </w:rPr>
            </w:pPr>
            <w:r>
              <w:rPr>
                <w:rFonts w:ascii="Arial" w:cs="Arial" w:eastAsia="Arial" w:hAnsi="Arial"/>
                <w:sz w:val="11"/>
                <w:szCs w:val="11"/>
                <w:b w:val="1"/>
                <w:bCs w:val="1"/>
                <w:color w:val="auto"/>
              </w:rPr>
              <w:t>in Capital</w:t>
            </w:r>
          </w:p>
        </w:tc>
        <w:tc>
          <w:tcPr>
            <w:tcW w:w="180" w:type="dxa"/>
            <w:vAlign w:val="bottom"/>
          </w:tcPr>
          <w:p>
            <w:pPr>
              <w:spacing w:after="0"/>
              <w:rPr>
                <w:sz w:val="12"/>
                <w:szCs w:val="12"/>
                <w:color w:val="auto"/>
              </w:rPr>
            </w:pPr>
          </w:p>
        </w:tc>
        <w:tc>
          <w:tcPr>
            <w:tcW w:w="860" w:type="dxa"/>
            <w:vAlign w:val="bottom"/>
          </w:tcPr>
          <w:p>
            <w:pPr>
              <w:jc w:val="right"/>
              <w:ind w:right="306"/>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1040" w:type="dxa"/>
            <w:vAlign w:val="bottom"/>
          </w:tcPr>
          <w:p>
            <w:pPr>
              <w:jc w:val="center"/>
              <w:ind w:right="46"/>
              <w:spacing w:after="0"/>
              <w:rPr>
                <w:sz w:val="20"/>
                <w:szCs w:val="20"/>
                <w:color w:val="auto"/>
              </w:rPr>
            </w:pPr>
            <w:r>
              <w:rPr>
                <w:rFonts w:ascii="Arial" w:cs="Arial" w:eastAsia="Arial" w:hAnsi="Arial"/>
                <w:sz w:val="11"/>
                <w:szCs w:val="11"/>
                <w:b w:val="1"/>
                <w:bCs w:val="1"/>
                <w:color w:val="auto"/>
                <w:w w:val="88"/>
              </w:rPr>
              <w:t>Income (Loss)</w:t>
            </w:r>
          </w:p>
        </w:tc>
        <w:tc>
          <w:tcPr>
            <w:tcW w:w="260" w:type="dxa"/>
            <w:vAlign w:val="bottom"/>
          </w:tcPr>
          <w:p>
            <w:pPr>
              <w:spacing w:after="0"/>
              <w:rPr>
                <w:sz w:val="12"/>
                <w:szCs w:val="12"/>
                <w:color w:val="auto"/>
              </w:rPr>
            </w:pPr>
          </w:p>
        </w:tc>
        <w:tc>
          <w:tcPr>
            <w:tcW w:w="800" w:type="dxa"/>
            <w:vAlign w:val="bottom"/>
          </w:tcPr>
          <w:p>
            <w:pPr>
              <w:jc w:val="right"/>
              <w:ind w:right="306"/>
              <w:spacing w:after="0"/>
              <w:rPr>
                <w:sz w:val="20"/>
                <w:szCs w:val="20"/>
                <w:color w:val="auto"/>
              </w:rPr>
            </w:pPr>
            <w:r>
              <w:rPr>
                <w:rFonts w:ascii="Arial" w:cs="Arial" w:eastAsia="Arial" w:hAnsi="Arial"/>
                <w:sz w:val="11"/>
                <w:szCs w:val="11"/>
                <w:b w:val="1"/>
                <w:bCs w:val="1"/>
                <w:color w:val="auto"/>
              </w:rPr>
              <w:t>Equity</w:t>
            </w:r>
          </w:p>
        </w:tc>
        <w:tc>
          <w:tcPr>
            <w:tcW w:w="180" w:type="dxa"/>
            <w:vAlign w:val="bottom"/>
          </w:tcPr>
          <w:p>
            <w:pPr>
              <w:spacing w:after="0"/>
              <w:rPr>
                <w:sz w:val="12"/>
                <w:szCs w:val="12"/>
                <w:color w:val="auto"/>
              </w:rPr>
            </w:pPr>
          </w:p>
        </w:tc>
        <w:tc>
          <w:tcPr>
            <w:tcW w:w="960" w:type="dxa"/>
            <w:vAlign w:val="bottom"/>
          </w:tcPr>
          <w:p>
            <w:pPr>
              <w:jc w:val="right"/>
              <w:ind w:right="346"/>
              <w:spacing w:after="0"/>
              <w:rPr>
                <w:sz w:val="20"/>
                <w:szCs w:val="20"/>
                <w:color w:val="auto"/>
              </w:rPr>
            </w:pPr>
            <w:r>
              <w:rPr>
                <w:rFonts w:ascii="Arial" w:cs="Arial" w:eastAsia="Arial" w:hAnsi="Arial"/>
                <w:sz w:val="11"/>
                <w:szCs w:val="11"/>
                <w:b w:val="1"/>
                <w:bCs w:val="1"/>
                <w:color w:val="auto"/>
              </w:rPr>
              <w:t>Interest</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760" w:type="dxa"/>
            <w:vAlign w:val="bottom"/>
          </w:tcPr>
          <w:p>
            <w:pPr>
              <w:jc w:val="right"/>
              <w:ind w:right="186"/>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1"/>
                <w:szCs w:val="11"/>
                <w:color w:val="auto"/>
              </w:rPr>
            </w:pPr>
          </w:p>
        </w:tc>
        <w:tc>
          <w:tcPr>
            <w:tcW w:w="460" w:type="dxa"/>
            <w:vAlign w:val="bottom"/>
          </w:tcPr>
          <w:p>
            <w:pPr>
              <w:jc w:val="right"/>
              <w:ind w:right="266"/>
              <w:spacing w:after="0"/>
              <w:rPr>
                <w:sz w:val="20"/>
                <w:szCs w:val="20"/>
                <w:color w:val="auto"/>
              </w:rPr>
            </w:pPr>
            <w:r>
              <w:rPr>
                <w:rFonts w:ascii="Arial" w:cs="Arial" w:eastAsia="Arial" w:hAnsi="Arial"/>
                <w:sz w:val="11"/>
                <w:szCs w:val="11"/>
                <w:b w:val="1"/>
                <w:bCs w:val="1"/>
                <w:color w:val="auto"/>
              </w:rPr>
              <w:t>$</w:t>
            </w:r>
          </w:p>
        </w:tc>
        <w:tc>
          <w:tcPr>
            <w:tcW w:w="860" w:type="dxa"/>
            <w:vAlign w:val="bottom"/>
          </w:tcPr>
          <w:p>
            <w:pPr>
              <w:jc w:val="right"/>
              <w:ind w:right="246"/>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rPr>
                <w:sz w:val="11"/>
                <w:szCs w:val="11"/>
                <w:color w:val="auto"/>
              </w:rPr>
            </w:pPr>
          </w:p>
        </w:tc>
        <w:tc>
          <w:tcPr>
            <w:tcW w:w="340" w:type="dxa"/>
            <w:vAlign w:val="bottom"/>
          </w:tcPr>
          <w:p>
            <w:pPr>
              <w:ind w:left="8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57,164,388</w:t>
            </w:r>
          </w:p>
        </w:tc>
        <w:tc>
          <w:tcPr>
            <w:tcW w:w="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206,271,792</w:t>
            </w:r>
          </w:p>
        </w:tc>
        <w:tc>
          <w:tcPr>
            <w:tcW w:w="2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tcPr>
          <w:p>
            <w:pPr>
              <w:ind w:left="180"/>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1"/>
                <w:szCs w:val="11"/>
                <w:color w:val="auto"/>
              </w:rPr>
            </w:pP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566,766</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(98,342)</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(55)</w:t>
            </w:r>
          </w:p>
        </w:tc>
        <w:tc>
          <w:tcPr>
            <w:tcW w:w="260" w:type="dxa"/>
            <w:vAlign w:val="bottom"/>
          </w:tcPr>
          <w:p>
            <w:pPr>
              <w:ind w:left="8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468,396</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1,825,775</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2,294,171</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13,190</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13,190</w:t>
            </w:r>
          </w:p>
        </w:tc>
        <w:tc>
          <w:tcPr>
            <w:tcW w:w="180" w:type="dxa"/>
            <w:vAlign w:val="bottom"/>
          </w:tcPr>
          <w:p>
            <w:pPr>
              <w:spacing w:after="0"/>
              <w:rPr>
                <w:sz w:val="14"/>
                <w:szCs w:val="14"/>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13,190</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1,118</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1,118</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(268,522)</w:t>
            </w:r>
          </w:p>
        </w:tc>
        <w:tc>
          <w:tcPr>
            <w:tcW w:w="20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(60)</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100</w:t>
            </w:r>
          </w:p>
        </w:tc>
        <w:tc>
          <w:tcPr>
            <w:tcW w:w="20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4"/>
                <w:szCs w:val="14"/>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41</w:t>
            </w:r>
          </w:p>
        </w:tc>
        <w:tc>
          <w:tcPr>
            <w:tcW w:w="26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41</w:t>
            </w:r>
          </w:p>
        </w:tc>
        <w:tc>
          <w:tcPr>
            <w:tcW w:w="180" w:type="dxa"/>
            <w:vAlign w:val="bottom"/>
          </w:tcPr>
          <w:p>
            <w:pPr>
              <w:spacing w:after="0"/>
              <w:rPr>
                <w:sz w:val="14"/>
                <w:szCs w:val="14"/>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147</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188</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(7,128)</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(7,128)</w:t>
            </w:r>
          </w:p>
        </w:tc>
        <w:tc>
          <w:tcPr>
            <w:tcW w:w="180" w:type="dxa"/>
            <w:vAlign w:val="bottom"/>
          </w:tcPr>
          <w:p>
            <w:pPr>
              <w:spacing w:after="0"/>
              <w:rPr>
                <w:sz w:val="14"/>
                <w:szCs w:val="14"/>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(36,193)</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(43,321)</w:t>
            </w:r>
          </w:p>
        </w:tc>
        <w:tc>
          <w:tcPr>
            <w:tcW w:w="0" w:type="dxa"/>
            <w:vAlign w:val="bottom"/>
          </w:tcPr>
          <w:p>
            <w:pPr>
              <w:spacing w:after="0"/>
              <w:rPr>
                <w:sz w:val="1"/>
                <w:szCs w:val="1"/>
                <w:color w:val="auto"/>
              </w:rPr>
            </w:pP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57,164,488</w:t>
            </w:r>
          </w:p>
        </w:tc>
        <w:tc>
          <w:tcPr>
            <w:tcW w:w="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206,003,270</w:t>
            </w:r>
          </w:p>
        </w:tc>
        <w:tc>
          <w:tcPr>
            <w:tcW w:w="2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tcPr>
          <w:p>
            <w:pPr>
              <w:ind w:left="180"/>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1"/>
                <w:szCs w:val="11"/>
                <w:color w:val="auto"/>
              </w:rPr>
            </w:pP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579,957</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(105,470)</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(14)</w:t>
            </w:r>
          </w:p>
        </w:tc>
        <w:tc>
          <w:tcPr>
            <w:tcW w:w="260" w:type="dxa"/>
            <w:vAlign w:val="bottom"/>
          </w:tcPr>
          <w:p>
            <w:pPr>
              <w:ind w:left="8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474,500</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1,790,787</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2,265,287</w:t>
            </w:r>
          </w:p>
        </w:tc>
        <w:tc>
          <w:tcPr>
            <w:tcW w:w="0" w:type="dxa"/>
            <w:vAlign w:val="bottom"/>
          </w:tcPr>
          <w:p>
            <w:pPr>
              <w:spacing w:after="0"/>
              <w:rPr>
                <w:sz w:val="1"/>
                <w:szCs w:val="1"/>
                <w:color w:val="auto"/>
              </w:rPr>
            </w:pP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3"/>
                <w:szCs w:val="2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3"/>
                <w:szCs w:val="23"/>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8,016</w:t>
            </w:r>
          </w:p>
        </w:tc>
        <w:tc>
          <w:tcPr>
            <w:tcW w:w="180" w:type="dxa"/>
            <w:vAlign w:val="bottom"/>
          </w:tcPr>
          <w:p>
            <w:pPr>
              <w:spacing w:after="0"/>
              <w:rPr>
                <w:sz w:val="23"/>
                <w:szCs w:val="23"/>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8,016</w:t>
            </w:r>
          </w:p>
        </w:tc>
        <w:tc>
          <w:tcPr>
            <w:tcW w:w="180" w:type="dxa"/>
            <w:vAlign w:val="bottom"/>
          </w:tcPr>
          <w:p>
            <w:pPr>
              <w:spacing w:after="0"/>
              <w:rPr>
                <w:sz w:val="23"/>
                <w:szCs w:val="23"/>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8,016</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1,063</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1,063</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(9,693)</w:t>
            </w:r>
          </w:p>
        </w:tc>
        <w:tc>
          <w:tcPr>
            <w:tcW w:w="20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(15)</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100</w:t>
            </w:r>
          </w:p>
        </w:tc>
        <w:tc>
          <w:tcPr>
            <w:tcW w:w="20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4"/>
                <w:szCs w:val="14"/>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70"/>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624,497</w:t>
            </w:r>
          </w:p>
        </w:tc>
        <w:tc>
          <w:tcPr>
            <w:tcW w:w="200" w:type="dxa"/>
            <w:vAlign w:val="bottom"/>
          </w:tcPr>
          <w:p>
            <w:pPr>
              <w:spacing w:after="0"/>
              <w:rPr>
                <w:sz w:val="23"/>
                <w:szCs w:val="2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3"/>
                <w:szCs w:val="23"/>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(2,586)</w:t>
            </w:r>
          </w:p>
        </w:tc>
        <w:tc>
          <w:tcPr>
            <w:tcW w:w="180" w:type="dxa"/>
            <w:vAlign w:val="bottom"/>
          </w:tcPr>
          <w:p>
            <w:pPr>
              <w:spacing w:after="0"/>
              <w:rPr>
                <w:sz w:val="23"/>
                <w:szCs w:val="23"/>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(2,586)</w:t>
            </w:r>
          </w:p>
        </w:tc>
        <w:tc>
          <w:tcPr>
            <w:tcW w:w="180" w:type="dxa"/>
            <w:vAlign w:val="bottom"/>
          </w:tcPr>
          <w:p>
            <w:pPr>
              <w:spacing w:after="0"/>
              <w:rPr>
                <w:sz w:val="23"/>
                <w:szCs w:val="23"/>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(2,586)</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17,554,639</w:t>
            </w:r>
          </w:p>
        </w:tc>
        <w:tc>
          <w:tcPr>
            <w:tcW w:w="20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(17,554,639)</w:t>
            </w:r>
          </w:p>
        </w:tc>
        <w:tc>
          <w:tcPr>
            <w:tcW w:w="200" w:type="dxa"/>
            <w:vAlign w:val="bottom"/>
          </w:tcPr>
          <w:p>
            <w:pPr>
              <w:spacing w:after="0"/>
              <w:rPr>
                <w:sz w:val="14"/>
                <w:szCs w:val="14"/>
                <w:color w:val="auto"/>
              </w:rPr>
            </w:pPr>
          </w:p>
        </w:tc>
        <w:tc>
          <w:tcPr>
            <w:tcW w:w="340" w:type="dxa"/>
            <w:vAlign w:val="bottom"/>
          </w:tcPr>
          <w:p>
            <w:pPr>
              <w:ind w:left="200"/>
              <w:spacing w:after="0"/>
              <w:rPr>
                <w:sz w:val="20"/>
                <w:szCs w:val="20"/>
                <w:color w:val="auto"/>
              </w:rPr>
            </w:pPr>
            <w:r>
              <w:rPr>
                <w:rFonts w:ascii="Arial" w:cs="Arial" w:eastAsia="Arial" w:hAnsi="Arial"/>
                <w:sz w:val="11"/>
                <w:szCs w:val="11"/>
                <w:color w:val="auto"/>
                <w:w w:val="88"/>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152,235</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152,235</w:t>
            </w:r>
          </w:p>
        </w:tc>
        <w:tc>
          <w:tcPr>
            <w:tcW w:w="180" w:type="dxa"/>
            <w:vAlign w:val="bottom"/>
          </w:tcPr>
          <w:p>
            <w:pPr>
              <w:spacing w:after="0"/>
              <w:rPr>
                <w:sz w:val="14"/>
                <w:szCs w:val="14"/>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(152,235)</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78"/>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4"/>
                <w:szCs w:val="2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4"/>
                <w:szCs w:val="24"/>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(19,063)</w:t>
            </w:r>
          </w:p>
        </w:tc>
        <w:tc>
          <w:tcPr>
            <w:tcW w:w="180" w:type="dxa"/>
            <w:vAlign w:val="bottom"/>
          </w:tcPr>
          <w:p>
            <w:pPr>
              <w:spacing w:after="0"/>
              <w:rPr>
                <w:sz w:val="24"/>
                <w:szCs w:val="24"/>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4"/>
                <w:szCs w:val="24"/>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(19,063)</w:t>
            </w:r>
          </w:p>
        </w:tc>
        <w:tc>
          <w:tcPr>
            <w:tcW w:w="180" w:type="dxa"/>
            <w:vAlign w:val="bottom"/>
          </w:tcPr>
          <w:p>
            <w:pPr>
              <w:spacing w:after="0"/>
              <w:rPr>
                <w:sz w:val="24"/>
                <w:szCs w:val="24"/>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(19,063)</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(105)</w:t>
            </w:r>
          </w:p>
        </w:tc>
        <w:tc>
          <w:tcPr>
            <w:tcW w:w="26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(105)</w:t>
            </w:r>
          </w:p>
        </w:tc>
        <w:tc>
          <w:tcPr>
            <w:tcW w:w="180" w:type="dxa"/>
            <w:vAlign w:val="bottom"/>
          </w:tcPr>
          <w:p>
            <w:pPr>
              <w:spacing w:after="0"/>
              <w:rPr>
                <w:sz w:val="14"/>
                <w:szCs w:val="14"/>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(277)</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(382)</w:t>
            </w:r>
          </w:p>
        </w:tc>
        <w:tc>
          <w:tcPr>
            <w:tcW w:w="0" w:type="dxa"/>
            <w:vAlign w:val="bottom"/>
          </w:tcPr>
          <w:p>
            <w:pPr>
              <w:spacing w:after="0"/>
              <w:rPr>
                <w:sz w:val="1"/>
                <w:szCs w:val="1"/>
                <w:color w:val="auto"/>
              </w:rPr>
            </w:pPr>
          </w:p>
        </w:tc>
      </w:tr>
      <w:tr>
        <w:trPr>
          <w:trHeight w:val="270"/>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3"/>
                <w:szCs w:val="2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3"/>
                <w:szCs w:val="23"/>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3"/>
                <w:szCs w:val="23"/>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260" w:type="dxa"/>
            <w:vAlign w:val="bottom"/>
          </w:tcPr>
          <w:p>
            <w:pPr>
              <w:spacing w:after="0"/>
              <w:rPr>
                <w:sz w:val="23"/>
                <w:szCs w:val="23"/>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23"/>
                <w:szCs w:val="23"/>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(9)</w:t>
            </w: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(3,897)</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(3,897)</w:t>
            </w:r>
          </w:p>
        </w:tc>
        <w:tc>
          <w:tcPr>
            <w:tcW w:w="180" w:type="dxa"/>
            <w:vAlign w:val="bottom"/>
          </w:tcPr>
          <w:p>
            <w:pPr>
              <w:spacing w:after="0"/>
              <w:rPr>
                <w:sz w:val="14"/>
                <w:szCs w:val="14"/>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(23,744)</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(27,641)</w:t>
            </w:r>
          </w:p>
        </w:tc>
        <w:tc>
          <w:tcPr>
            <w:tcW w:w="0" w:type="dxa"/>
            <w:vAlign w:val="bottom"/>
          </w:tcPr>
          <w:p>
            <w:pPr>
              <w:spacing w:after="0"/>
              <w:rPr>
                <w:sz w:val="1"/>
                <w:szCs w:val="1"/>
                <w:color w:val="auto"/>
              </w:rPr>
            </w:pP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75,343,724</w:t>
            </w:r>
          </w:p>
        </w:tc>
        <w:tc>
          <w:tcPr>
            <w:tcW w:w="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188,438,938</w:t>
            </w:r>
          </w:p>
        </w:tc>
        <w:tc>
          <w:tcPr>
            <w:tcW w:w="2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tcPr>
          <w:p>
            <w:pPr>
              <w:ind w:left="180"/>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1"/>
                <w:szCs w:val="11"/>
                <w:color w:val="auto"/>
              </w:rPr>
            </w:pP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718,560</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(109,367)</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(123)</w:t>
            </w:r>
          </w:p>
        </w:tc>
        <w:tc>
          <w:tcPr>
            <w:tcW w:w="260" w:type="dxa"/>
            <w:vAlign w:val="bottom"/>
          </w:tcPr>
          <w:p>
            <w:pPr>
              <w:ind w:left="8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609,097</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1,615,570</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2,224,667</w:t>
            </w:r>
          </w:p>
        </w:tc>
        <w:tc>
          <w:tcPr>
            <w:tcW w:w="0" w:type="dxa"/>
            <w:vAlign w:val="bottom"/>
          </w:tcPr>
          <w:p>
            <w:pPr>
              <w:spacing w:after="0"/>
              <w:rPr>
                <w:sz w:val="1"/>
                <w:szCs w:val="1"/>
                <w:color w:val="auto"/>
              </w:rPr>
            </w:pP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3"/>
                <w:szCs w:val="2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3"/>
                <w:szCs w:val="23"/>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7,657</w:t>
            </w:r>
          </w:p>
        </w:tc>
        <w:tc>
          <w:tcPr>
            <w:tcW w:w="180" w:type="dxa"/>
            <w:vAlign w:val="bottom"/>
          </w:tcPr>
          <w:p>
            <w:pPr>
              <w:spacing w:after="0"/>
              <w:rPr>
                <w:sz w:val="23"/>
                <w:szCs w:val="23"/>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7,657</w:t>
            </w:r>
          </w:p>
        </w:tc>
        <w:tc>
          <w:tcPr>
            <w:tcW w:w="180" w:type="dxa"/>
            <w:vAlign w:val="bottom"/>
          </w:tcPr>
          <w:p>
            <w:pPr>
              <w:spacing w:after="0"/>
              <w:rPr>
                <w:sz w:val="23"/>
                <w:szCs w:val="23"/>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7,657</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1,045</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1,045</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(34,929)</w:t>
            </w:r>
          </w:p>
        </w:tc>
        <w:tc>
          <w:tcPr>
            <w:tcW w:w="20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(110)</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(110)</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21</w:t>
            </w:r>
          </w:p>
        </w:tc>
        <w:tc>
          <w:tcPr>
            <w:tcW w:w="20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287,491</w:t>
            </w:r>
          </w:p>
        </w:tc>
        <w:tc>
          <w:tcPr>
            <w:tcW w:w="200" w:type="dxa"/>
            <w:vAlign w:val="bottom"/>
          </w:tcPr>
          <w:p>
            <w:pPr>
              <w:spacing w:after="0"/>
              <w:rPr>
                <w:sz w:val="23"/>
                <w:szCs w:val="2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3"/>
                <w:szCs w:val="23"/>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3"/>
                <w:szCs w:val="23"/>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3"/>
                <w:szCs w:val="23"/>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2,051,166</w:t>
            </w:r>
          </w:p>
        </w:tc>
        <w:tc>
          <w:tcPr>
            <w:tcW w:w="20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(2,051,166)</w:t>
            </w:r>
          </w:p>
        </w:tc>
        <w:tc>
          <w:tcPr>
            <w:tcW w:w="20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17,914</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17,914</w:t>
            </w:r>
          </w:p>
        </w:tc>
        <w:tc>
          <w:tcPr>
            <w:tcW w:w="180" w:type="dxa"/>
            <w:vAlign w:val="bottom"/>
          </w:tcPr>
          <w:p>
            <w:pPr>
              <w:spacing w:after="0"/>
              <w:rPr>
                <w:sz w:val="14"/>
                <w:szCs w:val="14"/>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(17,914)</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78"/>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4"/>
                <w:szCs w:val="2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4"/>
                <w:szCs w:val="24"/>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19,056</w:t>
            </w:r>
          </w:p>
        </w:tc>
        <w:tc>
          <w:tcPr>
            <w:tcW w:w="180" w:type="dxa"/>
            <w:vAlign w:val="bottom"/>
          </w:tcPr>
          <w:p>
            <w:pPr>
              <w:spacing w:after="0"/>
              <w:rPr>
                <w:sz w:val="24"/>
                <w:szCs w:val="24"/>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4"/>
                <w:szCs w:val="24"/>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19,056</w:t>
            </w:r>
          </w:p>
        </w:tc>
        <w:tc>
          <w:tcPr>
            <w:tcW w:w="180" w:type="dxa"/>
            <w:vAlign w:val="bottom"/>
          </w:tcPr>
          <w:p>
            <w:pPr>
              <w:spacing w:after="0"/>
              <w:rPr>
                <w:sz w:val="24"/>
                <w:szCs w:val="24"/>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19,056</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(228)</w:t>
            </w:r>
          </w:p>
        </w:tc>
        <w:tc>
          <w:tcPr>
            <w:tcW w:w="26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(228)</w:t>
            </w:r>
          </w:p>
        </w:tc>
        <w:tc>
          <w:tcPr>
            <w:tcW w:w="180" w:type="dxa"/>
            <w:vAlign w:val="bottom"/>
          </w:tcPr>
          <w:p>
            <w:pPr>
              <w:spacing w:after="0"/>
              <w:rPr>
                <w:sz w:val="14"/>
                <w:szCs w:val="14"/>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(549)</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(777)</w:t>
            </w:r>
          </w:p>
        </w:tc>
        <w:tc>
          <w:tcPr>
            <w:tcW w:w="0" w:type="dxa"/>
            <w:vAlign w:val="bottom"/>
          </w:tcPr>
          <w:p>
            <w:pPr>
              <w:spacing w:after="0"/>
              <w:rPr>
                <w:sz w:val="1"/>
                <w:szCs w:val="1"/>
                <w:color w:val="auto"/>
              </w:rPr>
            </w:pPr>
          </w:p>
        </w:tc>
      </w:tr>
      <w:tr>
        <w:trPr>
          <w:trHeight w:val="270"/>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3"/>
                <w:szCs w:val="23"/>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3"/>
                <w:szCs w:val="23"/>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3"/>
                <w:szCs w:val="23"/>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(49)</w:t>
            </w:r>
          </w:p>
        </w:tc>
        <w:tc>
          <w:tcPr>
            <w:tcW w:w="260" w:type="dxa"/>
            <w:vAlign w:val="bottom"/>
          </w:tcPr>
          <w:p>
            <w:pPr>
              <w:spacing w:after="0"/>
              <w:rPr>
                <w:sz w:val="23"/>
                <w:szCs w:val="23"/>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(49)</w:t>
            </w:r>
          </w:p>
        </w:tc>
        <w:tc>
          <w:tcPr>
            <w:tcW w:w="180" w:type="dxa"/>
            <w:vAlign w:val="bottom"/>
          </w:tcPr>
          <w:p>
            <w:pPr>
              <w:spacing w:after="0"/>
              <w:rPr>
                <w:sz w:val="23"/>
                <w:szCs w:val="23"/>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(116)</w:t>
            </w: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(165)</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4"/>
                <w:szCs w:val="14"/>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(468,132)</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(468,132)</w:t>
            </w:r>
          </w:p>
        </w:tc>
        <w:tc>
          <w:tcPr>
            <w:tcW w:w="180" w:type="dxa"/>
            <w:vAlign w:val="bottom"/>
          </w:tcPr>
          <w:p>
            <w:pPr>
              <w:spacing w:after="0"/>
              <w:rPr>
                <w:sz w:val="14"/>
                <w:szCs w:val="14"/>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(1,124,416)</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(1,592,548)</w:t>
            </w:r>
          </w:p>
        </w:tc>
        <w:tc>
          <w:tcPr>
            <w:tcW w:w="0" w:type="dxa"/>
            <w:vAlign w:val="bottom"/>
          </w:tcPr>
          <w:p>
            <w:pPr>
              <w:spacing w:after="0"/>
              <w:rPr>
                <w:sz w:val="1"/>
                <w:szCs w:val="1"/>
                <w:color w:val="auto"/>
              </w:rPr>
            </w:pP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77,682,402</w:t>
            </w:r>
          </w:p>
        </w:tc>
        <w:tc>
          <w:tcPr>
            <w:tcW w:w="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186,352,843</w:t>
            </w:r>
          </w:p>
        </w:tc>
        <w:tc>
          <w:tcPr>
            <w:tcW w:w="2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340" w:type="dxa"/>
            <w:vAlign w:val="bottom"/>
          </w:tcPr>
          <w:p>
            <w:pPr>
              <w:ind w:left="180"/>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1"/>
                <w:szCs w:val="11"/>
                <w:color w:val="auto"/>
              </w:rPr>
            </w:pP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763,187</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(577,499)</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(400)</w:t>
            </w:r>
          </w:p>
        </w:tc>
        <w:tc>
          <w:tcPr>
            <w:tcW w:w="260" w:type="dxa"/>
            <w:vAlign w:val="bottom"/>
          </w:tcPr>
          <w:p>
            <w:pPr>
              <w:ind w:left="8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185,315</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473,510</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658,825</w:t>
            </w:r>
          </w:p>
        </w:tc>
        <w:tc>
          <w:tcPr>
            <w:tcW w:w="0" w:type="dxa"/>
            <w:vAlign w:val="bottom"/>
          </w:tcPr>
          <w:p>
            <w:pPr>
              <w:spacing w:after="0"/>
              <w:rPr>
                <w:sz w:val="1"/>
                <w:szCs w:val="1"/>
                <w:color w:val="auto"/>
              </w:rPr>
            </w:pP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-3942715</wp:posOffset>
            </wp:positionV>
            <wp:extent cx="7132320" cy="111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-3728720</wp:posOffset>
            </wp:positionV>
            <wp:extent cx="713232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-3522345</wp:posOffset>
            </wp:positionV>
            <wp:extent cx="713232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-3316605</wp:posOffset>
            </wp:positionV>
            <wp:extent cx="713232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-3085465</wp:posOffset>
            </wp:positionV>
            <wp:extent cx="713232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-2879725</wp:posOffset>
            </wp:positionV>
            <wp:extent cx="7132320"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-2673985</wp:posOffset>
            </wp:positionV>
            <wp:extent cx="7132320"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-2399665</wp:posOffset>
            </wp:positionV>
            <wp:extent cx="7132320"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-2056765</wp:posOffset>
            </wp:positionV>
            <wp:extent cx="713232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-1782445</wp:posOffset>
            </wp:positionV>
            <wp:extent cx="7132320"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-1550670</wp:posOffset>
            </wp:positionV>
            <wp:extent cx="7132320"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-1344930</wp:posOffset>
            </wp:positionV>
            <wp:extent cx="7132320"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-1139190</wp:posOffset>
            </wp:positionV>
            <wp:extent cx="7132320" cy="102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-864870</wp:posOffset>
            </wp:positionV>
            <wp:extent cx="7132320"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-521970</wp:posOffset>
            </wp:positionV>
            <wp:extent cx="7132320"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-248285</wp:posOffset>
            </wp:positionV>
            <wp:extent cx="7132320"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60"/>
            <w:col w:w="9020"/>
          </w:cols>
          <w:pgMar w:left="320" w:top="111" w:right="3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Bakkt Holdings, Inc.</w:t>
      </w:r>
    </w:p>
    <w:p>
      <w:pPr>
        <w:jc w:val="center"/>
        <w:spacing w:after="0" w:line="219" w:lineRule="auto"/>
        <w:rPr>
          <w:sz w:val="20"/>
          <w:szCs w:val="20"/>
          <w:color w:val="auto"/>
        </w:rPr>
      </w:pPr>
      <w:r>
        <w:rPr>
          <w:rFonts w:ascii="Arial" w:cs="Arial" w:eastAsia="Arial" w:hAnsi="Arial"/>
          <w:sz w:val="18"/>
          <w:szCs w:val="18"/>
          <w:b w:val="1"/>
          <w:bCs w:val="1"/>
          <w:color w:val="231F20"/>
        </w:rPr>
        <w:t>Consolidated Statements of Changes in Members’ Equity and Mezzanine Equity (Predecessor)</w:t>
      </w:r>
    </w:p>
    <w:p>
      <w:pPr>
        <w:jc w:val="center"/>
        <w:spacing w:after="0" w:line="203" w:lineRule="auto"/>
        <w:rPr>
          <w:sz w:val="20"/>
          <w:szCs w:val="20"/>
          <w:color w:val="auto"/>
        </w:rPr>
      </w:pPr>
      <w:r>
        <w:rPr>
          <w:rFonts w:ascii="Arial" w:cs="Arial" w:eastAsia="Arial" w:hAnsi="Arial"/>
          <w:sz w:val="18"/>
          <w:szCs w:val="18"/>
          <w:b w:val="1"/>
          <w:bCs w:val="1"/>
          <w:color w:val="231F20"/>
        </w:rPr>
        <w:t>(in thousands, except unit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jc w:val="center"/>
              <w:ind w:right="75"/>
              <w:spacing w:after="0"/>
              <w:rPr>
                <w:sz w:val="20"/>
                <w:szCs w:val="20"/>
                <w:color w:val="auto"/>
              </w:rPr>
            </w:pPr>
            <w:r>
              <w:rPr>
                <w:rFonts w:ascii="Arial" w:cs="Arial" w:eastAsia="Arial" w:hAnsi="Arial"/>
                <w:sz w:val="9"/>
                <w:szCs w:val="9"/>
                <w:b w:val="1"/>
                <w:bCs w:val="1"/>
                <w:color w:val="auto"/>
                <w:w w:val="88"/>
              </w:rPr>
              <w:t>Accumulated</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jc w:val="center"/>
              <w:ind w:right="75"/>
              <w:spacing w:after="0" w:line="95" w:lineRule="exact"/>
              <w:rPr>
                <w:sz w:val="20"/>
                <w:szCs w:val="20"/>
                <w:color w:val="auto"/>
              </w:rPr>
            </w:pPr>
            <w:r>
              <w:rPr>
                <w:rFonts w:ascii="Arial" w:cs="Arial" w:eastAsia="Arial" w:hAnsi="Arial"/>
                <w:sz w:val="9"/>
                <w:szCs w:val="9"/>
                <w:b w:val="1"/>
                <w:bCs w:val="1"/>
                <w:color w:val="auto"/>
                <w:w w:val="91"/>
              </w:rPr>
              <w:t>Other</w:t>
            </w:r>
          </w:p>
        </w:tc>
        <w:tc>
          <w:tcPr>
            <w:tcW w:w="100" w:type="dxa"/>
            <w:vAlign w:val="bottom"/>
          </w:tcPr>
          <w:p>
            <w:pPr>
              <w:spacing w:after="0"/>
              <w:rPr>
                <w:sz w:val="8"/>
                <w:szCs w:val="8"/>
                <w:color w:val="auto"/>
              </w:rPr>
            </w:pPr>
          </w:p>
        </w:tc>
        <w:tc>
          <w:tcPr>
            <w:tcW w:w="600" w:type="dxa"/>
            <w:vAlign w:val="bottom"/>
          </w:tcPr>
          <w:p>
            <w:pPr>
              <w:jc w:val="center"/>
              <w:ind w:right="115"/>
              <w:spacing w:after="0" w:line="95" w:lineRule="exact"/>
              <w:rPr>
                <w:sz w:val="20"/>
                <w:szCs w:val="20"/>
                <w:color w:val="auto"/>
              </w:rPr>
            </w:pPr>
            <w:r>
              <w:rPr>
                <w:rFonts w:ascii="Arial" w:cs="Arial" w:eastAsia="Arial" w:hAnsi="Arial"/>
                <w:sz w:val="9"/>
                <w:szCs w:val="9"/>
                <w:b w:val="1"/>
                <w:bCs w:val="1"/>
                <w:color w:val="auto"/>
                <w:w w:val="92"/>
              </w:rPr>
              <w:t>Total</w:t>
            </w: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jc w:val="center"/>
              <w:ind w:right="55"/>
              <w:spacing w:after="0" w:line="95" w:lineRule="exact"/>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90"/>
        </w:trPr>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jc w:val="right"/>
              <w:ind w:right="95"/>
              <w:spacing w:after="0" w:line="90" w:lineRule="exact"/>
              <w:rPr>
                <w:sz w:val="20"/>
                <w:szCs w:val="20"/>
                <w:color w:val="auto"/>
              </w:rPr>
            </w:pPr>
            <w:r>
              <w:rPr>
                <w:rFonts w:ascii="Arial" w:cs="Arial" w:eastAsia="Arial" w:hAnsi="Arial"/>
                <w:sz w:val="9"/>
                <w:szCs w:val="9"/>
                <w:b w:val="1"/>
                <w:bCs w:val="1"/>
                <w:color w:val="auto"/>
                <w:w w:val="88"/>
              </w:rPr>
              <w:t>Accumulated</w:t>
            </w:r>
          </w:p>
        </w:tc>
        <w:tc>
          <w:tcPr>
            <w:tcW w:w="120" w:type="dxa"/>
            <w:vAlign w:val="bottom"/>
          </w:tcPr>
          <w:p>
            <w:pPr>
              <w:spacing w:after="0"/>
              <w:rPr>
                <w:sz w:val="7"/>
                <w:szCs w:val="7"/>
                <w:color w:val="auto"/>
              </w:rPr>
            </w:pPr>
          </w:p>
        </w:tc>
        <w:tc>
          <w:tcPr>
            <w:tcW w:w="700" w:type="dxa"/>
            <w:vAlign w:val="bottom"/>
          </w:tcPr>
          <w:p>
            <w:pPr>
              <w:jc w:val="center"/>
              <w:ind w:right="75"/>
              <w:spacing w:after="0" w:line="90" w:lineRule="exact"/>
              <w:rPr>
                <w:sz w:val="20"/>
                <w:szCs w:val="20"/>
                <w:color w:val="auto"/>
              </w:rPr>
            </w:pPr>
            <w:r>
              <w:rPr>
                <w:rFonts w:ascii="Arial" w:cs="Arial" w:eastAsia="Arial" w:hAnsi="Arial"/>
                <w:sz w:val="9"/>
                <w:szCs w:val="9"/>
                <w:b w:val="1"/>
                <w:bCs w:val="1"/>
                <w:color w:val="auto"/>
                <w:w w:val="85"/>
              </w:rPr>
              <w:t>Comprehensive</w:t>
            </w:r>
          </w:p>
        </w:tc>
        <w:tc>
          <w:tcPr>
            <w:tcW w:w="100" w:type="dxa"/>
            <w:vAlign w:val="bottom"/>
          </w:tcPr>
          <w:p>
            <w:pPr>
              <w:spacing w:after="0"/>
              <w:rPr>
                <w:sz w:val="7"/>
                <w:szCs w:val="7"/>
                <w:color w:val="auto"/>
              </w:rPr>
            </w:pPr>
          </w:p>
        </w:tc>
        <w:tc>
          <w:tcPr>
            <w:tcW w:w="600" w:type="dxa"/>
            <w:vAlign w:val="bottom"/>
          </w:tcPr>
          <w:p>
            <w:pPr>
              <w:jc w:val="center"/>
              <w:ind w:right="135"/>
              <w:spacing w:after="0" w:line="90" w:lineRule="exact"/>
              <w:rPr>
                <w:sz w:val="20"/>
                <w:szCs w:val="20"/>
                <w:color w:val="auto"/>
              </w:rPr>
            </w:pPr>
            <w:r>
              <w:rPr>
                <w:rFonts w:ascii="Arial" w:cs="Arial" w:eastAsia="Arial" w:hAnsi="Arial"/>
                <w:sz w:val="9"/>
                <w:szCs w:val="9"/>
                <w:b w:val="1"/>
                <w:bCs w:val="1"/>
                <w:color w:val="auto"/>
                <w:w w:val="91"/>
              </w:rPr>
              <w:t>Members'</w:t>
            </w: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jc w:val="center"/>
              <w:ind w:right="55"/>
              <w:spacing w:after="0" w:line="90" w:lineRule="exact"/>
              <w:rPr>
                <w:sz w:val="20"/>
                <w:szCs w:val="20"/>
                <w:color w:val="auto"/>
              </w:rPr>
            </w:pPr>
            <w:r>
              <w:rPr>
                <w:rFonts w:ascii="Arial" w:cs="Arial" w:eastAsia="Arial" w:hAnsi="Arial"/>
                <w:sz w:val="9"/>
                <w:szCs w:val="9"/>
                <w:b w:val="1"/>
                <w:bCs w:val="1"/>
                <w:color w:val="auto"/>
                <w:w w:val="88"/>
              </w:rPr>
              <w:t>Mezzanine</w:t>
            </w:r>
          </w:p>
        </w:tc>
        <w:tc>
          <w:tcPr>
            <w:tcW w:w="0" w:type="dxa"/>
            <w:vAlign w:val="bottom"/>
          </w:tcPr>
          <w:p>
            <w:pPr>
              <w:spacing w:after="0"/>
              <w:rPr>
                <w:sz w:val="1"/>
                <w:szCs w:val="1"/>
                <w:color w:val="auto"/>
              </w:rPr>
            </w:pPr>
          </w:p>
        </w:tc>
      </w:tr>
      <w:tr>
        <w:trPr>
          <w:trHeight w:val="128"/>
        </w:trPr>
        <w:tc>
          <w:tcPr>
            <w:tcW w:w="640" w:type="dxa"/>
            <w:vAlign w:val="bottom"/>
          </w:tcPr>
          <w:p>
            <w:pPr>
              <w:spacing w:after="0"/>
              <w:rPr>
                <w:sz w:val="11"/>
                <w:szCs w:val="11"/>
                <w:color w:val="auto"/>
              </w:rPr>
            </w:pPr>
          </w:p>
        </w:tc>
        <w:tc>
          <w:tcPr>
            <w:tcW w:w="128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9"/>
                <w:szCs w:val="9"/>
                <w:b w:val="1"/>
                <w:bCs w:val="1"/>
                <w:color w:val="auto"/>
              </w:rPr>
              <w:t>Class A Voting Units</w:t>
            </w:r>
          </w:p>
        </w:tc>
        <w:tc>
          <w:tcPr>
            <w:tcW w:w="1260" w:type="dxa"/>
            <w:vAlign w:val="bottom"/>
            <w:tcBorders>
              <w:bottom w:val="single" w:sz="8" w:color="auto"/>
            </w:tcBorders>
            <w:gridSpan w:val="3"/>
          </w:tcPr>
          <w:p>
            <w:pPr>
              <w:ind w:left="220"/>
              <w:spacing w:after="0"/>
              <w:rPr>
                <w:sz w:val="20"/>
                <w:szCs w:val="20"/>
                <w:color w:val="auto"/>
              </w:rPr>
            </w:pPr>
            <w:r>
              <w:rPr>
                <w:rFonts w:ascii="Arial" w:cs="Arial" w:eastAsia="Arial" w:hAnsi="Arial"/>
                <w:sz w:val="9"/>
                <w:szCs w:val="9"/>
                <w:b w:val="1"/>
                <w:bCs w:val="1"/>
                <w:color w:val="auto"/>
              </w:rPr>
              <w:t>Class B Voting Units</w:t>
            </w:r>
          </w:p>
        </w:tc>
        <w:tc>
          <w:tcPr>
            <w:tcW w:w="1180" w:type="dxa"/>
            <w:vAlign w:val="bottom"/>
            <w:tcBorders>
              <w:bottom w:val="single" w:sz="8" w:color="auto"/>
            </w:tcBorders>
            <w:gridSpan w:val="3"/>
          </w:tcPr>
          <w:p>
            <w:pPr>
              <w:ind w:left="220"/>
              <w:spacing w:after="0"/>
              <w:rPr>
                <w:sz w:val="20"/>
                <w:szCs w:val="20"/>
                <w:color w:val="auto"/>
              </w:rPr>
            </w:pPr>
            <w:r>
              <w:rPr>
                <w:rFonts w:ascii="Arial" w:cs="Arial" w:eastAsia="Arial" w:hAnsi="Arial"/>
                <w:sz w:val="9"/>
                <w:szCs w:val="9"/>
                <w:b w:val="1"/>
                <w:bCs w:val="1"/>
                <w:color w:val="auto"/>
              </w:rPr>
              <w:t>Class B Warrants</w:t>
            </w:r>
          </w:p>
        </w:tc>
        <w:tc>
          <w:tcPr>
            <w:tcW w:w="1300" w:type="dxa"/>
            <w:vAlign w:val="bottom"/>
            <w:tcBorders>
              <w:bottom w:val="single" w:sz="8" w:color="auto"/>
            </w:tcBorders>
            <w:gridSpan w:val="3"/>
          </w:tcPr>
          <w:p>
            <w:pPr>
              <w:ind w:left="220"/>
              <w:spacing w:after="0"/>
              <w:rPr>
                <w:sz w:val="20"/>
                <w:szCs w:val="20"/>
                <w:color w:val="auto"/>
              </w:rPr>
            </w:pPr>
            <w:r>
              <w:rPr>
                <w:rFonts w:ascii="Arial" w:cs="Arial" w:eastAsia="Arial" w:hAnsi="Arial"/>
                <w:sz w:val="9"/>
                <w:szCs w:val="9"/>
                <w:b w:val="1"/>
                <w:bCs w:val="1"/>
                <w:color w:val="auto"/>
              </w:rPr>
              <w:t>Class C Voting Units</w:t>
            </w:r>
          </w:p>
        </w:tc>
        <w:tc>
          <w:tcPr>
            <w:tcW w:w="1080" w:type="dxa"/>
            <w:vAlign w:val="bottom"/>
            <w:tcBorders>
              <w:bottom w:val="single" w:sz="8" w:color="auto"/>
            </w:tcBorders>
            <w:gridSpan w:val="2"/>
          </w:tcPr>
          <w:p>
            <w:pPr>
              <w:ind w:left="380"/>
              <w:spacing w:after="0"/>
              <w:rPr>
                <w:sz w:val="20"/>
                <w:szCs w:val="20"/>
                <w:color w:val="auto"/>
              </w:rPr>
            </w:pPr>
            <w:r>
              <w:rPr>
                <w:rFonts w:ascii="Arial" w:cs="Arial" w:eastAsia="Arial" w:hAnsi="Arial"/>
                <w:sz w:val="9"/>
                <w:szCs w:val="9"/>
                <w:b w:val="1"/>
                <w:bCs w:val="1"/>
                <w:color w:val="auto"/>
                <w:w w:val="91"/>
              </w:rPr>
              <w:t>Class C Warrants</w:t>
            </w:r>
          </w:p>
        </w:tc>
        <w:tc>
          <w:tcPr>
            <w:tcW w:w="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9"/>
                <w:szCs w:val="9"/>
                <w:b w:val="1"/>
                <w:bCs w:val="1"/>
                <w:color w:val="auto"/>
              </w:rPr>
              <w:t>Deficit</w:t>
            </w: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75"/>
              <w:spacing w:after="0"/>
              <w:rPr>
                <w:sz w:val="20"/>
                <w:szCs w:val="20"/>
                <w:color w:val="auto"/>
              </w:rPr>
            </w:pPr>
            <w:r>
              <w:rPr>
                <w:rFonts w:ascii="Arial" w:cs="Arial" w:eastAsia="Arial" w:hAnsi="Arial"/>
                <w:sz w:val="9"/>
                <w:szCs w:val="9"/>
                <w:b w:val="1"/>
                <w:bCs w:val="1"/>
                <w:color w:val="auto"/>
                <w:w w:val="95"/>
              </w:rPr>
              <w:t>Income</w:t>
            </w: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135"/>
              <w:spacing w:after="0"/>
              <w:rPr>
                <w:sz w:val="20"/>
                <w:szCs w:val="20"/>
                <w:color w:val="auto"/>
              </w:rPr>
            </w:pPr>
            <w:r>
              <w:rPr>
                <w:rFonts w:ascii="Arial" w:cs="Arial" w:eastAsia="Arial" w:hAnsi="Arial"/>
                <w:sz w:val="9"/>
                <w:szCs w:val="9"/>
                <w:b w:val="1"/>
                <w:bCs w:val="1"/>
                <w:color w:val="auto"/>
                <w:w w:val="94"/>
              </w:rPr>
              <w:t>Equity</w:t>
            </w:r>
          </w:p>
        </w:tc>
        <w:tc>
          <w:tcPr>
            <w:tcW w:w="1080" w:type="dxa"/>
            <w:vAlign w:val="bottom"/>
            <w:tcBorders>
              <w:bottom w:val="single" w:sz="8" w:color="auto"/>
            </w:tcBorders>
            <w:gridSpan w:val="3"/>
          </w:tcPr>
          <w:p>
            <w:pPr>
              <w:jc w:val="right"/>
              <w:ind w:right="235"/>
              <w:spacing w:after="0"/>
              <w:rPr>
                <w:sz w:val="20"/>
                <w:szCs w:val="20"/>
                <w:color w:val="auto"/>
              </w:rPr>
            </w:pPr>
            <w:r>
              <w:rPr>
                <w:rFonts w:ascii="Arial" w:cs="Arial" w:eastAsia="Arial" w:hAnsi="Arial"/>
                <w:sz w:val="9"/>
                <w:szCs w:val="9"/>
                <w:b w:val="1"/>
                <w:bCs w:val="1"/>
                <w:color w:val="auto"/>
              </w:rPr>
              <w:t>Incentive Units</w:t>
            </w: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35"/>
              <w:spacing w:after="0"/>
              <w:rPr>
                <w:sz w:val="20"/>
                <w:szCs w:val="20"/>
                <w:color w:val="auto"/>
              </w:rPr>
            </w:pPr>
            <w:r>
              <w:rPr>
                <w:rFonts w:ascii="Arial" w:cs="Arial" w:eastAsia="Arial" w:hAnsi="Arial"/>
                <w:sz w:val="9"/>
                <w:szCs w:val="9"/>
                <w:b w:val="1"/>
                <w:bCs w:val="1"/>
                <w:color w:val="auto"/>
                <w:w w:val="94"/>
              </w:rPr>
              <w:t>Equity</w:t>
            </w:r>
          </w:p>
        </w:tc>
        <w:tc>
          <w:tcPr>
            <w:tcW w:w="0" w:type="dxa"/>
            <w:vAlign w:val="bottom"/>
          </w:tcPr>
          <w:p>
            <w:pPr>
              <w:spacing w:after="0"/>
              <w:rPr>
                <w:sz w:val="1"/>
                <w:szCs w:val="1"/>
                <w:color w:val="auto"/>
              </w:rPr>
            </w:pPr>
          </w:p>
        </w:tc>
      </w:tr>
      <w:tr>
        <w:trPr>
          <w:trHeight w:val="121"/>
        </w:trPr>
        <w:tc>
          <w:tcPr>
            <w:tcW w:w="640" w:type="dxa"/>
            <w:vAlign w:val="bottom"/>
          </w:tcPr>
          <w:p>
            <w:pPr>
              <w:spacing w:after="0"/>
              <w:rPr>
                <w:sz w:val="10"/>
                <w:szCs w:val="10"/>
                <w:color w:val="auto"/>
              </w:rPr>
            </w:pPr>
          </w:p>
        </w:tc>
        <w:tc>
          <w:tcPr>
            <w:tcW w:w="680" w:type="dxa"/>
            <w:vAlign w:val="bottom"/>
          </w:tcPr>
          <w:p>
            <w:pPr>
              <w:jc w:val="right"/>
              <w:ind w:right="195"/>
              <w:spacing w:after="0"/>
              <w:rPr>
                <w:sz w:val="20"/>
                <w:szCs w:val="20"/>
                <w:color w:val="auto"/>
              </w:rPr>
            </w:pPr>
            <w:r>
              <w:rPr>
                <w:rFonts w:ascii="Arial" w:cs="Arial" w:eastAsia="Arial" w:hAnsi="Arial"/>
                <w:sz w:val="9"/>
                <w:szCs w:val="9"/>
                <w:b w:val="1"/>
                <w:bCs w:val="1"/>
                <w:color w:val="auto"/>
              </w:rPr>
              <w:t>Units</w:t>
            </w:r>
          </w:p>
        </w:tc>
        <w:tc>
          <w:tcPr>
            <w:tcW w:w="200" w:type="dxa"/>
            <w:vAlign w:val="bottom"/>
          </w:tcPr>
          <w:p>
            <w:pPr>
              <w:spacing w:after="0"/>
              <w:rPr>
                <w:sz w:val="10"/>
                <w:szCs w:val="10"/>
                <w:color w:val="auto"/>
              </w:rPr>
            </w:pPr>
          </w:p>
        </w:tc>
        <w:tc>
          <w:tcPr>
            <w:tcW w:w="400" w:type="dxa"/>
            <w:vAlign w:val="bottom"/>
          </w:tcPr>
          <w:p>
            <w:pPr>
              <w:jc w:val="right"/>
              <w:ind w:right="235"/>
              <w:spacing w:after="0"/>
              <w:rPr>
                <w:sz w:val="20"/>
                <w:szCs w:val="20"/>
                <w:color w:val="auto"/>
              </w:rPr>
            </w:pPr>
            <w:r>
              <w:rPr>
                <w:rFonts w:ascii="Arial" w:cs="Arial" w:eastAsia="Arial" w:hAnsi="Arial"/>
                <w:sz w:val="9"/>
                <w:szCs w:val="9"/>
                <w:b w:val="1"/>
                <w:bCs w:val="1"/>
                <w:color w:val="auto"/>
              </w:rPr>
              <w:t>$</w:t>
            </w:r>
          </w:p>
        </w:tc>
        <w:tc>
          <w:tcPr>
            <w:tcW w:w="640" w:type="dxa"/>
            <w:vAlign w:val="bottom"/>
          </w:tcPr>
          <w:p>
            <w:pPr>
              <w:ind w:left="220"/>
              <w:spacing w:after="0"/>
              <w:rPr>
                <w:sz w:val="20"/>
                <w:szCs w:val="20"/>
                <w:color w:val="auto"/>
              </w:rPr>
            </w:pPr>
            <w:r>
              <w:rPr>
                <w:rFonts w:ascii="Arial" w:cs="Arial" w:eastAsia="Arial" w:hAnsi="Arial"/>
                <w:sz w:val="9"/>
                <w:szCs w:val="9"/>
                <w:b w:val="1"/>
                <w:bCs w:val="1"/>
                <w:color w:val="auto"/>
              </w:rPr>
              <w:t>Units</w:t>
            </w:r>
          </w:p>
        </w:tc>
        <w:tc>
          <w:tcPr>
            <w:tcW w:w="180" w:type="dxa"/>
            <w:vAlign w:val="bottom"/>
          </w:tcPr>
          <w:p>
            <w:pPr>
              <w:spacing w:after="0"/>
              <w:rPr>
                <w:sz w:val="10"/>
                <w:szCs w:val="10"/>
                <w:color w:val="auto"/>
              </w:rPr>
            </w:pPr>
          </w:p>
        </w:tc>
        <w:tc>
          <w:tcPr>
            <w:tcW w:w="440" w:type="dxa"/>
            <w:vAlign w:val="bottom"/>
          </w:tcPr>
          <w:p>
            <w:pPr>
              <w:jc w:val="right"/>
              <w:ind w:right="235"/>
              <w:spacing w:after="0"/>
              <w:rPr>
                <w:sz w:val="20"/>
                <w:szCs w:val="20"/>
                <w:color w:val="auto"/>
              </w:rPr>
            </w:pPr>
            <w:r>
              <w:rPr>
                <w:rFonts w:ascii="Arial" w:cs="Arial" w:eastAsia="Arial" w:hAnsi="Arial"/>
                <w:sz w:val="9"/>
                <w:szCs w:val="9"/>
                <w:b w:val="1"/>
                <w:bCs w:val="1"/>
                <w:color w:val="auto"/>
              </w:rPr>
              <w:t>$</w:t>
            </w:r>
          </w:p>
        </w:tc>
        <w:tc>
          <w:tcPr>
            <w:tcW w:w="560" w:type="dxa"/>
            <w:vAlign w:val="bottom"/>
          </w:tcPr>
          <w:p>
            <w:pPr>
              <w:ind w:left="100"/>
              <w:spacing w:after="0"/>
              <w:rPr>
                <w:sz w:val="20"/>
                <w:szCs w:val="20"/>
                <w:color w:val="auto"/>
              </w:rPr>
            </w:pPr>
            <w:r>
              <w:rPr>
                <w:rFonts w:ascii="Arial" w:cs="Arial" w:eastAsia="Arial" w:hAnsi="Arial"/>
                <w:sz w:val="9"/>
                <w:szCs w:val="9"/>
                <w:b w:val="1"/>
                <w:bCs w:val="1"/>
                <w:color w:val="auto"/>
              </w:rPr>
              <w:t>Warrants</w:t>
            </w:r>
          </w:p>
        </w:tc>
        <w:tc>
          <w:tcPr>
            <w:tcW w:w="200" w:type="dxa"/>
            <w:vAlign w:val="bottom"/>
          </w:tcPr>
          <w:p>
            <w:pPr>
              <w:spacing w:after="0"/>
              <w:rPr>
                <w:sz w:val="10"/>
                <w:szCs w:val="10"/>
                <w:color w:val="auto"/>
              </w:rPr>
            </w:pPr>
          </w:p>
        </w:tc>
        <w:tc>
          <w:tcPr>
            <w:tcW w:w="420" w:type="dxa"/>
            <w:vAlign w:val="bottom"/>
          </w:tcPr>
          <w:p>
            <w:pPr>
              <w:jc w:val="right"/>
              <w:ind w:right="255"/>
              <w:spacing w:after="0"/>
              <w:rPr>
                <w:sz w:val="20"/>
                <w:szCs w:val="20"/>
                <w:color w:val="auto"/>
              </w:rPr>
            </w:pPr>
            <w:r>
              <w:rPr>
                <w:rFonts w:ascii="Arial" w:cs="Arial" w:eastAsia="Arial" w:hAnsi="Arial"/>
                <w:sz w:val="9"/>
                <w:szCs w:val="9"/>
                <w:b w:val="1"/>
                <w:bCs w:val="1"/>
                <w:color w:val="auto"/>
              </w:rPr>
              <w:t>$</w:t>
            </w:r>
          </w:p>
        </w:tc>
        <w:tc>
          <w:tcPr>
            <w:tcW w:w="640" w:type="dxa"/>
            <w:vAlign w:val="bottom"/>
          </w:tcPr>
          <w:p>
            <w:pPr>
              <w:ind w:left="220"/>
              <w:spacing w:after="0"/>
              <w:rPr>
                <w:sz w:val="20"/>
                <w:szCs w:val="20"/>
                <w:color w:val="auto"/>
              </w:rPr>
            </w:pPr>
            <w:r>
              <w:rPr>
                <w:rFonts w:ascii="Arial" w:cs="Arial" w:eastAsia="Arial" w:hAnsi="Arial"/>
                <w:sz w:val="9"/>
                <w:szCs w:val="9"/>
                <w:b w:val="1"/>
                <w:bCs w:val="1"/>
                <w:color w:val="auto"/>
              </w:rPr>
              <w:t>Units</w:t>
            </w:r>
          </w:p>
        </w:tc>
        <w:tc>
          <w:tcPr>
            <w:tcW w:w="180" w:type="dxa"/>
            <w:vAlign w:val="bottom"/>
          </w:tcPr>
          <w:p>
            <w:pPr>
              <w:spacing w:after="0"/>
              <w:rPr>
                <w:sz w:val="10"/>
                <w:szCs w:val="10"/>
                <w:color w:val="auto"/>
              </w:rPr>
            </w:pPr>
          </w:p>
        </w:tc>
        <w:tc>
          <w:tcPr>
            <w:tcW w:w="480" w:type="dxa"/>
            <w:vAlign w:val="bottom"/>
          </w:tcPr>
          <w:p>
            <w:pPr>
              <w:jc w:val="right"/>
              <w:ind w:right="275"/>
              <w:spacing w:after="0"/>
              <w:rPr>
                <w:sz w:val="20"/>
                <w:szCs w:val="20"/>
                <w:color w:val="auto"/>
              </w:rPr>
            </w:pPr>
            <w:r>
              <w:rPr>
                <w:rFonts w:ascii="Arial" w:cs="Arial" w:eastAsia="Arial" w:hAnsi="Arial"/>
                <w:sz w:val="9"/>
                <w:szCs w:val="9"/>
                <w:b w:val="1"/>
                <w:bCs w:val="1"/>
                <w:color w:val="auto"/>
              </w:rPr>
              <w:t>$</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Warrants</w:t>
            </w:r>
          </w:p>
        </w:tc>
        <w:tc>
          <w:tcPr>
            <w:tcW w:w="360" w:type="dxa"/>
            <w:vAlign w:val="bottom"/>
          </w:tcPr>
          <w:p>
            <w:pPr>
              <w:spacing w:after="0"/>
              <w:rPr>
                <w:sz w:val="10"/>
                <w:szCs w:val="10"/>
                <w:color w:val="auto"/>
              </w:rPr>
            </w:pPr>
          </w:p>
        </w:tc>
        <w:tc>
          <w:tcPr>
            <w:tcW w:w="400" w:type="dxa"/>
            <w:vAlign w:val="bottom"/>
          </w:tcPr>
          <w:p>
            <w:pPr>
              <w:jc w:val="right"/>
              <w:ind w:right="295"/>
              <w:spacing w:after="0"/>
              <w:rPr>
                <w:sz w:val="20"/>
                <w:szCs w:val="20"/>
                <w:color w:val="auto"/>
              </w:rPr>
            </w:pPr>
            <w:r>
              <w:rPr>
                <w:rFonts w:ascii="Arial" w:cs="Arial" w:eastAsia="Arial" w:hAnsi="Arial"/>
                <w:sz w:val="9"/>
                <w:szCs w:val="9"/>
                <w:b w:val="1"/>
                <w:bCs w:val="1"/>
                <w:color w:val="auto"/>
                <w:w w:val="78"/>
              </w:rPr>
              <w:t>$</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ind w:left="120"/>
              <w:spacing w:after="0"/>
              <w:rPr>
                <w:sz w:val="20"/>
                <w:szCs w:val="20"/>
                <w:color w:val="auto"/>
              </w:rPr>
            </w:pPr>
            <w:r>
              <w:rPr>
                <w:rFonts w:ascii="Arial" w:cs="Arial" w:eastAsia="Arial" w:hAnsi="Arial"/>
                <w:sz w:val="9"/>
                <w:szCs w:val="9"/>
                <w:b w:val="1"/>
                <w:bCs w:val="1"/>
                <w:color w:val="auto"/>
              </w:rPr>
              <w:t>Units</w:t>
            </w:r>
          </w:p>
        </w:tc>
        <w:tc>
          <w:tcPr>
            <w:tcW w:w="200" w:type="dxa"/>
            <w:vAlign w:val="bottom"/>
          </w:tcPr>
          <w:p>
            <w:pPr>
              <w:spacing w:after="0"/>
              <w:rPr>
                <w:sz w:val="10"/>
                <w:szCs w:val="10"/>
                <w:color w:val="auto"/>
              </w:rPr>
            </w:pPr>
          </w:p>
        </w:tc>
        <w:tc>
          <w:tcPr>
            <w:tcW w:w="380" w:type="dxa"/>
            <w:vAlign w:val="bottom"/>
          </w:tcPr>
          <w:p>
            <w:pPr>
              <w:jc w:val="right"/>
              <w:ind w:right="195"/>
              <w:spacing w:after="0"/>
              <w:rPr>
                <w:sz w:val="20"/>
                <w:szCs w:val="20"/>
                <w:color w:val="auto"/>
              </w:rPr>
            </w:pPr>
            <w:r>
              <w:rPr>
                <w:rFonts w:ascii="Arial" w:cs="Arial" w:eastAsia="Arial" w:hAnsi="Arial"/>
                <w:sz w:val="9"/>
                <w:szCs w:val="9"/>
                <w:b w:val="1"/>
                <w:bCs w:val="1"/>
                <w:color w:val="auto"/>
              </w:rPr>
              <w:t>$</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6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1"/>
        </w:trPr>
        <w:tc>
          <w:tcPr>
            <w:tcW w:w="640" w:type="dxa"/>
            <w:vAlign w:val="bottom"/>
            <w:shd w:val="clear" w:color="auto" w:fill="CCEEFF"/>
          </w:tcPr>
          <w:p>
            <w:pPr>
              <w:jc w:val="right"/>
              <w:spacing w:after="0" w:line="81" w:lineRule="exact"/>
              <w:rPr>
                <w:sz w:val="20"/>
                <w:szCs w:val="20"/>
                <w:color w:val="auto"/>
              </w:rPr>
            </w:pPr>
            <w:r>
              <w:rPr>
                <w:rFonts w:ascii="Arial" w:cs="Arial" w:eastAsia="Arial" w:hAnsi="Arial"/>
                <w:sz w:val="9"/>
                <w:szCs w:val="9"/>
                <w:color w:val="auto"/>
              </w:rPr>
              <w:t>Balance as of</w:t>
            </w:r>
          </w:p>
        </w:tc>
        <w:tc>
          <w:tcPr>
            <w:tcW w:w="6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6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December 31,</w:t>
            </w: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400,000,000</w:t>
            </w:r>
          </w:p>
        </w:tc>
        <w:tc>
          <w:tcPr>
            <w:tcW w:w="20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400" w:type="dxa"/>
            <w:vAlign w:val="bottom"/>
            <w:vMerge w:val="restart"/>
            <w:shd w:val="clear" w:color="auto" w:fill="CCEEFF"/>
          </w:tcPr>
          <w:p>
            <w:pPr>
              <w:jc w:val="right"/>
              <w:ind w:right="75"/>
              <w:spacing w:after="0"/>
              <w:rPr>
                <w:sz w:val="20"/>
                <w:szCs w:val="20"/>
                <w:color w:val="auto"/>
              </w:rPr>
            </w:pPr>
            <w:r>
              <w:rPr>
                <w:rFonts w:ascii="Arial" w:cs="Arial" w:eastAsia="Arial" w:hAnsi="Arial"/>
                <w:sz w:val="9"/>
                <w:szCs w:val="9"/>
                <w:color w:val="auto"/>
              </w:rPr>
              <w:t>2,613</w:t>
            </w:r>
          </w:p>
        </w:tc>
        <w:tc>
          <w:tcPr>
            <w:tcW w:w="64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182,500,000</w:t>
            </w:r>
          </w:p>
        </w:tc>
        <w:tc>
          <w:tcPr>
            <w:tcW w:w="18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44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w w:val="98"/>
              </w:rPr>
              <w:t>182,500</w:t>
            </w:r>
          </w:p>
        </w:tc>
        <w:tc>
          <w:tcPr>
            <w:tcW w:w="560" w:type="dxa"/>
            <w:vAlign w:val="bottom"/>
            <w:vMerge w:val="restart"/>
            <w:shd w:val="clear" w:color="auto" w:fill="CCEEFF"/>
          </w:tcPr>
          <w:p>
            <w:pPr>
              <w:ind w:left="400"/>
              <w:spacing w:after="0"/>
              <w:rPr>
                <w:sz w:val="20"/>
                <w:szCs w:val="20"/>
                <w:color w:val="auto"/>
              </w:rPr>
            </w:pPr>
            <w:r>
              <w:rPr>
                <w:rFonts w:ascii="Arial" w:cs="Arial" w:eastAsia="Arial" w:hAnsi="Arial"/>
                <w:sz w:val="9"/>
                <w:szCs w:val="9"/>
                <w:color w:val="auto"/>
              </w:rPr>
              <w:t>—</w:t>
            </w:r>
          </w:p>
        </w:tc>
        <w:tc>
          <w:tcPr>
            <w:tcW w:w="20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420" w:type="dxa"/>
            <w:vAlign w:val="bottom"/>
            <w:vMerge w:val="restart"/>
            <w:shd w:val="clear" w:color="auto" w:fill="CCEEFF"/>
          </w:tcPr>
          <w:p>
            <w:pPr>
              <w:jc w:val="right"/>
              <w:ind w:right="75"/>
              <w:spacing w:after="0"/>
              <w:rPr>
                <w:sz w:val="20"/>
                <w:szCs w:val="20"/>
                <w:color w:val="auto"/>
              </w:rPr>
            </w:pPr>
            <w:r>
              <w:rPr>
                <w:rFonts w:ascii="Arial" w:cs="Arial" w:eastAsia="Arial" w:hAnsi="Arial"/>
                <w:sz w:val="9"/>
                <w:szCs w:val="9"/>
                <w:color w:val="auto"/>
              </w:rPr>
              <w:t>5,426</w:t>
            </w:r>
          </w:p>
        </w:tc>
        <w:tc>
          <w:tcPr>
            <w:tcW w:w="64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270,270,270</w:t>
            </w:r>
          </w:p>
        </w:tc>
        <w:tc>
          <w:tcPr>
            <w:tcW w:w="18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480" w:type="dxa"/>
            <w:vAlign w:val="bottom"/>
            <w:vMerge w:val="restart"/>
            <w:shd w:val="clear" w:color="auto" w:fill="CCEEFF"/>
          </w:tcPr>
          <w:p>
            <w:pPr>
              <w:jc w:val="right"/>
              <w:ind w:right="95"/>
              <w:spacing w:after="0"/>
              <w:rPr>
                <w:sz w:val="20"/>
                <w:szCs w:val="20"/>
                <w:color w:val="auto"/>
              </w:rPr>
            </w:pPr>
            <w:r>
              <w:rPr>
                <w:rFonts w:ascii="Arial" w:cs="Arial" w:eastAsia="Arial" w:hAnsi="Arial"/>
                <w:sz w:val="9"/>
                <w:szCs w:val="9"/>
                <w:color w:val="auto"/>
                <w:w w:val="98"/>
              </w:rPr>
              <w:t>310,104</w:t>
            </w:r>
          </w:p>
        </w:tc>
        <w:tc>
          <w:tcPr>
            <w:tcW w:w="720" w:type="dxa"/>
            <w:vAlign w:val="bottom"/>
            <w:vMerge w:val="restart"/>
            <w:shd w:val="clear" w:color="auto" w:fill="CCEEFF"/>
          </w:tcPr>
          <w:p>
            <w:pPr>
              <w:ind w:left="560"/>
              <w:spacing w:after="0"/>
              <w:rPr>
                <w:sz w:val="20"/>
                <w:szCs w:val="20"/>
                <w:color w:val="auto"/>
              </w:rPr>
            </w:pPr>
            <w:r>
              <w:rPr>
                <w:rFonts w:ascii="Arial" w:cs="Arial" w:eastAsia="Arial" w:hAnsi="Arial"/>
                <w:sz w:val="9"/>
                <w:szCs w:val="9"/>
                <w:color w:val="auto"/>
              </w:rPr>
              <w:t>—</w:t>
            </w:r>
          </w:p>
        </w:tc>
        <w:tc>
          <w:tcPr>
            <w:tcW w:w="360" w:type="dxa"/>
            <w:vAlign w:val="bottom"/>
            <w:vMerge w:val="restart"/>
            <w:shd w:val="clear" w:color="auto" w:fill="CCEEFF"/>
          </w:tcPr>
          <w:p>
            <w:pPr>
              <w:jc w:val="right"/>
              <w:ind w:right="195"/>
              <w:spacing w:after="0"/>
              <w:rPr>
                <w:sz w:val="20"/>
                <w:szCs w:val="20"/>
                <w:color w:val="auto"/>
              </w:rPr>
            </w:pPr>
            <w:r>
              <w:rPr>
                <w:rFonts w:ascii="Arial" w:cs="Arial" w:eastAsia="Arial" w:hAnsi="Arial"/>
                <w:sz w:val="9"/>
                <w:szCs w:val="9"/>
                <w:color w:val="auto"/>
              </w:rPr>
              <w:t>$</w:t>
            </w:r>
          </w:p>
        </w:tc>
        <w:tc>
          <w:tcPr>
            <w:tcW w:w="40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66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(112,504)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70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rPr>
              <w:t>191</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0" w:type="dxa"/>
            <w:vAlign w:val="bottom"/>
            <w:vMerge w:val="restart"/>
            <w:shd w:val="clear" w:color="auto" w:fill="CCEEFF"/>
          </w:tcPr>
          <w:p>
            <w:pPr>
              <w:jc w:val="right"/>
              <w:ind w:right="115"/>
              <w:spacing w:after="0"/>
              <w:rPr>
                <w:sz w:val="20"/>
                <w:szCs w:val="20"/>
                <w:color w:val="auto"/>
              </w:rPr>
            </w:pPr>
            <w:r>
              <w:rPr>
                <w:rFonts w:ascii="Arial" w:cs="Arial" w:eastAsia="Arial" w:hAnsi="Arial"/>
                <w:sz w:val="9"/>
                <w:szCs w:val="9"/>
                <w:color w:val="auto"/>
              </w:rPr>
              <w:t>388,330</w:t>
            </w:r>
          </w:p>
        </w:tc>
        <w:tc>
          <w:tcPr>
            <w:tcW w:w="500" w:type="dxa"/>
            <w:vAlign w:val="bottom"/>
            <w:vMerge w:val="restart"/>
            <w:shd w:val="clear" w:color="auto" w:fill="CCEEFF"/>
          </w:tcPr>
          <w:p>
            <w:pPr>
              <w:ind w:left="340"/>
              <w:spacing w:after="0"/>
              <w:rPr>
                <w:sz w:val="20"/>
                <w:szCs w:val="20"/>
                <w:color w:val="auto"/>
              </w:rPr>
            </w:pPr>
            <w:r>
              <w:rPr>
                <w:rFonts w:ascii="Arial" w:cs="Arial" w:eastAsia="Arial" w:hAnsi="Arial"/>
                <w:sz w:val="9"/>
                <w:szCs w:val="9"/>
                <w:color w:val="auto"/>
              </w:rPr>
              <w:t>—</w:t>
            </w:r>
          </w:p>
        </w:tc>
        <w:tc>
          <w:tcPr>
            <w:tcW w:w="20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38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21,452</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21,452</w:t>
            </w:r>
          </w:p>
        </w:tc>
        <w:tc>
          <w:tcPr>
            <w:tcW w:w="0" w:type="dxa"/>
            <w:vAlign w:val="bottom"/>
          </w:tcPr>
          <w:p>
            <w:pPr>
              <w:spacing w:after="0"/>
              <w:rPr>
                <w:sz w:val="1"/>
                <w:szCs w:val="1"/>
                <w:color w:val="auto"/>
              </w:rPr>
            </w:pPr>
          </w:p>
        </w:tc>
      </w:tr>
      <w:tr>
        <w:trPr>
          <w:trHeight w:val="129"/>
        </w:trPr>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2020</w:t>
            </w:r>
          </w:p>
        </w:tc>
        <w:tc>
          <w:tcPr>
            <w:tcW w:w="680" w:type="dxa"/>
            <w:vAlign w:val="bottom"/>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Issuance of</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40" w:type="dxa"/>
            <w:vAlign w:val="bottom"/>
          </w:tcPr>
          <w:p>
            <w:pPr>
              <w:jc w:val="right"/>
              <w:spacing w:after="0" w:line="95" w:lineRule="exact"/>
              <w:rPr>
                <w:sz w:val="20"/>
                <w:szCs w:val="20"/>
                <w:color w:val="auto"/>
              </w:rPr>
            </w:pPr>
            <w:r>
              <w:rPr>
                <w:rFonts w:ascii="Arial" w:cs="Arial" w:eastAsia="Arial" w:hAnsi="Arial"/>
                <w:sz w:val="9"/>
                <w:szCs w:val="9"/>
                <w:color w:val="auto"/>
              </w:rPr>
              <w:t>Class A voting</w:t>
            </w:r>
          </w:p>
        </w:tc>
        <w:tc>
          <w:tcPr>
            <w:tcW w:w="68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00" w:type="dxa"/>
            <w:vAlign w:val="bottom"/>
            <w:vMerge w:val="restart"/>
          </w:tcPr>
          <w:p>
            <w:pPr>
              <w:jc w:val="right"/>
              <w:ind w:right="75"/>
              <w:spacing w:after="0"/>
              <w:rPr>
                <w:sz w:val="20"/>
                <w:szCs w:val="20"/>
                <w:color w:val="auto"/>
              </w:rPr>
            </w:pPr>
            <w:r>
              <w:rPr>
                <w:rFonts w:ascii="Arial" w:cs="Arial" w:eastAsia="Arial" w:hAnsi="Arial"/>
                <w:sz w:val="9"/>
                <w:szCs w:val="9"/>
                <w:color w:val="auto"/>
              </w:rPr>
              <w:t>110</w:t>
            </w:r>
          </w:p>
        </w:tc>
        <w:tc>
          <w:tcPr>
            <w:tcW w:w="64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440" w:type="dxa"/>
            <w:vAlign w:val="bottom"/>
            <w:vMerge w:val="restart"/>
          </w:tcPr>
          <w:p>
            <w:pPr>
              <w:jc w:val="right"/>
              <w:ind w:right="55"/>
              <w:spacing w:after="0"/>
              <w:rPr>
                <w:sz w:val="20"/>
                <w:szCs w:val="20"/>
                <w:color w:val="auto"/>
              </w:rPr>
            </w:pPr>
            <w:r>
              <w:rPr>
                <w:rFonts w:ascii="Arial" w:cs="Arial" w:eastAsia="Arial" w:hAnsi="Arial"/>
                <w:sz w:val="9"/>
                <w:szCs w:val="9"/>
                <w:color w:val="auto"/>
              </w:rPr>
              <w:t>—</w:t>
            </w:r>
          </w:p>
        </w:tc>
        <w:tc>
          <w:tcPr>
            <w:tcW w:w="560" w:type="dxa"/>
            <w:vAlign w:val="bottom"/>
            <w:vMerge w:val="restart"/>
          </w:tcPr>
          <w:p>
            <w:pPr>
              <w:ind w:left="400"/>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20" w:type="dxa"/>
            <w:vAlign w:val="bottom"/>
            <w:vMerge w:val="restart"/>
          </w:tcPr>
          <w:p>
            <w:pPr>
              <w:jc w:val="right"/>
              <w:ind w:right="75"/>
              <w:spacing w:after="0"/>
              <w:rPr>
                <w:sz w:val="20"/>
                <w:szCs w:val="20"/>
                <w:color w:val="auto"/>
              </w:rPr>
            </w:pPr>
            <w:r>
              <w:rPr>
                <w:rFonts w:ascii="Arial" w:cs="Arial" w:eastAsia="Arial" w:hAnsi="Arial"/>
                <w:sz w:val="9"/>
                <w:szCs w:val="9"/>
                <w:color w:val="auto"/>
              </w:rPr>
              <w:t>—</w:t>
            </w:r>
          </w:p>
        </w:tc>
        <w:tc>
          <w:tcPr>
            <w:tcW w:w="64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480" w:type="dxa"/>
            <w:vAlign w:val="bottom"/>
            <w:vMerge w:val="restart"/>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vMerge w:val="restart"/>
          </w:tcPr>
          <w:p>
            <w:pPr>
              <w:ind w:left="56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8"/>
                <w:szCs w:val="8"/>
                <w:color w:val="auto"/>
              </w:rPr>
            </w:pPr>
          </w:p>
        </w:tc>
        <w:tc>
          <w:tcPr>
            <w:tcW w:w="40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66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00" w:type="dxa"/>
            <w:vAlign w:val="bottom"/>
            <w:vMerge w:val="restart"/>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0" w:type="dxa"/>
            <w:vAlign w:val="bottom"/>
            <w:vMerge w:val="restart"/>
          </w:tcPr>
          <w:p>
            <w:pPr>
              <w:jc w:val="right"/>
              <w:ind w:right="115"/>
              <w:spacing w:after="0"/>
              <w:rPr>
                <w:sz w:val="20"/>
                <w:szCs w:val="20"/>
                <w:color w:val="auto"/>
              </w:rPr>
            </w:pPr>
            <w:r>
              <w:rPr>
                <w:rFonts w:ascii="Arial" w:cs="Arial" w:eastAsia="Arial" w:hAnsi="Arial"/>
                <w:sz w:val="9"/>
                <w:szCs w:val="9"/>
                <w:color w:val="auto"/>
              </w:rPr>
              <w:t>110</w:t>
            </w:r>
          </w:p>
        </w:tc>
        <w:tc>
          <w:tcPr>
            <w:tcW w:w="500" w:type="dxa"/>
            <w:vAlign w:val="bottom"/>
            <w:vMerge w:val="restart"/>
          </w:tcPr>
          <w:p>
            <w:pPr>
              <w:ind w:left="340"/>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8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1"/>
        </w:trPr>
        <w:tc>
          <w:tcPr>
            <w:tcW w:w="640" w:type="dxa"/>
            <w:vAlign w:val="bottom"/>
          </w:tcPr>
          <w:p>
            <w:pPr>
              <w:jc w:val="right"/>
              <w:spacing w:after="0"/>
              <w:rPr>
                <w:sz w:val="20"/>
                <w:szCs w:val="20"/>
                <w:color w:val="auto"/>
              </w:rPr>
            </w:pPr>
            <w:r>
              <w:rPr>
                <w:rFonts w:ascii="Arial" w:cs="Arial" w:eastAsia="Arial" w:hAnsi="Arial"/>
                <w:sz w:val="9"/>
                <w:szCs w:val="9"/>
                <w:color w:val="auto"/>
              </w:rPr>
              <w:t>units</w:t>
            </w: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Unit-based</w:t>
            </w: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incentive</w:t>
            </w: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400" w:type="dxa"/>
            <w:vAlign w:val="bottom"/>
            <w:vMerge w:val="restart"/>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64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560" w:type="dxa"/>
            <w:vAlign w:val="bottom"/>
            <w:vMerge w:val="restart"/>
            <w:shd w:val="clear" w:color="auto" w:fill="CCEEFF"/>
          </w:tcPr>
          <w:p>
            <w:pPr>
              <w:ind w:left="400"/>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420" w:type="dxa"/>
            <w:vAlign w:val="bottom"/>
            <w:vMerge w:val="restart"/>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64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vMerge w:val="restart"/>
            <w:shd w:val="clear" w:color="auto" w:fill="CCEEFF"/>
          </w:tcPr>
          <w:p>
            <w:pPr>
              <w:ind w:left="56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spacing w:after="0"/>
              <w:rPr>
                <w:sz w:val="8"/>
                <w:szCs w:val="8"/>
                <w:color w:val="auto"/>
              </w:rPr>
            </w:pPr>
          </w:p>
        </w:tc>
        <w:tc>
          <w:tcPr>
            <w:tcW w:w="40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ind w:right="115"/>
              <w:spacing w:after="0"/>
              <w:rPr>
                <w:sz w:val="20"/>
                <w:szCs w:val="20"/>
                <w:color w:val="auto"/>
              </w:rPr>
            </w:pPr>
            <w:r>
              <w:rPr>
                <w:rFonts w:ascii="Arial" w:cs="Arial" w:eastAsia="Arial" w:hAnsi="Arial"/>
                <w:sz w:val="9"/>
                <w:szCs w:val="9"/>
                <w:color w:val="auto"/>
              </w:rPr>
              <w:t>—</w:t>
            </w:r>
          </w:p>
        </w:tc>
        <w:tc>
          <w:tcPr>
            <w:tcW w:w="500" w:type="dxa"/>
            <w:vAlign w:val="bottom"/>
            <w:vMerge w:val="restart"/>
            <w:shd w:val="clear" w:color="auto" w:fill="CCEEFF"/>
          </w:tcPr>
          <w:p>
            <w:pPr>
              <w:ind w:left="340"/>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870</w:t>
            </w:r>
          </w:p>
        </w:tc>
        <w:tc>
          <w:tcPr>
            <w:tcW w:w="16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870</w:t>
            </w:r>
          </w:p>
        </w:tc>
        <w:tc>
          <w:tcPr>
            <w:tcW w:w="0" w:type="dxa"/>
            <w:vAlign w:val="bottom"/>
          </w:tcPr>
          <w:p>
            <w:pPr>
              <w:spacing w:after="0"/>
              <w:rPr>
                <w:sz w:val="1"/>
                <w:szCs w:val="1"/>
                <w:color w:val="auto"/>
              </w:rPr>
            </w:pPr>
          </w:p>
        </w:tc>
      </w:tr>
      <w:tr>
        <w:trPr>
          <w:trHeight w:val="129"/>
        </w:trPr>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compensation</w:t>
            </w:r>
          </w:p>
        </w:tc>
        <w:tc>
          <w:tcPr>
            <w:tcW w:w="6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Currency</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40" w:type="dxa"/>
            <w:vAlign w:val="bottom"/>
          </w:tcPr>
          <w:p>
            <w:pPr>
              <w:jc w:val="right"/>
              <w:spacing w:after="0" w:line="95" w:lineRule="exact"/>
              <w:rPr>
                <w:sz w:val="20"/>
                <w:szCs w:val="20"/>
                <w:color w:val="auto"/>
              </w:rPr>
            </w:pPr>
            <w:r>
              <w:rPr>
                <w:rFonts w:ascii="Arial" w:cs="Arial" w:eastAsia="Arial" w:hAnsi="Arial"/>
                <w:sz w:val="9"/>
                <w:szCs w:val="9"/>
                <w:color w:val="auto"/>
              </w:rPr>
              <w:t>translation</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640" w:type="dxa"/>
            <w:vAlign w:val="bottom"/>
          </w:tcPr>
          <w:p>
            <w:pPr>
              <w:jc w:val="right"/>
              <w:spacing w:after="0" w:line="88" w:lineRule="exact"/>
              <w:rPr>
                <w:sz w:val="20"/>
                <w:szCs w:val="20"/>
                <w:color w:val="auto"/>
              </w:rPr>
            </w:pPr>
            <w:r>
              <w:rPr>
                <w:rFonts w:ascii="Arial" w:cs="Arial" w:eastAsia="Arial" w:hAnsi="Arial"/>
                <w:sz w:val="9"/>
                <w:szCs w:val="9"/>
                <w:color w:val="auto"/>
                <w:w w:val="97"/>
              </w:rPr>
              <w:t>adjustment, net</w:t>
            </w:r>
          </w:p>
        </w:tc>
        <w:tc>
          <w:tcPr>
            <w:tcW w:w="68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7"/>
                <w:szCs w:val="7"/>
                <w:color w:val="auto"/>
              </w:rPr>
            </w:pPr>
          </w:p>
        </w:tc>
        <w:tc>
          <w:tcPr>
            <w:tcW w:w="400" w:type="dxa"/>
            <w:vAlign w:val="bottom"/>
            <w:vMerge w:val="restart"/>
          </w:tcPr>
          <w:p>
            <w:pPr>
              <w:jc w:val="right"/>
              <w:ind w:right="75"/>
              <w:spacing w:after="0"/>
              <w:rPr>
                <w:sz w:val="20"/>
                <w:szCs w:val="20"/>
                <w:color w:val="auto"/>
              </w:rPr>
            </w:pPr>
            <w:r>
              <w:rPr>
                <w:rFonts w:ascii="Arial" w:cs="Arial" w:eastAsia="Arial" w:hAnsi="Arial"/>
                <w:sz w:val="9"/>
                <w:szCs w:val="9"/>
                <w:color w:val="auto"/>
              </w:rPr>
              <w:t>—</w:t>
            </w:r>
          </w:p>
        </w:tc>
        <w:tc>
          <w:tcPr>
            <w:tcW w:w="64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7"/>
                <w:szCs w:val="7"/>
                <w:color w:val="auto"/>
              </w:rPr>
            </w:pPr>
          </w:p>
        </w:tc>
        <w:tc>
          <w:tcPr>
            <w:tcW w:w="440" w:type="dxa"/>
            <w:vAlign w:val="bottom"/>
            <w:vMerge w:val="restart"/>
          </w:tcPr>
          <w:p>
            <w:pPr>
              <w:jc w:val="right"/>
              <w:ind w:right="55"/>
              <w:spacing w:after="0"/>
              <w:rPr>
                <w:sz w:val="20"/>
                <w:szCs w:val="20"/>
                <w:color w:val="auto"/>
              </w:rPr>
            </w:pPr>
            <w:r>
              <w:rPr>
                <w:rFonts w:ascii="Arial" w:cs="Arial" w:eastAsia="Arial" w:hAnsi="Arial"/>
                <w:sz w:val="9"/>
                <w:szCs w:val="9"/>
                <w:color w:val="auto"/>
              </w:rPr>
              <w:t>—</w:t>
            </w:r>
          </w:p>
        </w:tc>
        <w:tc>
          <w:tcPr>
            <w:tcW w:w="560" w:type="dxa"/>
            <w:vAlign w:val="bottom"/>
            <w:vMerge w:val="restart"/>
          </w:tcPr>
          <w:p>
            <w:pPr>
              <w:ind w:left="400"/>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7"/>
                <w:szCs w:val="7"/>
                <w:color w:val="auto"/>
              </w:rPr>
            </w:pPr>
          </w:p>
        </w:tc>
        <w:tc>
          <w:tcPr>
            <w:tcW w:w="420" w:type="dxa"/>
            <w:vAlign w:val="bottom"/>
            <w:vMerge w:val="restart"/>
          </w:tcPr>
          <w:p>
            <w:pPr>
              <w:jc w:val="right"/>
              <w:ind w:right="75"/>
              <w:spacing w:after="0"/>
              <w:rPr>
                <w:sz w:val="20"/>
                <w:szCs w:val="20"/>
                <w:color w:val="auto"/>
              </w:rPr>
            </w:pPr>
            <w:r>
              <w:rPr>
                <w:rFonts w:ascii="Arial" w:cs="Arial" w:eastAsia="Arial" w:hAnsi="Arial"/>
                <w:sz w:val="9"/>
                <w:szCs w:val="9"/>
                <w:color w:val="auto"/>
              </w:rPr>
              <w:t>—</w:t>
            </w:r>
          </w:p>
        </w:tc>
        <w:tc>
          <w:tcPr>
            <w:tcW w:w="64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7"/>
                <w:szCs w:val="7"/>
                <w:color w:val="auto"/>
              </w:rPr>
            </w:pPr>
          </w:p>
        </w:tc>
        <w:tc>
          <w:tcPr>
            <w:tcW w:w="480" w:type="dxa"/>
            <w:vAlign w:val="bottom"/>
            <w:vMerge w:val="restart"/>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vMerge w:val="restart"/>
          </w:tcPr>
          <w:p>
            <w:pPr>
              <w:ind w:left="56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7"/>
                <w:szCs w:val="7"/>
                <w:color w:val="auto"/>
              </w:rPr>
            </w:pPr>
          </w:p>
        </w:tc>
        <w:tc>
          <w:tcPr>
            <w:tcW w:w="40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7"/>
                <w:szCs w:val="7"/>
                <w:color w:val="auto"/>
              </w:rPr>
            </w:pPr>
          </w:p>
        </w:tc>
        <w:tc>
          <w:tcPr>
            <w:tcW w:w="66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7"/>
                <w:szCs w:val="7"/>
                <w:color w:val="auto"/>
              </w:rPr>
            </w:pPr>
          </w:p>
        </w:tc>
        <w:tc>
          <w:tcPr>
            <w:tcW w:w="700" w:type="dxa"/>
            <w:vAlign w:val="bottom"/>
            <w:vMerge w:val="restart"/>
          </w:tcPr>
          <w:p>
            <w:pPr>
              <w:jc w:val="right"/>
              <w:ind w:right="55"/>
              <w:spacing w:after="0"/>
              <w:rPr>
                <w:sz w:val="20"/>
                <w:szCs w:val="20"/>
                <w:color w:val="auto"/>
              </w:rPr>
            </w:pPr>
            <w:r>
              <w:rPr>
                <w:rFonts w:ascii="Arial" w:cs="Arial" w:eastAsia="Arial" w:hAnsi="Arial"/>
                <w:sz w:val="9"/>
                <w:szCs w:val="9"/>
                <w:color w:val="auto"/>
              </w:rPr>
              <w:t>79</w:t>
            </w:r>
          </w:p>
        </w:tc>
        <w:tc>
          <w:tcPr>
            <w:tcW w:w="100" w:type="dxa"/>
            <w:vAlign w:val="bottom"/>
          </w:tcPr>
          <w:p>
            <w:pPr>
              <w:spacing w:after="0"/>
              <w:rPr>
                <w:sz w:val="7"/>
                <w:szCs w:val="7"/>
                <w:color w:val="auto"/>
              </w:rPr>
            </w:pPr>
          </w:p>
        </w:tc>
        <w:tc>
          <w:tcPr>
            <w:tcW w:w="600" w:type="dxa"/>
            <w:vAlign w:val="bottom"/>
            <w:vMerge w:val="restart"/>
          </w:tcPr>
          <w:p>
            <w:pPr>
              <w:jc w:val="right"/>
              <w:ind w:right="115"/>
              <w:spacing w:after="0"/>
              <w:rPr>
                <w:sz w:val="20"/>
                <w:szCs w:val="20"/>
                <w:color w:val="auto"/>
              </w:rPr>
            </w:pPr>
            <w:r>
              <w:rPr>
                <w:rFonts w:ascii="Arial" w:cs="Arial" w:eastAsia="Arial" w:hAnsi="Arial"/>
                <w:sz w:val="9"/>
                <w:szCs w:val="9"/>
                <w:color w:val="auto"/>
              </w:rPr>
              <w:t>79</w:t>
            </w:r>
          </w:p>
        </w:tc>
        <w:tc>
          <w:tcPr>
            <w:tcW w:w="500" w:type="dxa"/>
            <w:vAlign w:val="bottom"/>
            <w:vMerge w:val="restart"/>
          </w:tcPr>
          <w:p>
            <w:pPr>
              <w:ind w:left="340"/>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7"/>
                <w:szCs w:val="7"/>
                <w:color w:val="auto"/>
              </w:rPr>
            </w:pPr>
          </w:p>
        </w:tc>
        <w:tc>
          <w:tcPr>
            <w:tcW w:w="38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4"/>
        </w:trPr>
        <w:tc>
          <w:tcPr>
            <w:tcW w:w="640" w:type="dxa"/>
            <w:vAlign w:val="bottom"/>
          </w:tcPr>
          <w:p>
            <w:pPr>
              <w:jc w:val="right"/>
              <w:spacing w:after="0"/>
              <w:rPr>
                <w:sz w:val="20"/>
                <w:szCs w:val="20"/>
                <w:color w:val="auto"/>
              </w:rPr>
            </w:pPr>
            <w:r>
              <w:rPr>
                <w:rFonts w:ascii="Arial" w:cs="Arial" w:eastAsia="Arial" w:hAnsi="Arial"/>
                <w:sz w:val="9"/>
                <w:szCs w:val="9"/>
                <w:color w:val="auto"/>
              </w:rPr>
              <w:t>of tax</w:t>
            </w:r>
          </w:p>
        </w:tc>
        <w:tc>
          <w:tcPr>
            <w:tcW w:w="6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Net loss</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9"/>
                <w:szCs w:val="9"/>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9"/>
                <w:szCs w:val="9"/>
                <w:color w:val="auto"/>
              </w:rPr>
              <w:t>—</w:t>
            </w:r>
          </w:p>
        </w:tc>
        <w:tc>
          <w:tcPr>
            <w:tcW w:w="3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(28,820)</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9"/>
                <w:szCs w:val="9"/>
                <w:color w:val="auto"/>
              </w:rPr>
              <w:t>(28,820)</w:t>
            </w:r>
          </w:p>
        </w:tc>
        <w:tc>
          <w:tcPr>
            <w:tcW w:w="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9"/>
                <w:szCs w:val="9"/>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1"/>
        </w:trPr>
        <w:tc>
          <w:tcPr>
            <w:tcW w:w="640" w:type="dxa"/>
            <w:vAlign w:val="bottom"/>
          </w:tcPr>
          <w:p>
            <w:pPr>
              <w:jc w:val="right"/>
              <w:spacing w:after="0" w:line="81" w:lineRule="exact"/>
              <w:rPr>
                <w:sz w:val="20"/>
                <w:szCs w:val="20"/>
                <w:color w:val="auto"/>
              </w:rPr>
            </w:pPr>
            <w:r>
              <w:rPr>
                <w:rFonts w:ascii="Arial" w:cs="Arial" w:eastAsia="Arial" w:hAnsi="Arial"/>
                <w:sz w:val="9"/>
                <w:szCs w:val="9"/>
                <w:color w:val="auto"/>
              </w:rPr>
              <w:t>Balance as of</w:t>
            </w:r>
          </w:p>
        </w:tc>
        <w:tc>
          <w:tcPr>
            <w:tcW w:w="68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9"/>
                <w:szCs w:val="9"/>
                <w:color w:val="auto"/>
              </w:rPr>
              <w:t>400,000,000</w:t>
            </w:r>
          </w:p>
        </w:tc>
        <w:tc>
          <w:tcPr>
            <w:tcW w:w="20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9"/>
                <w:szCs w:val="9"/>
                <w:color w:val="auto"/>
              </w:rPr>
              <w:t>$</w:t>
            </w:r>
          </w:p>
        </w:tc>
        <w:tc>
          <w:tcPr>
            <w:tcW w:w="40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9"/>
                <w:szCs w:val="9"/>
                <w:color w:val="auto"/>
              </w:rPr>
              <w:t>2,723</w:t>
            </w:r>
          </w:p>
        </w:tc>
        <w:tc>
          <w:tcPr>
            <w:tcW w:w="64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9"/>
                <w:szCs w:val="9"/>
                <w:color w:val="auto"/>
              </w:rPr>
              <w:t>182,500,000</w:t>
            </w:r>
          </w:p>
        </w:tc>
        <w:tc>
          <w:tcPr>
            <w:tcW w:w="18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9"/>
                <w:szCs w:val="9"/>
                <w:color w:val="auto"/>
              </w:rPr>
              <w:t>$</w:t>
            </w:r>
          </w:p>
        </w:tc>
        <w:tc>
          <w:tcPr>
            <w:tcW w:w="440" w:type="dxa"/>
            <w:vAlign w:val="bottom"/>
            <w:tcBorders>
              <w:top w:val="single" w:sz="8" w:color="auto"/>
            </w:tcBorders>
            <w:vMerge w:val="restart"/>
          </w:tcPr>
          <w:p>
            <w:pPr>
              <w:jc w:val="right"/>
              <w:ind w:right="55"/>
              <w:spacing w:after="0"/>
              <w:rPr>
                <w:sz w:val="20"/>
                <w:szCs w:val="20"/>
                <w:color w:val="auto"/>
              </w:rPr>
            </w:pPr>
            <w:r>
              <w:rPr>
                <w:rFonts w:ascii="Arial" w:cs="Arial" w:eastAsia="Arial" w:hAnsi="Arial"/>
                <w:sz w:val="9"/>
                <w:szCs w:val="9"/>
                <w:color w:val="auto"/>
                <w:w w:val="98"/>
              </w:rPr>
              <w:t>182,500</w:t>
            </w:r>
          </w:p>
        </w:tc>
        <w:tc>
          <w:tcPr>
            <w:tcW w:w="560" w:type="dxa"/>
            <w:vAlign w:val="bottom"/>
            <w:tcBorders>
              <w:top w:val="single" w:sz="8" w:color="auto"/>
            </w:tcBorders>
            <w:vMerge w:val="restart"/>
          </w:tcPr>
          <w:p>
            <w:pPr>
              <w:ind w:left="400"/>
              <w:spacing w:after="0"/>
              <w:rPr>
                <w:sz w:val="20"/>
                <w:szCs w:val="20"/>
                <w:color w:val="auto"/>
              </w:rPr>
            </w:pPr>
            <w:r>
              <w:rPr>
                <w:rFonts w:ascii="Arial" w:cs="Arial" w:eastAsia="Arial" w:hAnsi="Arial"/>
                <w:sz w:val="9"/>
                <w:szCs w:val="9"/>
                <w:color w:val="auto"/>
              </w:rPr>
              <w:t>—</w:t>
            </w:r>
          </w:p>
        </w:tc>
        <w:tc>
          <w:tcPr>
            <w:tcW w:w="20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9"/>
                <w:szCs w:val="9"/>
                <w:color w:val="auto"/>
              </w:rPr>
              <w:t>$</w:t>
            </w:r>
          </w:p>
        </w:tc>
        <w:tc>
          <w:tcPr>
            <w:tcW w:w="42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9"/>
                <w:szCs w:val="9"/>
                <w:color w:val="auto"/>
              </w:rPr>
              <w:t>5,426</w:t>
            </w:r>
          </w:p>
        </w:tc>
        <w:tc>
          <w:tcPr>
            <w:tcW w:w="64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9"/>
                <w:szCs w:val="9"/>
                <w:color w:val="auto"/>
              </w:rPr>
              <w:t>270,270,270</w:t>
            </w:r>
          </w:p>
        </w:tc>
        <w:tc>
          <w:tcPr>
            <w:tcW w:w="18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9"/>
                <w:szCs w:val="9"/>
                <w:color w:val="auto"/>
              </w:rPr>
              <w:t>$</w:t>
            </w:r>
          </w:p>
        </w:tc>
        <w:tc>
          <w:tcPr>
            <w:tcW w:w="480" w:type="dxa"/>
            <w:vAlign w:val="bottom"/>
            <w:tcBorders>
              <w:top w:val="single" w:sz="8" w:color="auto"/>
            </w:tcBorders>
            <w:vMerge w:val="restart"/>
          </w:tcPr>
          <w:p>
            <w:pPr>
              <w:jc w:val="right"/>
              <w:ind w:right="95"/>
              <w:spacing w:after="0"/>
              <w:rPr>
                <w:sz w:val="20"/>
                <w:szCs w:val="20"/>
                <w:color w:val="auto"/>
              </w:rPr>
            </w:pPr>
            <w:r>
              <w:rPr>
                <w:rFonts w:ascii="Arial" w:cs="Arial" w:eastAsia="Arial" w:hAnsi="Arial"/>
                <w:sz w:val="9"/>
                <w:szCs w:val="9"/>
                <w:color w:val="auto"/>
                <w:w w:val="98"/>
              </w:rPr>
              <w:t>310,104</w:t>
            </w:r>
          </w:p>
        </w:tc>
        <w:tc>
          <w:tcPr>
            <w:tcW w:w="720" w:type="dxa"/>
            <w:vAlign w:val="bottom"/>
            <w:tcBorders>
              <w:top w:val="single" w:sz="8" w:color="auto"/>
            </w:tcBorders>
            <w:vMerge w:val="restart"/>
          </w:tcPr>
          <w:p>
            <w:pPr>
              <w:ind w:left="560"/>
              <w:spacing w:after="0"/>
              <w:rPr>
                <w:sz w:val="20"/>
                <w:szCs w:val="20"/>
                <w:color w:val="auto"/>
              </w:rPr>
            </w:pPr>
            <w:r>
              <w:rPr>
                <w:rFonts w:ascii="Arial" w:cs="Arial" w:eastAsia="Arial" w:hAnsi="Arial"/>
                <w:sz w:val="9"/>
                <w:szCs w:val="9"/>
                <w:color w:val="auto"/>
              </w:rPr>
              <w:t>—</w:t>
            </w:r>
          </w:p>
        </w:tc>
        <w:tc>
          <w:tcPr>
            <w:tcW w:w="360" w:type="dxa"/>
            <w:vAlign w:val="bottom"/>
            <w:tcBorders>
              <w:top w:val="single" w:sz="8" w:color="auto"/>
            </w:tcBorders>
            <w:vMerge w:val="restart"/>
          </w:tcPr>
          <w:p>
            <w:pPr>
              <w:jc w:val="right"/>
              <w:ind w:right="195"/>
              <w:spacing w:after="0"/>
              <w:rPr>
                <w:sz w:val="20"/>
                <w:szCs w:val="20"/>
                <w:color w:val="auto"/>
              </w:rPr>
            </w:pPr>
            <w:r>
              <w:rPr>
                <w:rFonts w:ascii="Arial" w:cs="Arial" w:eastAsia="Arial" w:hAnsi="Arial"/>
                <w:sz w:val="9"/>
                <w:szCs w:val="9"/>
                <w:color w:val="auto"/>
              </w:rPr>
              <w:t>$</w:t>
            </w:r>
          </w:p>
        </w:tc>
        <w:tc>
          <w:tcPr>
            <w:tcW w:w="40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9"/>
                <w:szCs w:val="9"/>
                <w:color w:val="auto"/>
              </w:rPr>
              <w:t>—</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rPr>
              <w:t>$</w:t>
            </w:r>
          </w:p>
        </w:tc>
        <w:tc>
          <w:tcPr>
            <w:tcW w:w="66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9"/>
                <w:szCs w:val="9"/>
                <w:color w:val="auto"/>
              </w:rPr>
              <w:t>(141,324)</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rPr>
              <w:t>$</w:t>
            </w:r>
          </w:p>
        </w:tc>
        <w:tc>
          <w:tcPr>
            <w:tcW w:w="700" w:type="dxa"/>
            <w:vAlign w:val="bottom"/>
            <w:tcBorders>
              <w:top w:val="single" w:sz="8" w:color="auto"/>
            </w:tcBorders>
            <w:vMerge w:val="restart"/>
          </w:tcPr>
          <w:p>
            <w:pPr>
              <w:jc w:val="right"/>
              <w:ind w:right="55"/>
              <w:spacing w:after="0"/>
              <w:rPr>
                <w:sz w:val="20"/>
                <w:szCs w:val="20"/>
                <w:color w:val="auto"/>
              </w:rPr>
            </w:pPr>
            <w:r>
              <w:rPr>
                <w:rFonts w:ascii="Arial" w:cs="Arial" w:eastAsia="Arial" w:hAnsi="Arial"/>
                <w:sz w:val="9"/>
                <w:szCs w:val="9"/>
                <w:color w:val="auto"/>
              </w:rPr>
              <w:t>270</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rPr>
              <w:t>$</w:t>
            </w:r>
          </w:p>
        </w:tc>
        <w:tc>
          <w:tcPr>
            <w:tcW w:w="60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9"/>
                <w:szCs w:val="9"/>
                <w:color w:val="auto"/>
              </w:rPr>
              <w:t>359,699</w:t>
            </w:r>
          </w:p>
        </w:tc>
        <w:tc>
          <w:tcPr>
            <w:tcW w:w="500" w:type="dxa"/>
            <w:vAlign w:val="bottom"/>
            <w:tcBorders>
              <w:top w:val="single" w:sz="8" w:color="auto"/>
            </w:tcBorders>
            <w:vMerge w:val="restart"/>
          </w:tcPr>
          <w:p>
            <w:pPr>
              <w:ind w:left="340"/>
              <w:spacing w:after="0"/>
              <w:rPr>
                <w:sz w:val="20"/>
                <w:szCs w:val="20"/>
                <w:color w:val="auto"/>
              </w:rPr>
            </w:pPr>
            <w:r>
              <w:rPr>
                <w:rFonts w:ascii="Arial" w:cs="Arial" w:eastAsia="Arial" w:hAnsi="Arial"/>
                <w:sz w:val="9"/>
                <w:szCs w:val="9"/>
                <w:color w:val="auto"/>
              </w:rPr>
              <w:t>—</w:t>
            </w:r>
          </w:p>
        </w:tc>
        <w:tc>
          <w:tcPr>
            <w:tcW w:w="20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9"/>
                <w:szCs w:val="9"/>
                <w:color w:val="auto"/>
              </w:rPr>
              <w:t>$</w:t>
            </w:r>
          </w:p>
        </w:tc>
        <w:tc>
          <w:tcPr>
            <w:tcW w:w="38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9"/>
                <w:szCs w:val="9"/>
                <w:color w:val="auto"/>
              </w:rPr>
              <w:t>22,322</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rPr>
              <w:t>$</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rPr>
              <w:t>22,322</w:t>
            </w:r>
          </w:p>
        </w:tc>
        <w:tc>
          <w:tcPr>
            <w:tcW w:w="0" w:type="dxa"/>
            <w:vAlign w:val="bottom"/>
          </w:tcPr>
          <w:p>
            <w:pPr>
              <w:spacing w:after="0"/>
              <w:rPr>
                <w:sz w:val="1"/>
                <w:szCs w:val="1"/>
                <w:color w:val="auto"/>
              </w:rPr>
            </w:pPr>
          </w:p>
        </w:tc>
      </w:tr>
      <w:tr>
        <w:trPr>
          <w:trHeight w:val="74"/>
        </w:trPr>
        <w:tc>
          <w:tcPr>
            <w:tcW w:w="640" w:type="dxa"/>
            <w:vAlign w:val="bottom"/>
            <w:vMerge w:val="restart"/>
          </w:tcPr>
          <w:p>
            <w:pPr>
              <w:jc w:val="right"/>
              <w:spacing w:after="0" w:line="102" w:lineRule="exact"/>
              <w:rPr>
                <w:sz w:val="20"/>
                <w:szCs w:val="20"/>
                <w:color w:val="auto"/>
              </w:rPr>
            </w:pPr>
            <w:r>
              <w:rPr>
                <w:rFonts w:ascii="Arial" w:cs="Arial" w:eastAsia="Arial" w:hAnsi="Arial"/>
                <w:sz w:val="9"/>
                <w:szCs w:val="9"/>
                <w:color w:val="auto"/>
                <w:w w:val="95"/>
              </w:rPr>
              <w:t>March 31, 2021</w:t>
            </w:r>
          </w:p>
        </w:tc>
        <w:tc>
          <w:tcPr>
            <w:tcW w:w="68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640" w:type="dxa"/>
            <w:vAlign w:val="bottom"/>
            <w:vMerge w:val="continue"/>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Issuance of</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40" w:type="dxa"/>
            <w:vAlign w:val="bottom"/>
          </w:tcPr>
          <w:p>
            <w:pPr>
              <w:jc w:val="right"/>
              <w:spacing w:after="0" w:line="95" w:lineRule="exact"/>
              <w:rPr>
                <w:sz w:val="20"/>
                <w:szCs w:val="20"/>
                <w:color w:val="auto"/>
              </w:rPr>
            </w:pPr>
            <w:r>
              <w:rPr>
                <w:rFonts w:ascii="Arial" w:cs="Arial" w:eastAsia="Arial" w:hAnsi="Arial"/>
                <w:sz w:val="9"/>
                <w:szCs w:val="9"/>
                <w:color w:val="auto"/>
              </w:rPr>
              <w:t>Class A voting</w:t>
            </w:r>
          </w:p>
        </w:tc>
        <w:tc>
          <w:tcPr>
            <w:tcW w:w="68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00" w:type="dxa"/>
            <w:vAlign w:val="bottom"/>
            <w:vMerge w:val="restart"/>
          </w:tcPr>
          <w:p>
            <w:pPr>
              <w:jc w:val="right"/>
              <w:ind w:right="75"/>
              <w:spacing w:after="0"/>
              <w:rPr>
                <w:sz w:val="20"/>
                <w:szCs w:val="20"/>
                <w:color w:val="auto"/>
              </w:rPr>
            </w:pPr>
            <w:r>
              <w:rPr>
                <w:rFonts w:ascii="Arial" w:cs="Arial" w:eastAsia="Arial" w:hAnsi="Arial"/>
                <w:sz w:val="9"/>
                <w:szCs w:val="9"/>
                <w:color w:val="auto"/>
              </w:rPr>
              <w:t>174</w:t>
            </w:r>
          </w:p>
        </w:tc>
        <w:tc>
          <w:tcPr>
            <w:tcW w:w="64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440" w:type="dxa"/>
            <w:vAlign w:val="bottom"/>
            <w:vMerge w:val="restart"/>
          </w:tcPr>
          <w:p>
            <w:pPr>
              <w:jc w:val="right"/>
              <w:ind w:right="55"/>
              <w:spacing w:after="0"/>
              <w:rPr>
                <w:sz w:val="20"/>
                <w:szCs w:val="20"/>
                <w:color w:val="auto"/>
              </w:rPr>
            </w:pPr>
            <w:r>
              <w:rPr>
                <w:rFonts w:ascii="Arial" w:cs="Arial" w:eastAsia="Arial" w:hAnsi="Arial"/>
                <w:sz w:val="9"/>
                <w:szCs w:val="9"/>
                <w:color w:val="auto"/>
              </w:rPr>
              <w:t>—</w:t>
            </w:r>
          </w:p>
        </w:tc>
        <w:tc>
          <w:tcPr>
            <w:tcW w:w="560" w:type="dxa"/>
            <w:vAlign w:val="bottom"/>
            <w:vMerge w:val="restart"/>
          </w:tcPr>
          <w:p>
            <w:pPr>
              <w:ind w:left="400"/>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20" w:type="dxa"/>
            <w:vAlign w:val="bottom"/>
            <w:vMerge w:val="restart"/>
          </w:tcPr>
          <w:p>
            <w:pPr>
              <w:jc w:val="right"/>
              <w:ind w:right="75"/>
              <w:spacing w:after="0"/>
              <w:rPr>
                <w:sz w:val="20"/>
                <w:szCs w:val="20"/>
                <w:color w:val="auto"/>
              </w:rPr>
            </w:pPr>
            <w:r>
              <w:rPr>
                <w:rFonts w:ascii="Arial" w:cs="Arial" w:eastAsia="Arial" w:hAnsi="Arial"/>
                <w:sz w:val="9"/>
                <w:szCs w:val="9"/>
                <w:color w:val="auto"/>
              </w:rPr>
              <w:t>—</w:t>
            </w:r>
          </w:p>
        </w:tc>
        <w:tc>
          <w:tcPr>
            <w:tcW w:w="64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480" w:type="dxa"/>
            <w:vAlign w:val="bottom"/>
            <w:vMerge w:val="restart"/>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vMerge w:val="restart"/>
          </w:tcPr>
          <w:p>
            <w:pPr>
              <w:ind w:left="56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8"/>
                <w:szCs w:val="8"/>
                <w:color w:val="auto"/>
              </w:rPr>
            </w:pPr>
          </w:p>
        </w:tc>
        <w:tc>
          <w:tcPr>
            <w:tcW w:w="40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66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00" w:type="dxa"/>
            <w:vAlign w:val="bottom"/>
            <w:vMerge w:val="restart"/>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0" w:type="dxa"/>
            <w:vAlign w:val="bottom"/>
            <w:vMerge w:val="restart"/>
          </w:tcPr>
          <w:p>
            <w:pPr>
              <w:jc w:val="right"/>
              <w:ind w:right="115"/>
              <w:spacing w:after="0"/>
              <w:rPr>
                <w:sz w:val="20"/>
                <w:szCs w:val="20"/>
                <w:color w:val="auto"/>
              </w:rPr>
            </w:pPr>
            <w:r>
              <w:rPr>
                <w:rFonts w:ascii="Arial" w:cs="Arial" w:eastAsia="Arial" w:hAnsi="Arial"/>
                <w:sz w:val="9"/>
                <w:szCs w:val="9"/>
                <w:color w:val="auto"/>
              </w:rPr>
              <w:t>174</w:t>
            </w:r>
          </w:p>
        </w:tc>
        <w:tc>
          <w:tcPr>
            <w:tcW w:w="500" w:type="dxa"/>
            <w:vAlign w:val="bottom"/>
            <w:vMerge w:val="restart"/>
          </w:tcPr>
          <w:p>
            <w:pPr>
              <w:ind w:left="340"/>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8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1"/>
        </w:trPr>
        <w:tc>
          <w:tcPr>
            <w:tcW w:w="640" w:type="dxa"/>
            <w:vAlign w:val="bottom"/>
          </w:tcPr>
          <w:p>
            <w:pPr>
              <w:jc w:val="right"/>
              <w:spacing w:after="0"/>
              <w:rPr>
                <w:sz w:val="20"/>
                <w:szCs w:val="20"/>
                <w:color w:val="auto"/>
              </w:rPr>
            </w:pPr>
            <w:r>
              <w:rPr>
                <w:rFonts w:ascii="Arial" w:cs="Arial" w:eastAsia="Arial" w:hAnsi="Arial"/>
                <w:sz w:val="9"/>
                <w:szCs w:val="9"/>
                <w:color w:val="auto"/>
              </w:rPr>
              <w:t>units</w:t>
            </w: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Unit-based</w:t>
            </w: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incentive</w:t>
            </w: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400" w:type="dxa"/>
            <w:vAlign w:val="bottom"/>
            <w:vMerge w:val="restart"/>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64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560" w:type="dxa"/>
            <w:vAlign w:val="bottom"/>
            <w:vMerge w:val="restart"/>
            <w:shd w:val="clear" w:color="auto" w:fill="CCEEFF"/>
          </w:tcPr>
          <w:p>
            <w:pPr>
              <w:ind w:left="400"/>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420" w:type="dxa"/>
            <w:vAlign w:val="bottom"/>
            <w:vMerge w:val="restart"/>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64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vMerge w:val="restart"/>
            <w:shd w:val="clear" w:color="auto" w:fill="CCEEFF"/>
          </w:tcPr>
          <w:p>
            <w:pPr>
              <w:ind w:left="56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spacing w:after="0"/>
              <w:rPr>
                <w:sz w:val="8"/>
                <w:szCs w:val="8"/>
                <w:color w:val="auto"/>
              </w:rPr>
            </w:pPr>
          </w:p>
        </w:tc>
        <w:tc>
          <w:tcPr>
            <w:tcW w:w="40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ind w:right="115"/>
              <w:spacing w:after="0"/>
              <w:rPr>
                <w:sz w:val="20"/>
                <w:szCs w:val="20"/>
                <w:color w:val="auto"/>
              </w:rPr>
            </w:pPr>
            <w:r>
              <w:rPr>
                <w:rFonts w:ascii="Arial" w:cs="Arial" w:eastAsia="Arial" w:hAnsi="Arial"/>
                <w:sz w:val="9"/>
                <w:szCs w:val="9"/>
                <w:color w:val="auto"/>
              </w:rPr>
              <w:t>—</w:t>
            </w:r>
          </w:p>
        </w:tc>
        <w:tc>
          <w:tcPr>
            <w:tcW w:w="500" w:type="dxa"/>
            <w:vAlign w:val="bottom"/>
            <w:vMerge w:val="restart"/>
            <w:shd w:val="clear" w:color="auto" w:fill="CCEEFF"/>
          </w:tcPr>
          <w:p>
            <w:pPr>
              <w:ind w:left="340"/>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870</w:t>
            </w:r>
          </w:p>
        </w:tc>
        <w:tc>
          <w:tcPr>
            <w:tcW w:w="16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870</w:t>
            </w:r>
          </w:p>
        </w:tc>
        <w:tc>
          <w:tcPr>
            <w:tcW w:w="0" w:type="dxa"/>
            <w:vAlign w:val="bottom"/>
          </w:tcPr>
          <w:p>
            <w:pPr>
              <w:spacing w:after="0"/>
              <w:rPr>
                <w:sz w:val="1"/>
                <w:szCs w:val="1"/>
                <w:color w:val="auto"/>
              </w:rPr>
            </w:pPr>
          </w:p>
        </w:tc>
      </w:tr>
      <w:tr>
        <w:trPr>
          <w:trHeight w:val="129"/>
        </w:trPr>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compensation</w:t>
            </w:r>
          </w:p>
        </w:tc>
        <w:tc>
          <w:tcPr>
            <w:tcW w:w="6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Exercise of</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40" w:type="dxa"/>
            <w:vAlign w:val="bottom"/>
          </w:tcPr>
          <w:p>
            <w:pPr>
              <w:jc w:val="right"/>
              <w:spacing w:after="0" w:line="95" w:lineRule="exact"/>
              <w:rPr>
                <w:sz w:val="20"/>
                <w:szCs w:val="20"/>
                <w:color w:val="auto"/>
              </w:rPr>
            </w:pPr>
            <w:r>
              <w:rPr>
                <w:rFonts w:ascii="Arial" w:cs="Arial" w:eastAsia="Arial" w:hAnsi="Arial"/>
                <w:sz w:val="9"/>
                <w:szCs w:val="9"/>
                <w:color w:val="auto"/>
                <w:w w:val="91"/>
              </w:rPr>
              <w:t>Class B Warrant</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640" w:type="dxa"/>
            <w:vAlign w:val="bottom"/>
          </w:tcPr>
          <w:p>
            <w:pPr>
              <w:jc w:val="right"/>
              <w:spacing w:after="0" w:line="88" w:lineRule="exact"/>
              <w:rPr>
                <w:sz w:val="20"/>
                <w:szCs w:val="20"/>
                <w:color w:val="auto"/>
              </w:rPr>
            </w:pPr>
            <w:r>
              <w:rPr>
                <w:rFonts w:ascii="Arial" w:cs="Arial" w:eastAsia="Arial" w:hAnsi="Arial"/>
                <w:sz w:val="9"/>
                <w:szCs w:val="9"/>
                <w:color w:val="auto"/>
              </w:rPr>
              <w:t>for Class B</w:t>
            </w:r>
          </w:p>
        </w:tc>
        <w:tc>
          <w:tcPr>
            <w:tcW w:w="68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7"/>
                <w:szCs w:val="7"/>
                <w:color w:val="auto"/>
              </w:rPr>
            </w:pPr>
          </w:p>
        </w:tc>
        <w:tc>
          <w:tcPr>
            <w:tcW w:w="400" w:type="dxa"/>
            <w:vAlign w:val="bottom"/>
            <w:vMerge w:val="restart"/>
          </w:tcPr>
          <w:p>
            <w:pPr>
              <w:jc w:val="right"/>
              <w:ind w:right="75"/>
              <w:spacing w:after="0"/>
              <w:rPr>
                <w:sz w:val="20"/>
                <w:szCs w:val="20"/>
                <w:color w:val="auto"/>
              </w:rPr>
            </w:pPr>
            <w:r>
              <w:rPr>
                <w:rFonts w:ascii="Arial" w:cs="Arial" w:eastAsia="Arial" w:hAnsi="Arial"/>
                <w:sz w:val="9"/>
                <w:szCs w:val="9"/>
                <w:color w:val="auto"/>
              </w:rPr>
              <w:t>—</w:t>
            </w:r>
          </w:p>
        </w:tc>
        <w:tc>
          <w:tcPr>
            <w:tcW w:w="640" w:type="dxa"/>
            <w:vAlign w:val="bottom"/>
            <w:vMerge w:val="restart"/>
          </w:tcPr>
          <w:p>
            <w:pPr>
              <w:jc w:val="right"/>
              <w:ind w:right="35"/>
              <w:spacing w:after="0"/>
              <w:rPr>
                <w:sz w:val="20"/>
                <w:szCs w:val="20"/>
                <w:color w:val="auto"/>
              </w:rPr>
            </w:pPr>
            <w:r>
              <w:rPr>
                <w:rFonts w:ascii="Arial" w:cs="Arial" w:eastAsia="Arial" w:hAnsi="Arial"/>
                <w:sz w:val="9"/>
                <w:szCs w:val="9"/>
                <w:color w:val="auto"/>
              </w:rPr>
              <w:t>9,953,454</w:t>
            </w:r>
          </w:p>
        </w:tc>
        <w:tc>
          <w:tcPr>
            <w:tcW w:w="180" w:type="dxa"/>
            <w:vAlign w:val="bottom"/>
          </w:tcPr>
          <w:p>
            <w:pPr>
              <w:spacing w:after="0"/>
              <w:rPr>
                <w:sz w:val="7"/>
                <w:szCs w:val="7"/>
                <w:color w:val="auto"/>
              </w:rPr>
            </w:pPr>
          </w:p>
        </w:tc>
        <w:tc>
          <w:tcPr>
            <w:tcW w:w="440" w:type="dxa"/>
            <w:vAlign w:val="bottom"/>
            <w:vMerge w:val="restart"/>
          </w:tcPr>
          <w:p>
            <w:pPr>
              <w:jc w:val="right"/>
              <w:ind w:right="55"/>
              <w:spacing w:after="0"/>
              <w:rPr>
                <w:sz w:val="20"/>
                <w:szCs w:val="20"/>
                <w:color w:val="auto"/>
              </w:rPr>
            </w:pPr>
            <w:r>
              <w:rPr>
                <w:rFonts w:ascii="Arial" w:cs="Arial" w:eastAsia="Arial" w:hAnsi="Arial"/>
                <w:sz w:val="9"/>
                <w:szCs w:val="9"/>
                <w:color w:val="auto"/>
              </w:rPr>
              <w:t>5,426</w:t>
            </w:r>
          </w:p>
        </w:tc>
        <w:tc>
          <w:tcPr>
            <w:tcW w:w="560" w:type="dxa"/>
            <w:vAlign w:val="bottom"/>
            <w:vMerge w:val="restart"/>
          </w:tcPr>
          <w:p>
            <w:pPr>
              <w:ind w:left="400"/>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7"/>
                <w:szCs w:val="7"/>
                <w:color w:val="auto"/>
              </w:rPr>
            </w:pPr>
          </w:p>
        </w:tc>
        <w:tc>
          <w:tcPr>
            <w:tcW w:w="420" w:type="dxa"/>
            <w:vAlign w:val="bottom"/>
            <w:vMerge w:val="restart"/>
          </w:tcPr>
          <w:p>
            <w:pPr>
              <w:jc w:val="right"/>
              <w:ind w:right="55"/>
              <w:spacing w:after="0"/>
              <w:rPr>
                <w:sz w:val="20"/>
                <w:szCs w:val="20"/>
                <w:color w:val="auto"/>
              </w:rPr>
            </w:pPr>
            <w:r>
              <w:rPr>
                <w:rFonts w:ascii="Arial" w:cs="Arial" w:eastAsia="Arial" w:hAnsi="Arial"/>
                <w:sz w:val="9"/>
                <w:szCs w:val="9"/>
                <w:color w:val="auto"/>
              </w:rPr>
              <w:t>(5,426)</w:t>
            </w:r>
          </w:p>
        </w:tc>
        <w:tc>
          <w:tcPr>
            <w:tcW w:w="64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7"/>
                <w:szCs w:val="7"/>
                <w:color w:val="auto"/>
              </w:rPr>
            </w:pPr>
          </w:p>
        </w:tc>
        <w:tc>
          <w:tcPr>
            <w:tcW w:w="480" w:type="dxa"/>
            <w:vAlign w:val="bottom"/>
            <w:vMerge w:val="restart"/>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vMerge w:val="restart"/>
          </w:tcPr>
          <w:p>
            <w:pPr>
              <w:ind w:left="56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7"/>
                <w:szCs w:val="7"/>
                <w:color w:val="auto"/>
              </w:rPr>
            </w:pPr>
          </w:p>
        </w:tc>
        <w:tc>
          <w:tcPr>
            <w:tcW w:w="40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7"/>
                <w:szCs w:val="7"/>
                <w:color w:val="auto"/>
              </w:rPr>
            </w:pPr>
          </w:p>
        </w:tc>
        <w:tc>
          <w:tcPr>
            <w:tcW w:w="66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7"/>
                <w:szCs w:val="7"/>
                <w:color w:val="auto"/>
              </w:rPr>
            </w:pPr>
          </w:p>
        </w:tc>
        <w:tc>
          <w:tcPr>
            <w:tcW w:w="700" w:type="dxa"/>
            <w:vAlign w:val="bottom"/>
            <w:vMerge w:val="restart"/>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600" w:type="dxa"/>
            <w:vAlign w:val="bottom"/>
            <w:vMerge w:val="restart"/>
          </w:tcPr>
          <w:p>
            <w:pPr>
              <w:jc w:val="right"/>
              <w:ind w:right="115"/>
              <w:spacing w:after="0"/>
              <w:rPr>
                <w:sz w:val="20"/>
                <w:szCs w:val="20"/>
                <w:color w:val="auto"/>
              </w:rPr>
            </w:pPr>
            <w:r>
              <w:rPr>
                <w:rFonts w:ascii="Arial" w:cs="Arial" w:eastAsia="Arial" w:hAnsi="Arial"/>
                <w:sz w:val="9"/>
                <w:szCs w:val="9"/>
                <w:color w:val="auto"/>
              </w:rPr>
              <w:t>—</w:t>
            </w:r>
          </w:p>
        </w:tc>
        <w:tc>
          <w:tcPr>
            <w:tcW w:w="500" w:type="dxa"/>
            <w:vAlign w:val="bottom"/>
            <w:vMerge w:val="restart"/>
          </w:tcPr>
          <w:p>
            <w:pPr>
              <w:ind w:left="340"/>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7"/>
                <w:szCs w:val="7"/>
                <w:color w:val="auto"/>
              </w:rPr>
            </w:pPr>
          </w:p>
        </w:tc>
        <w:tc>
          <w:tcPr>
            <w:tcW w:w="38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4"/>
        </w:trPr>
        <w:tc>
          <w:tcPr>
            <w:tcW w:w="640" w:type="dxa"/>
            <w:vAlign w:val="bottom"/>
          </w:tcPr>
          <w:p>
            <w:pPr>
              <w:jc w:val="right"/>
              <w:spacing w:after="0"/>
              <w:rPr>
                <w:sz w:val="20"/>
                <w:szCs w:val="20"/>
                <w:color w:val="auto"/>
              </w:rPr>
            </w:pPr>
            <w:r>
              <w:rPr>
                <w:rFonts w:ascii="Arial" w:cs="Arial" w:eastAsia="Arial" w:hAnsi="Arial"/>
                <w:sz w:val="9"/>
                <w:szCs w:val="9"/>
                <w:color w:val="auto"/>
              </w:rPr>
              <w:t>Voting units</w:t>
            </w:r>
          </w:p>
        </w:tc>
        <w:tc>
          <w:tcPr>
            <w:tcW w:w="6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6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Currency</w:t>
            </w: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translation</w:t>
            </w: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640" w:type="dxa"/>
            <w:vAlign w:val="bottom"/>
            <w:shd w:val="clear" w:color="auto" w:fill="CCEEFF"/>
          </w:tcPr>
          <w:p>
            <w:pPr>
              <w:jc w:val="right"/>
              <w:spacing w:after="0" w:line="88" w:lineRule="exact"/>
              <w:rPr>
                <w:sz w:val="20"/>
                <w:szCs w:val="20"/>
                <w:color w:val="auto"/>
              </w:rPr>
            </w:pPr>
            <w:r>
              <w:rPr>
                <w:rFonts w:ascii="Arial" w:cs="Arial" w:eastAsia="Arial" w:hAnsi="Arial"/>
                <w:sz w:val="9"/>
                <w:szCs w:val="9"/>
                <w:color w:val="auto"/>
                <w:w w:val="97"/>
              </w:rPr>
              <w:t>adjustment, net</w:t>
            </w: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7"/>
                <w:szCs w:val="7"/>
                <w:color w:val="auto"/>
              </w:rPr>
            </w:pPr>
          </w:p>
        </w:tc>
        <w:tc>
          <w:tcPr>
            <w:tcW w:w="400" w:type="dxa"/>
            <w:vAlign w:val="bottom"/>
            <w:vMerge w:val="restart"/>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64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7"/>
                <w:szCs w:val="7"/>
                <w:color w:val="auto"/>
              </w:rPr>
            </w:pPr>
          </w:p>
        </w:tc>
        <w:tc>
          <w:tcPr>
            <w:tcW w:w="44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560" w:type="dxa"/>
            <w:vAlign w:val="bottom"/>
            <w:vMerge w:val="restart"/>
            <w:shd w:val="clear" w:color="auto" w:fill="CCEEFF"/>
          </w:tcPr>
          <w:p>
            <w:pPr>
              <w:ind w:left="400"/>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7"/>
                <w:szCs w:val="7"/>
                <w:color w:val="auto"/>
              </w:rPr>
            </w:pPr>
          </w:p>
        </w:tc>
        <w:tc>
          <w:tcPr>
            <w:tcW w:w="420" w:type="dxa"/>
            <w:vAlign w:val="bottom"/>
            <w:vMerge w:val="restart"/>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64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7"/>
                <w:szCs w:val="7"/>
                <w:color w:val="auto"/>
              </w:rPr>
            </w:pPr>
          </w:p>
        </w:tc>
        <w:tc>
          <w:tcPr>
            <w:tcW w:w="480" w:type="dxa"/>
            <w:vAlign w:val="bottom"/>
            <w:vMerge w:val="restart"/>
            <w:shd w:val="clear" w:color="auto" w:fill="CCEEFF"/>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vMerge w:val="restart"/>
            <w:shd w:val="clear" w:color="auto" w:fill="CCEEFF"/>
          </w:tcPr>
          <w:p>
            <w:pPr>
              <w:ind w:left="56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spacing w:after="0"/>
              <w:rPr>
                <w:sz w:val="7"/>
                <w:szCs w:val="7"/>
                <w:color w:val="auto"/>
              </w:rPr>
            </w:pPr>
          </w:p>
        </w:tc>
        <w:tc>
          <w:tcPr>
            <w:tcW w:w="40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7"/>
                <w:szCs w:val="7"/>
                <w:color w:val="auto"/>
              </w:rPr>
            </w:pPr>
          </w:p>
        </w:tc>
        <w:tc>
          <w:tcPr>
            <w:tcW w:w="66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7"/>
                <w:szCs w:val="7"/>
                <w:color w:val="auto"/>
              </w:rPr>
            </w:pPr>
          </w:p>
        </w:tc>
        <w:tc>
          <w:tcPr>
            <w:tcW w:w="70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rPr>
              <w:t>94</w:t>
            </w:r>
          </w:p>
        </w:tc>
        <w:tc>
          <w:tcPr>
            <w:tcW w:w="100" w:type="dxa"/>
            <w:vAlign w:val="bottom"/>
            <w:shd w:val="clear" w:color="auto" w:fill="CCEEFF"/>
          </w:tcPr>
          <w:p>
            <w:pPr>
              <w:spacing w:after="0"/>
              <w:rPr>
                <w:sz w:val="7"/>
                <w:szCs w:val="7"/>
                <w:color w:val="auto"/>
              </w:rPr>
            </w:pPr>
          </w:p>
        </w:tc>
        <w:tc>
          <w:tcPr>
            <w:tcW w:w="600" w:type="dxa"/>
            <w:vAlign w:val="bottom"/>
            <w:vMerge w:val="restart"/>
            <w:shd w:val="clear" w:color="auto" w:fill="CCEEFF"/>
          </w:tcPr>
          <w:p>
            <w:pPr>
              <w:jc w:val="right"/>
              <w:ind w:right="115"/>
              <w:spacing w:after="0"/>
              <w:rPr>
                <w:sz w:val="20"/>
                <w:szCs w:val="20"/>
                <w:color w:val="auto"/>
              </w:rPr>
            </w:pPr>
            <w:r>
              <w:rPr>
                <w:rFonts w:ascii="Arial" w:cs="Arial" w:eastAsia="Arial" w:hAnsi="Arial"/>
                <w:sz w:val="9"/>
                <w:szCs w:val="9"/>
                <w:color w:val="auto"/>
              </w:rPr>
              <w:t>94</w:t>
            </w:r>
          </w:p>
        </w:tc>
        <w:tc>
          <w:tcPr>
            <w:tcW w:w="500" w:type="dxa"/>
            <w:vAlign w:val="bottom"/>
            <w:vMerge w:val="restart"/>
            <w:shd w:val="clear" w:color="auto" w:fill="CCEEFF"/>
          </w:tcPr>
          <w:p>
            <w:pPr>
              <w:ind w:left="340"/>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7"/>
                <w:szCs w:val="7"/>
                <w:color w:val="auto"/>
              </w:rPr>
            </w:pPr>
          </w:p>
        </w:tc>
        <w:tc>
          <w:tcPr>
            <w:tcW w:w="38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7"/>
                <w:szCs w:val="7"/>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5"/>
        </w:trPr>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of tax</w:t>
            </w:r>
          </w:p>
        </w:tc>
        <w:tc>
          <w:tcPr>
            <w:tcW w:w="680" w:type="dxa"/>
            <w:vAlign w:val="bottom"/>
            <w:tcBorders>
              <w:bottom w:val="single" w:sz="8" w:color="CCEEFF"/>
            </w:tcBorders>
            <w:vMerge w:val="continue"/>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vMerge w:val="continue"/>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vMerge w:val="continue"/>
            <w:shd w:val="clear" w:color="auto" w:fill="CCEEFF"/>
          </w:tcPr>
          <w:p>
            <w:pPr>
              <w:spacing w:after="0"/>
              <w:rPr>
                <w:sz w:val="10"/>
                <w:szCs w:val="10"/>
                <w:color w:val="auto"/>
              </w:rPr>
            </w:pPr>
          </w:p>
        </w:tc>
        <w:tc>
          <w:tcPr>
            <w:tcW w:w="560" w:type="dxa"/>
            <w:vAlign w:val="bottom"/>
            <w:tcBorders>
              <w:bottom w:val="single" w:sz="8" w:color="CCEEFF"/>
            </w:tcBorders>
            <w:vMerge w:val="continue"/>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vMerge w:val="continue"/>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vMerge w:val="continue"/>
            <w:shd w:val="clear" w:color="auto" w:fill="CCEEFF"/>
          </w:tcPr>
          <w:p>
            <w:pPr>
              <w:spacing w:after="0"/>
              <w:rPr>
                <w:sz w:val="10"/>
                <w:szCs w:val="10"/>
                <w:color w:val="auto"/>
              </w:rPr>
            </w:pPr>
          </w:p>
        </w:tc>
        <w:tc>
          <w:tcPr>
            <w:tcW w:w="720" w:type="dxa"/>
            <w:vAlign w:val="bottom"/>
            <w:tcBorders>
              <w:bottom w:val="single" w:sz="8" w:color="CCEEFF"/>
            </w:tcBorders>
            <w:vMerge w:val="continue"/>
            <w:shd w:val="clear" w:color="auto" w:fill="CCEEFF"/>
          </w:tcPr>
          <w:p>
            <w:pPr>
              <w:spacing w:after="0"/>
              <w:rPr>
                <w:sz w:val="10"/>
                <w:szCs w:val="10"/>
                <w:color w:val="auto"/>
              </w:rPr>
            </w:pPr>
          </w:p>
        </w:tc>
        <w:tc>
          <w:tcPr>
            <w:tcW w:w="36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vMerge w:val="continue"/>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500" w:type="dxa"/>
            <w:vAlign w:val="bottom"/>
            <w:tcBorders>
              <w:bottom w:val="single" w:sz="8" w:color="CCEEFF"/>
            </w:tcBorders>
            <w:vMerge w:val="continue"/>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640" w:type="dxa"/>
            <w:vAlign w:val="bottom"/>
          </w:tcPr>
          <w:p>
            <w:pPr>
              <w:jc w:val="right"/>
              <w:spacing w:after="0"/>
              <w:rPr>
                <w:sz w:val="20"/>
                <w:szCs w:val="20"/>
                <w:color w:val="auto"/>
              </w:rPr>
            </w:pPr>
            <w:r>
              <w:rPr>
                <w:rFonts w:ascii="Arial" w:cs="Arial" w:eastAsia="Arial" w:hAnsi="Arial"/>
                <w:sz w:val="9"/>
                <w:szCs w:val="9"/>
                <w:color w:val="auto"/>
              </w:rPr>
              <w:t>Net loss</w:t>
            </w:r>
          </w:p>
        </w:tc>
        <w:tc>
          <w:tcPr>
            <w:tcW w:w="68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10"/>
                <w:szCs w:val="10"/>
                <w:color w:val="auto"/>
              </w:rPr>
            </w:pPr>
          </w:p>
        </w:tc>
        <w:tc>
          <w:tcPr>
            <w:tcW w:w="4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44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560" w:type="dxa"/>
            <w:vAlign w:val="bottom"/>
          </w:tcPr>
          <w:p>
            <w:pPr>
              <w:ind w:left="400"/>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10"/>
                <w:szCs w:val="10"/>
                <w:color w:val="auto"/>
              </w:rPr>
            </w:pPr>
          </w:p>
        </w:tc>
        <w:tc>
          <w:tcPr>
            <w:tcW w:w="42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0"/>
                <w:szCs w:val="10"/>
                <w:color w:val="auto"/>
              </w:rPr>
            </w:pPr>
          </w:p>
        </w:tc>
        <w:tc>
          <w:tcPr>
            <w:tcW w:w="48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tcPr>
          <w:p>
            <w:pPr>
              <w:ind w:left="56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10"/>
                <w:szCs w:val="10"/>
                <w:color w:val="auto"/>
              </w:rPr>
            </w:pPr>
          </w:p>
        </w:tc>
        <w:tc>
          <w:tcPr>
            <w:tcW w:w="40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10"/>
                <w:szCs w:val="10"/>
                <w:color w:val="auto"/>
              </w:rPr>
            </w:pPr>
          </w:p>
        </w:tc>
        <w:tc>
          <w:tcPr>
            <w:tcW w:w="660" w:type="dxa"/>
            <w:vAlign w:val="bottom"/>
          </w:tcPr>
          <w:p>
            <w:pPr>
              <w:jc w:val="right"/>
              <w:ind w:right="15"/>
              <w:spacing w:after="0"/>
              <w:rPr>
                <w:sz w:val="20"/>
                <w:szCs w:val="20"/>
                <w:color w:val="auto"/>
              </w:rPr>
            </w:pPr>
            <w:r>
              <w:rPr>
                <w:rFonts w:ascii="Arial" w:cs="Arial" w:eastAsia="Arial" w:hAnsi="Arial"/>
                <w:sz w:val="9"/>
                <w:szCs w:val="9"/>
                <w:color w:val="auto"/>
              </w:rPr>
              <w:t>(31,891)</w:t>
            </w:r>
          </w:p>
        </w:tc>
        <w:tc>
          <w:tcPr>
            <w:tcW w:w="120" w:type="dxa"/>
            <w:vAlign w:val="bottom"/>
          </w:tcPr>
          <w:p>
            <w:pPr>
              <w:spacing w:after="0"/>
              <w:rPr>
                <w:sz w:val="10"/>
                <w:szCs w:val="10"/>
                <w:color w:val="auto"/>
              </w:rPr>
            </w:pPr>
          </w:p>
        </w:tc>
        <w:tc>
          <w:tcPr>
            <w:tcW w:w="70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10"/>
                <w:szCs w:val="10"/>
                <w:color w:val="auto"/>
              </w:rPr>
            </w:pPr>
          </w:p>
        </w:tc>
        <w:tc>
          <w:tcPr>
            <w:tcW w:w="600" w:type="dxa"/>
            <w:vAlign w:val="bottom"/>
          </w:tcPr>
          <w:p>
            <w:pPr>
              <w:jc w:val="right"/>
              <w:ind w:right="95"/>
              <w:spacing w:after="0"/>
              <w:rPr>
                <w:sz w:val="20"/>
                <w:szCs w:val="20"/>
                <w:color w:val="auto"/>
              </w:rPr>
            </w:pPr>
            <w:r>
              <w:rPr>
                <w:rFonts w:ascii="Arial" w:cs="Arial" w:eastAsia="Arial" w:hAnsi="Arial"/>
                <w:sz w:val="9"/>
                <w:szCs w:val="9"/>
                <w:color w:val="auto"/>
              </w:rPr>
              <w:t>(31,891)</w:t>
            </w:r>
          </w:p>
        </w:tc>
        <w:tc>
          <w:tcPr>
            <w:tcW w:w="500" w:type="dxa"/>
            <w:vAlign w:val="bottom"/>
          </w:tcPr>
          <w:p>
            <w:pPr>
              <w:ind w:left="340"/>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10"/>
                <w:szCs w:val="10"/>
                <w:color w:val="auto"/>
              </w:rPr>
            </w:pPr>
          </w:p>
        </w:tc>
        <w:tc>
          <w:tcPr>
            <w:tcW w:w="380" w:type="dxa"/>
            <w:vAlign w:val="bottom"/>
          </w:tcPr>
          <w:p>
            <w:pPr>
              <w:jc w:val="right"/>
              <w:ind w:right="15"/>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8"/>
        </w:trPr>
        <w:tc>
          <w:tcPr>
            <w:tcW w:w="6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1"/>
        </w:trPr>
        <w:tc>
          <w:tcPr>
            <w:tcW w:w="640" w:type="dxa"/>
            <w:vAlign w:val="bottom"/>
            <w:shd w:val="clear" w:color="auto" w:fill="CCEEFF"/>
          </w:tcPr>
          <w:p>
            <w:pPr>
              <w:jc w:val="right"/>
              <w:spacing w:after="0" w:line="81" w:lineRule="exact"/>
              <w:rPr>
                <w:sz w:val="20"/>
                <w:szCs w:val="20"/>
                <w:color w:val="auto"/>
              </w:rPr>
            </w:pPr>
            <w:r>
              <w:rPr>
                <w:rFonts w:ascii="Arial" w:cs="Arial" w:eastAsia="Arial" w:hAnsi="Arial"/>
                <w:sz w:val="9"/>
                <w:szCs w:val="9"/>
                <w:color w:val="auto"/>
              </w:rPr>
              <w:t>Balance as of</w:t>
            </w: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400,000,000</w:t>
            </w:r>
          </w:p>
        </w:tc>
        <w:tc>
          <w:tcPr>
            <w:tcW w:w="20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400" w:type="dxa"/>
            <w:vAlign w:val="bottom"/>
            <w:vMerge w:val="restart"/>
            <w:shd w:val="clear" w:color="auto" w:fill="CCEEFF"/>
          </w:tcPr>
          <w:p>
            <w:pPr>
              <w:jc w:val="right"/>
              <w:ind w:right="75"/>
              <w:spacing w:after="0"/>
              <w:rPr>
                <w:sz w:val="20"/>
                <w:szCs w:val="20"/>
                <w:color w:val="auto"/>
              </w:rPr>
            </w:pPr>
            <w:r>
              <w:rPr>
                <w:rFonts w:ascii="Arial" w:cs="Arial" w:eastAsia="Arial" w:hAnsi="Arial"/>
                <w:sz w:val="9"/>
                <w:szCs w:val="9"/>
                <w:color w:val="auto"/>
              </w:rPr>
              <w:t>2,897</w:t>
            </w:r>
          </w:p>
        </w:tc>
        <w:tc>
          <w:tcPr>
            <w:tcW w:w="64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192,453,454</w:t>
            </w:r>
          </w:p>
        </w:tc>
        <w:tc>
          <w:tcPr>
            <w:tcW w:w="18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44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w w:val="98"/>
              </w:rPr>
              <w:t>187,926</w:t>
            </w:r>
          </w:p>
        </w:tc>
        <w:tc>
          <w:tcPr>
            <w:tcW w:w="560" w:type="dxa"/>
            <w:vAlign w:val="bottom"/>
            <w:vMerge w:val="restart"/>
            <w:shd w:val="clear" w:color="auto" w:fill="CCEEFF"/>
          </w:tcPr>
          <w:p>
            <w:pPr>
              <w:ind w:left="400"/>
              <w:spacing w:after="0"/>
              <w:rPr>
                <w:sz w:val="20"/>
                <w:szCs w:val="20"/>
                <w:color w:val="auto"/>
              </w:rPr>
            </w:pPr>
            <w:r>
              <w:rPr>
                <w:rFonts w:ascii="Arial" w:cs="Arial" w:eastAsia="Arial" w:hAnsi="Arial"/>
                <w:sz w:val="9"/>
                <w:szCs w:val="9"/>
                <w:color w:val="auto"/>
              </w:rPr>
              <w:t>—</w:t>
            </w:r>
          </w:p>
        </w:tc>
        <w:tc>
          <w:tcPr>
            <w:tcW w:w="20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420" w:type="dxa"/>
            <w:vAlign w:val="bottom"/>
            <w:vMerge w:val="restart"/>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64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270,270,270</w:t>
            </w:r>
          </w:p>
        </w:tc>
        <w:tc>
          <w:tcPr>
            <w:tcW w:w="18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480" w:type="dxa"/>
            <w:vAlign w:val="bottom"/>
            <w:vMerge w:val="restart"/>
            <w:shd w:val="clear" w:color="auto" w:fill="CCEEFF"/>
          </w:tcPr>
          <w:p>
            <w:pPr>
              <w:jc w:val="right"/>
              <w:ind w:right="95"/>
              <w:spacing w:after="0"/>
              <w:rPr>
                <w:sz w:val="20"/>
                <w:szCs w:val="20"/>
                <w:color w:val="auto"/>
              </w:rPr>
            </w:pPr>
            <w:r>
              <w:rPr>
                <w:rFonts w:ascii="Arial" w:cs="Arial" w:eastAsia="Arial" w:hAnsi="Arial"/>
                <w:sz w:val="9"/>
                <w:szCs w:val="9"/>
                <w:color w:val="auto"/>
                <w:w w:val="98"/>
              </w:rPr>
              <w:t>310,104</w:t>
            </w:r>
          </w:p>
        </w:tc>
        <w:tc>
          <w:tcPr>
            <w:tcW w:w="720" w:type="dxa"/>
            <w:vAlign w:val="bottom"/>
            <w:vMerge w:val="restart"/>
            <w:shd w:val="clear" w:color="auto" w:fill="CCEEFF"/>
          </w:tcPr>
          <w:p>
            <w:pPr>
              <w:ind w:left="560"/>
              <w:spacing w:after="0"/>
              <w:rPr>
                <w:sz w:val="20"/>
                <w:szCs w:val="20"/>
                <w:color w:val="auto"/>
              </w:rPr>
            </w:pPr>
            <w:r>
              <w:rPr>
                <w:rFonts w:ascii="Arial" w:cs="Arial" w:eastAsia="Arial" w:hAnsi="Arial"/>
                <w:sz w:val="9"/>
                <w:szCs w:val="9"/>
                <w:color w:val="auto"/>
              </w:rPr>
              <w:t>—</w:t>
            </w:r>
          </w:p>
        </w:tc>
        <w:tc>
          <w:tcPr>
            <w:tcW w:w="360" w:type="dxa"/>
            <w:vAlign w:val="bottom"/>
            <w:vMerge w:val="restart"/>
            <w:shd w:val="clear" w:color="auto" w:fill="CCEEFF"/>
          </w:tcPr>
          <w:p>
            <w:pPr>
              <w:jc w:val="right"/>
              <w:ind w:right="195"/>
              <w:spacing w:after="0"/>
              <w:rPr>
                <w:sz w:val="20"/>
                <w:szCs w:val="20"/>
                <w:color w:val="auto"/>
              </w:rPr>
            </w:pPr>
            <w:r>
              <w:rPr>
                <w:rFonts w:ascii="Arial" w:cs="Arial" w:eastAsia="Arial" w:hAnsi="Arial"/>
                <w:sz w:val="9"/>
                <w:szCs w:val="9"/>
                <w:color w:val="auto"/>
              </w:rPr>
              <w:t>$</w:t>
            </w:r>
          </w:p>
        </w:tc>
        <w:tc>
          <w:tcPr>
            <w:tcW w:w="40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66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(173,215)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70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rPr>
              <w:t>364</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600" w:type="dxa"/>
            <w:vAlign w:val="bottom"/>
            <w:vMerge w:val="restart"/>
            <w:shd w:val="clear" w:color="auto" w:fill="CCEEFF"/>
          </w:tcPr>
          <w:p>
            <w:pPr>
              <w:jc w:val="right"/>
              <w:ind w:right="115"/>
              <w:spacing w:after="0"/>
              <w:rPr>
                <w:sz w:val="20"/>
                <w:szCs w:val="20"/>
                <w:color w:val="auto"/>
              </w:rPr>
            </w:pPr>
            <w:r>
              <w:rPr>
                <w:rFonts w:ascii="Arial" w:cs="Arial" w:eastAsia="Arial" w:hAnsi="Arial"/>
                <w:sz w:val="9"/>
                <w:szCs w:val="9"/>
                <w:color w:val="auto"/>
              </w:rPr>
              <w:t>328,076</w:t>
            </w:r>
          </w:p>
        </w:tc>
        <w:tc>
          <w:tcPr>
            <w:tcW w:w="500" w:type="dxa"/>
            <w:vAlign w:val="bottom"/>
            <w:vMerge w:val="restart"/>
            <w:shd w:val="clear" w:color="auto" w:fill="CCEEFF"/>
          </w:tcPr>
          <w:p>
            <w:pPr>
              <w:ind w:left="340"/>
              <w:spacing w:after="0"/>
              <w:rPr>
                <w:sz w:val="20"/>
                <w:szCs w:val="20"/>
                <w:color w:val="auto"/>
              </w:rPr>
            </w:pPr>
            <w:r>
              <w:rPr>
                <w:rFonts w:ascii="Arial" w:cs="Arial" w:eastAsia="Arial" w:hAnsi="Arial"/>
                <w:sz w:val="9"/>
                <w:szCs w:val="9"/>
                <w:color w:val="auto"/>
              </w:rPr>
              <w:t>—</w:t>
            </w:r>
          </w:p>
        </w:tc>
        <w:tc>
          <w:tcPr>
            <w:tcW w:w="20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38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23,192</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23,192</w:t>
            </w:r>
          </w:p>
        </w:tc>
        <w:tc>
          <w:tcPr>
            <w:tcW w:w="0" w:type="dxa"/>
            <w:vAlign w:val="bottom"/>
          </w:tcPr>
          <w:p>
            <w:pPr>
              <w:spacing w:after="0"/>
              <w:rPr>
                <w:sz w:val="1"/>
                <w:szCs w:val="1"/>
                <w:color w:val="auto"/>
              </w:rPr>
            </w:pPr>
          </w:p>
        </w:tc>
      </w:tr>
      <w:tr>
        <w:trPr>
          <w:trHeight w:val="122"/>
        </w:trPr>
        <w:tc>
          <w:tcPr>
            <w:tcW w:w="640" w:type="dxa"/>
            <w:vAlign w:val="bottom"/>
            <w:tcBorders>
              <w:bottom w:val="single" w:sz="8" w:color="CCEEFF"/>
            </w:tcBorders>
            <w:shd w:val="clear" w:color="auto" w:fill="CCEEFF"/>
          </w:tcPr>
          <w:p>
            <w:pPr>
              <w:jc w:val="right"/>
              <w:spacing w:after="0" w:line="102" w:lineRule="exact"/>
              <w:rPr>
                <w:sz w:val="20"/>
                <w:szCs w:val="20"/>
                <w:color w:val="auto"/>
              </w:rPr>
            </w:pPr>
            <w:r>
              <w:rPr>
                <w:rFonts w:ascii="Arial" w:cs="Arial" w:eastAsia="Arial" w:hAnsi="Arial"/>
                <w:sz w:val="9"/>
                <w:szCs w:val="9"/>
                <w:color w:val="auto"/>
              </w:rPr>
              <w:t>June 30, 2021</w:t>
            </w:r>
          </w:p>
        </w:tc>
        <w:tc>
          <w:tcPr>
            <w:tcW w:w="680" w:type="dxa"/>
            <w:vAlign w:val="bottom"/>
            <w:tcBorders>
              <w:bottom w:val="single" w:sz="8" w:color="CCEEFF"/>
            </w:tcBorders>
            <w:vMerge w:val="continue"/>
            <w:shd w:val="clear" w:color="auto" w:fill="CCEEFF"/>
          </w:tcPr>
          <w:p>
            <w:pPr>
              <w:spacing w:after="0"/>
              <w:rPr>
                <w:sz w:val="10"/>
                <w:szCs w:val="10"/>
                <w:color w:val="auto"/>
              </w:rPr>
            </w:pPr>
          </w:p>
        </w:tc>
        <w:tc>
          <w:tcPr>
            <w:tcW w:w="200" w:type="dxa"/>
            <w:vAlign w:val="bottom"/>
            <w:tcBorders>
              <w:bottom w:val="single" w:sz="8" w:color="CCEEFF"/>
            </w:tcBorders>
            <w:vMerge w:val="continue"/>
            <w:shd w:val="clear" w:color="auto" w:fill="CCEEFF"/>
          </w:tcPr>
          <w:p>
            <w:pPr>
              <w:spacing w:after="0"/>
              <w:rPr>
                <w:sz w:val="10"/>
                <w:szCs w:val="10"/>
                <w:color w:val="auto"/>
              </w:rPr>
            </w:pPr>
          </w:p>
        </w:tc>
        <w:tc>
          <w:tcPr>
            <w:tcW w:w="400" w:type="dxa"/>
            <w:vAlign w:val="bottom"/>
            <w:tcBorders>
              <w:bottom w:val="single" w:sz="8" w:color="CCEEFF"/>
            </w:tcBorders>
            <w:vMerge w:val="continue"/>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180" w:type="dxa"/>
            <w:vAlign w:val="bottom"/>
            <w:tcBorders>
              <w:bottom w:val="single" w:sz="8" w:color="CCEEFF"/>
            </w:tcBorders>
            <w:vMerge w:val="continue"/>
            <w:shd w:val="clear" w:color="auto" w:fill="CCEEFF"/>
          </w:tcPr>
          <w:p>
            <w:pPr>
              <w:spacing w:after="0"/>
              <w:rPr>
                <w:sz w:val="10"/>
                <w:szCs w:val="10"/>
                <w:color w:val="auto"/>
              </w:rPr>
            </w:pPr>
          </w:p>
        </w:tc>
        <w:tc>
          <w:tcPr>
            <w:tcW w:w="440" w:type="dxa"/>
            <w:vAlign w:val="bottom"/>
            <w:tcBorders>
              <w:bottom w:val="single" w:sz="8" w:color="CCEEFF"/>
            </w:tcBorders>
            <w:vMerge w:val="continue"/>
            <w:shd w:val="clear" w:color="auto" w:fill="CCEEFF"/>
          </w:tcPr>
          <w:p>
            <w:pPr>
              <w:spacing w:after="0"/>
              <w:rPr>
                <w:sz w:val="10"/>
                <w:szCs w:val="10"/>
                <w:color w:val="auto"/>
              </w:rPr>
            </w:pPr>
          </w:p>
        </w:tc>
        <w:tc>
          <w:tcPr>
            <w:tcW w:w="560" w:type="dxa"/>
            <w:vAlign w:val="bottom"/>
            <w:tcBorders>
              <w:bottom w:val="single" w:sz="8" w:color="CCEEFF"/>
            </w:tcBorders>
            <w:vMerge w:val="continue"/>
            <w:shd w:val="clear" w:color="auto" w:fill="CCEEFF"/>
          </w:tcPr>
          <w:p>
            <w:pPr>
              <w:spacing w:after="0"/>
              <w:rPr>
                <w:sz w:val="10"/>
                <w:szCs w:val="10"/>
                <w:color w:val="auto"/>
              </w:rPr>
            </w:pPr>
          </w:p>
        </w:tc>
        <w:tc>
          <w:tcPr>
            <w:tcW w:w="200" w:type="dxa"/>
            <w:vAlign w:val="bottom"/>
            <w:tcBorders>
              <w:bottom w:val="single" w:sz="8" w:color="CCEEFF"/>
            </w:tcBorders>
            <w:vMerge w:val="continue"/>
            <w:shd w:val="clear" w:color="auto" w:fill="CCEEFF"/>
          </w:tcPr>
          <w:p>
            <w:pPr>
              <w:spacing w:after="0"/>
              <w:rPr>
                <w:sz w:val="10"/>
                <w:szCs w:val="10"/>
                <w:color w:val="auto"/>
              </w:rPr>
            </w:pPr>
          </w:p>
        </w:tc>
        <w:tc>
          <w:tcPr>
            <w:tcW w:w="420" w:type="dxa"/>
            <w:vAlign w:val="bottom"/>
            <w:tcBorders>
              <w:bottom w:val="single" w:sz="8" w:color="CCEEFF"/>
            </w:tcBorders>
            <w:vMerge w:val="continue"/>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180" w:type="dxa"/>
            <w:vAlign w:val="bottom"/>
            <w:tcBorders>
              <w:bottom w:val="single" w:sz="8" w:color="CCEEFF"/>
            </w:tcBorders>
            <w:vMerge w:val="continue"/>
            <w:shd w:val="clear" w:color="auto" w:fill="CCEEFF"/>
          </w:tcPr>
          <w:p>
            <w:pPr>
              <w:spacing w:after="0"/>
              <w:rPr>
                <w:sz w:val="10"/>
                <w:szCs w:val="10"/>
                <w:color w:val="auto"/>
              </w:rPr>
            </w:pPr>
          </w:p>
        </w:tc>
        <w:tc>
          <w:tcPr>
            <w:tcW w:w="480" w:type="dxa"/>
            <w:vAlign w:val="bottom"/>
            <w:tcBorders>
              <w:bottom w:val="single" w:sz="8" w:color="CCEEFF"/>
            </w:tcBorders>
            <w:vMerge w:val="continue"/>
            <w:shd w:val="clear" w:color="auto" w:fill="CCEEFF"/>
          </w:tcPr>
          <w:p>
            <w:pPr>
              <w:spacing w:after="0"/>
              <w:rPr>
                <w:sz w:val="10"/>
                <w:szCs w:val="10"/>
                <w:color w:val="auto"/>
              </w:rPr>
            </w:pPr>
          </w:p>
        </w:tc>
        <w:tc>
          <w:tcPr>
            <w:tcW w:w="720" w:type="dxa"/>
            <w:vAlign w:val="bottom"/>
            <w:tcBorders>
              <w:bottom w:val="single" w:sz="8" w:color="CCEEFF"/>
            </w:tcBorders>
            <w:vMerge w:val="continue"/>
            <w:shd w:val="clear" w:color="auto" w:fill="CCEEFF"/>
          </w:tcPr>
          <w:p>
            <w:pPr>
              <w:spacing w:after="0"/>
              <w:rPr>
                <w:sz w:val="10"/>
                <w:szCs w:val="10"/>
                <w:color w:val="auto"/>
              </w:rPr>
            </w:pPr>
          </w:p>
        </w:tc>
        <w:tc>
          <w:tcPr>
            <w:tcW w:w="360" w:type="dxa"/>
            <w:vAlign w:val="bottom"/>
            <w:tcBorders>
              <w:bottom w:val="single" w:sz="8" w:color="CCEEFF"/>
            </w:tcBorders>
            <w:vMerge w:val="continue"/>
            <w:shd w:val="clear" w:color="auto" w:fill="CCEEFF"/>
          </w:tcPr>
          <w:p>
            <w:pPr>
              <w:spacing w:after="0"/>
              <w:rPr>
                <w:sz w:val="10"/>
                <w:szCs w:val="10"/>
                <w:color w:val="auto"/>
              </w:rPr>
            </w:pPr>
          </w:p>
        </w:tc>
        <w:tc>
          <w:tcPr>
            <w:tcW w:w="400" w:type="dxa"/>
            <w:vAlign w:val="bottom"/>
            <w:tcBorders>
              <w:bottom w:val="single" w:sz="8" w:color="CCEEFF"/>
            </w:tcBorders>
            <w:vMerge w:val="continue"/>
            <w:shd w:val="clear" w:color="auto" w:fill="CCEEFF"/>
          </w:tcPr>
          <w:p>
            <w:pPr>
              <w:spacing w:after="0"/>
              <w:rPr>
                <w:sz w:val="10"/>
                <w:szCs w:val="10"/>
                <w:color w:val="auto"/>
              </w:rPr>
            </w:pPr>
          </w:p>
        </w:tc>
        <w:tc>
          <w:tcPr>
            <w:tcW w:w="140" w:type="dxa"/>
            <w:vAlign w:val="bottom"/>
            <w:tcBorders>
              <w:bottom w:val="single" w:sz="8" w:color="CCEEFF"/>
            </w:tcBorders>
            <w:vMerge w:val="continue"/>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vMerge w:val="continue"/>
            <w:shd w:val="clear" w:color="auto" w:fill="CCEEFF"/>
          </w:tcPr>
          <w:p>
            <w:pPr>
              <w:spacing w:after="0"/>
              <w:rPr>
                <w:sz w:val="10"/>
                <w:szCs w:val="10"/>
                <w:color w:val="auto"/>
              </w:rPr>
            </w:pPr>
          </w:p>
        </w:tc>
        <w:tc>
          <w:tcPr>
            <w:tcW w:w="70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vMerge w:val="continue"/>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500" w:type="dxa"/>
            <w:vAlign w:val="bottom"/>
            <w:tcBorders>
              <w:bottom w:val="single" w:sz="8" w:color="CCEEFF"/>
            </w:tcBorders>
            <w:vMerge w:val="continue"/>
            <w:shd w:val="clear" w:color="auto" w:fill="CCEEFF"/>
          </w:tcPr>
          <w:p>
            <w:pPr>
              <w:spacing w:after="0"/>
              <w:rPr>
                <w:sz w:val="10"/>
                <w:szCs w:val="10"/>
                <w:color w:val="auto"/>
              </w:rPr>
            </w:pPr>
          </w:p>
        </w:tc>
        <w:tc>
          <w:tcPr>
            <w:tcW w:w="200" w:type="dxa"/>
            <w:vAlign w:val="bottom"/>
            <w:tcBorders>
              <w:bottom w:val="single" w:sz="8" w:color="CCEEFF"/>
            </w:tcBorders>
            <w:vMerge w:val="continue"/>
            <w:shd w:val="clear" w:color="auto" w:fill="CCEEFF"/>
          </w:tcPr>
          <w:p>
            <w:pPr>
              <w:spacing w:after="0"/>
              <w:rPr>
                <w:sz w:val="10"/>
                <w:szCs w:val="10"/>
                <w:color w:val="auto"/>
              </w:rPr>
            </w:pPr>
          </w:p>
        </w:tc>
        <w:tc>
          <w:tcPr>
            <w:tcW w:w="380" w:type="dxa"/>
            <w:vAlign w:val="bottom"/>
            <w:tcBorders>
              <w:bottom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vMerge w:val="continue"/>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640" w:type="dxa"/>
            <w:vAlign w:val="bottom"/>
            <w:shd w:val="clear" w:color="auto" w:fill="CCEEFF"/>
          </w:tcPr>
          <w:p>
            <w:pPr>
              <w:jc w:val="right"/>
              <w:spacing w:after="0" w:line="101" w:lineRule="exact"/>
              <w:rPr>
                <w:sz w:val="20"/>
                <w:szCs w:val="20"/>
                <w:color w:val="auto"/>
              </w:rPr>
            </w:pPr>
            <w:r>
              <w:rPr>
                <w:rFonts w:ascii="Arial" w:cs="Arial" w:eastAsia="Arial" w:hAnsi="Arial"/>
                <w:sz w:val="9"/>
                <w:szCs w:val="9"/>
                <w:color w:val="auto"/>
              </w:rPr>
              <w:t>Issuance of</w:t>
            </w:r>
          </w:p>
        </w:tc>
        <w:tc>
          <w:tcPr>
            <w:tcW w:w="6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Class A voting</w:t>
            </w: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400" w:type="dxa"/>
            <w:vAlign w:val="bottom"/>
            <w:vMerge w:val="restart"/>
            <w:shd w:val="clear" w:color="auto" w:fill="CCEEFF"/>
          </w:tcPr>
          <w:p>
            <w:pPr>
              <w:jc w:val="right"/>
              <w:ind w:right="75"/>
              <w:spacing w:after="0"/>
              <w:rPr>
                <w:sz w:val="20"/>
                <w:szCs w:val="20"/>
                <w:color w:val="auto"/>
              </w:rPr>
            </w:pPr>
            <w:r>
              <w:rPr>
                <w:rFonts w:ascii="Arial" w:cs="Arial" w:eastAsia="Arial" w:hAnsi="Arial"/>
                <w:sz w:val="9"/>
                <w:szCs w:val="9"/>
                <w:color w:val="auto"/>
              </w:rPr>
              <w:t>174</w:t>
            </w:r>
          </w:p>
        </w:tc>
        <w:tc>
          <w:tcPr>
            <w:tcW w:w="64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560" w:type="dxa"/>
            <w:vAlign w:val="bottom"/>
            <w:vMerge w:val="restart"/>
            <w:shd w:val="clear" w:color="auto" w:fill="CCEEFF"/>
          </w:tcPr>
          <w:p>
            <w:pPr>
              <w:ind w:left="400"/>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420" w:type="dxa"/>
            <w:vAlign w:val="bottom"/>
            <w:vMerge w:val="restart"/>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64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vMerge w:val="restart"/>
            <w:shd w:val="clear" w:color="auto" w:fill="CCEEFF"/>
          </w:tcPr>
          <w:p>
            <w:pPr>
              <w:ind w:left="56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spacing w:after="0"/>
              <w:rPr>
                <w:sz w:val="8"/>
                <w:szCs w:val="8"/>
                <w:color w:val="auto"/>
              </w:rPr>
            </w:pPr>
          </w:p>
        </w:tc>
        <w:tc>
          <w:tcPr>
            <w:tcW w:w="40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ind w:right="115"/>
              <w:spacing w:after="0"/>
              <w:rPr>
                <w:sz w:val="20"/>
                <w:szCs w:val="20"/>
                <w:color w:val="auto"/>
              </w:rPr>
            </w:pPr>
            <w:r>
              <w:rPr>
                <w:rFonts w:ascii="Arial" w:cs="Arial" w:eastAsia="Arial" w:hAnsi="Arial"/>
                <w:sz w:val="9"/>
                <w:szCs w:val="9"/>
                <w:color w:val="auto"/>
              </w:rPr>
              <w:t>174</w:t>
            </w:r>
          </w:p>
        </w:tc>
        <w:tc>
          <w:tcPr>
            <w:tcW w:w="500" w:type="dxa"/>
            <w:vAlign w:val="bottom"/>
            <w:vMerge w:val="restart"/>
            <w:shd w:val="clear" w:color="auto" w:fill="CCEEFF"/>
          </w:tcPr>
          <w:p>
            <w:pPr>
              <w:ind w:left="340"/>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9"/>
        </w:trPr>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units</w:t>
            </w:r>
          </w:p>
        </w:tc>
        <w:tc>
          <w:tcPr>
            <w:tcW w:w="6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Unit-based</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40" w:type="dxa"/>
            <w:vAlign w:val="bottom"/>
          </w:tcPr>
          <w:p>
            <w:pPr>
              <w:jc w:val="right"/>
              <w:spacing w:after="0" w:line="95" w:lineRule="exact"/>
              <w:rPr>
                <w:sz w:val="20"/>
                <w:szCs w:val="20"/>
                <w:color w:val="auto"/>
              </w:rPr>
            </w:pPr>
            <w:r>
              <w:rPr>
                <w:rFonts w:ascii="Arial" w:cs="Arial" w:eastAsia="Arial" w:hAnsi="Arial"/>
                <w:sz w:val="9"/>
                <w:szCs w:val="9"/>
                <w:color w:val="auto"/>
              </w:rPr>
              <w:t>incentive</w:t>
            </w:r>
          </w:p>
        </w:tc>
        <w:tc>
          <w:tcPr>
            <w:tcW w:w="68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00" w:type="dxa"/>
            <w:vAlign w:val="bottom"/>
            <w:vMerge w:val="restart"/>
          </w:tcPr>
          <w:p>
            <w:pPr>
              <w:jc w:val="right"/>
              <w:ind w:right="75"/>
              <w:spacing w:after="0"/>
              <w:rPr>
                <w:sz w:val="20"/>
                <w:szCs w:val="20"/>
                <w:color w:val="auto"/>
              </w:rPr>
            </w:pPr>
            <w:r>
              <w:rPr>
                <w:rFonts w:ascii="Arial" w:cs="Arial" w:eastAsia="Arial" w:hAnsi="Arial"/>
                <w:sz w:val="9"/>
                <w:szCs w:val="9"/>
                <w:color w:val="auto"/>
              </w:rPr>
              <w:t>—</w:t>
            </w:r>
          </w:p>
        </w:tc>
        <w:tc>
          <w:tcPr>
            <w:tcW w:w="64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440" w:type="dxa"/>
            <w:vAlign w:val="bottom"/>
            <w:vMerge w:val="restart"/>
          </w:tcPr>
          <w:p>
            <w:pPr>
              <w:jc w:val="right"/>
              <w:ind w:right="55"/>
              <w:spacing w:after="0"/>
              <w:rPr>
                <w:sz w:val="20"/>
                <w:szCs w:val="20"/>
                <w:color w:val="auto"/>
              </w:rPr>
            </w:pPr>
            <w:r>
              <w:rPr>
                <w:rFonts w:ascii="Arial" w:cs="Arial" w:eastAsia="Arial" w:hAnsi="Arial"/>
                <w:sz w:val="9"/>
                <w:szCs w:val="9"/>
                <w:color w:val="auto"/>
              </w:rPr>
              <w:t>—</w:t>
            </w:r>
          </w:p>
        </w:tc>
        <w:tc>
          <w:tcPr>
            <w:tcW w:w="560" w:type="dxa"/>
            <w:vAlign w:val="bottom"/>
            <w:vMerge w:val="restart"/>
          </w:tcPr>
          <w:p>
            <w:pPr>
              <w:ind w:left="400"/>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20" w:type="dxa"/>
            <w:vAlign w:val="bottom"/>
            <w:vMerge w:val="restart"/>
          </w:tcPr>
          <w:p>
            <w:pPr>
              <w:jc w:val="right"/>
              <w:ind w:right="75"/>
              <w:spacing w:after="0"/>
              <w:rPr>
                <w:sz w:val="20"/>
                <w:szCs w:val="20"/>
                <w:color w:val="auto"/>
              </w:rPr>
            </w:pPr>
            <w:r>
              <w:rPr>
                <w:rFonts w:ascii="Arial" w:cs="Arial" w:eastAsia="Arial" w:hAnsi="Arial"/>
                <w:sz w:val="9"/>
                <w:szCs w:val="9"/>
                <w:color w:val="auto"/>
              </w:rPr>
              <w:t>—</w:t>
            </w:r>
          </w:p>
        </w:tc>
        <w:tc>
          <w:tcPr>
            <w:tcW w:w="64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8"/>
                <w:szCs w:val="8"/>
                <w:color w:val="auto"/>
              </w:rPr>
            </w:pPr>
          </w:p>
        </w:tc>
        <w:tc>
          <w:tcPr>
            <w:tcW w:w="480" w:type="dxa"/>
            <w:vAlign w:val="bottom"/>
            <w:vMerge w:val="restart"/>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vMerge w:val="restart"/>
          </w:tcPr>
          <w:p>
            <w:pPr>
              <w:ind w:left="56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8"/>
                <w:szCs w:val="8"/>
                <w:color w:val="auto"/>
              </w:rPr>
            </w:pPr>
          </w:p>
        </w:tc>
        <w:tc>
          <w:tcPr>
            <w:tcW w:w="40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66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00" w:type="dxa"/>
            <w:vAlign w:val="bottom"/>
            <w:vMerge w:val="restart"/>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0" w:type="dxa"/>
            <w:vAlign w:val="bottom"/>
            <w:vMerge w:val="restart"/>
          </w:tcPr>
          <w:p>
            <w:pPr>
              <w:jc w:val="right"/>
              <w:ind w:right="115"/>
              <w:spacing w:after="0"/>
              <w:rPr>
                <w:sz w:val="20"/>
                <w:szCs w:val="20"/>
                <w:color w:val="auto"/>
              </w:rPr>
            </w:pPr>
            <w:r>
              <w:rPr>
                <w:rFonts w:ascii="Arial" w:cs="Arial" w:eastAsia="Arial" w:hAnsi="Arial"/>
                <w:sz w:val="9"/>
                <w:szCs w:val="9"/>
                <w:color w:val="auto"/>
              </w:rPr>
              <w:t>—</w:t>
            </w:r>
          </w:p>
        </w:tc>
        <w:tc>
          <w:tcPr>
            <w:tcW w:w="500" w:type="dxa"/>
            <w:vAlign w:val="bottom"/>
            <w:vMerge w:val="restart"/>
          </w:tcPr>
          <w:p>
            <w:pPr>
              <w:ind w:left="340"/>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380" w:type="dxa"/>
            <w:vAlign w:val="bottom"/>
            <w:vMerge w:val="restart"/>
          </w:tcPr>
          <w:p>
            <w:pPr>
              <w:jc w:val="right"/>
              <w:ind w:right="15"/>
              <w:spacing w:after="0"/>
              <w:rPr>
                <w:sz w:val="20"/>
                <w:szCs w:val="20"/>
                <w:color w:val="auto"/>
              </w:rPr>
            </w:pPr>
            <w:r>
              <w:rPr>
                <w:rFonts w:ascii="Arial" w:cs="Arial" w:eastAsia="Arial" w:hAnsi="Arial"/>
                <w:sz w:val="9"/>
                <w:szCs w:val="9"/>
                <w:color w:val="auto"/>
              </w:rPr>
              <w:t>382</w:t>
            </w:r>
          </w:p>
        </w:tc>
        <w:tc>
          <w:tcPr>
            <w:tcW w:w="16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382</w:t>
            </w:r>
          </w:p>
        </w:tc>
        <w:tc>
          <w:tcPr>
            <w:tcW w:w="0" w:type="dxa"/>
            <w:vAlign w:val="bottom"/>
          </w:tcPr>
          <w:p>
            <w:pPr>
              <w:spacing w:after="0"/>
              <w:rPr>
                <w:sz w:val="1"/>
                <w:szCs w:val="1"/>
                <w:color w:val="auto"/>
              </w:rPr>
            </w:pPr>
          </w:p>
        </w:tc>
      </w:tr>
      <w:tr>
        <w:trPr>
          <w:trHeight w:val="121"/>
        </w:trPr>
        <w:tc>
          <w:tcPr>
            <w:tcW w:w="640" w:type="dxa"/>
            <w:vAlign w:val="bottom"/>
          </w:tcPr>
          <w:p>
            <w:pPr>
              <w:jc w:val="right"/>
              <w:spacing w:after="0"/>
              <w:rPr>
                <w:sz w:val="20"/>
                <w:szCs w:val="20"/>
                <w:color w:val="auto"/>
              </w:rPr>
            </w:pPr>
            <w:r>
              <w:rPr>
                <w:rFonts w:ascii="Arial" w:cs="Arial" w:eastAsia="Arial" w:hAnsi="Arial"/>
                <w:sz w:val="9"/>
                <w:szCs w:val="9"/>
                <w:color w:val="auto"/>
              </w:rPr>
              <w:t>compensation</w:t>
            </w: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w w:val="92"/>
              </w:rPr>
              <w:t>Vesting of Class</w:t>
            </w:r>
          </w:p>
        </w:tc>
        <w:tc>
          <w:tcPr>
            <w:tcW w:w="68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64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560" w:type="dxa"/>
            <w:vAlign w:val="bottom"/>
            <w:vMerge w:val="restart"/>
            <w:shd w:val="clear" w:color="auto" w:fill="CCEEFF"/>
          </w:tcPr>
          <w:p>
            <w:pPr>
              <w:ind w:left="400"/>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64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vMerge w:val="restart"/>
            <w:shd w:val="clear" w:color="auto" w:fill="CCEEFF"/>
          </w:tcPr>
          <w:p>
            <w:pPr>
              <w:ind w:left="56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969</w:t>
            </w:r>
          </w:p>
        </w:tc>
        <w:tc>
          <w:tcPr>
            <w:tcW w:w="14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115"/>
              <w:spacing w:after="0"/>
              <w:rPr>
                <w:sz w:val="20"/>
                <w:szCs w:val="20"/>
                <w:color w:val="auto"/>
              </w:rPr>
            </w:pPr>
            <w:r>
              <w:rPr>
                <w:rFonts w:ascii="Arial" w:cs="Arial" w:eastAsia="Arial" w:hAnsi="Arial"/>
                <w:sz w:val="9"/>
                <w:szCs w:val="9"/>
                <w:color w:val="auto"/>
              </w:rPr>
              <w:t>969</w:t>
            </w:r>
          </w:p>
        </w:tc>
        <w:tc>
          <w:tcPr>
            <w:tcW w:w="500" w:type="dxa"/>
            <w:vAlign w:val="bottom"/>
            <w:vMerge w:val="restart"/>
            <w:shd w:val="clear" w:color="auto" w:fill="CCEEFF"/>
          </w:tcPr>
          <w:p>
            <w:pPr>
              <w:ind w:left="340"/>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9"/>
        </w:trPr>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C warrant</w:t>
            </w:r>
          </w:p>
        </w:tc>
        <w:tc>
          <w:tcPr>
            <w:tcW w:w="6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640" w:type="dxa"/>
            <w:vAlign w:val="bottom"/>
          </w:tcPr>
          <w:p>
            <w:pPr>
              <w:jc w:val="right"/>
              <w:spacing w:after="0" w:line="101" w:lineRule="exact"/>
              <w:rPr>
                <w:sz w:val="20"/>
                <w:szCs w:val="20"/>
                <w:color w:val="auto"/>
              </w:rPr>
            </w:pPr>
            <w:r>
              <w:rPr>
                <w:rFonts w:ascii="Arial" w:cs="Arial" w:eastAsia="Arial" w:hAnsi="Arial"/>
                <w:sz w:val="9"/>
                <w:szCs w:val="9"/>
                <w:color w:val="auto"/>
              </w:rPr>
              <w:t>Currency</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640" w:type="dxa"/>
            <w:vAlign w:val="bottom"/>
          </w:tcPr>
          <w:p>
            <w:pPr>
              <w:jc w:val="right"/>
              <w:spacing w:after="0" w:line="95" w:lineRule="exact"/>
              <w:rPr>
                <w:sz w:val="20"/>
                <w:szCs w:val="20"/>
                <w:color w:val="auto"/>
              </w:rPr>
            </w:pPr>
            <w:r>
              <w:rPr>
                <w:rFonts w:ascii="Arial" w:cs="Arial" w:eastAsia="Arial" w:hAnsi="Arial"/>
                <w:sz w:val="9"/>
                <w:szCs w:val="9"/>
                <w:color w:val="auto"/>
              </w:rPr>
              <w:t>translation</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640" w:type="dxa"/>
            <w:vAlign w:val="bottom"/>
          </w:tcPr>
          <w:p>
            <w:pPr>
              <w:jc w:val="right"/>
              <w:spacing w:after="0" w:line="88" w:lineRule="exact"/>
              <w:rPr>
                <w:sz w:val="20"/>
                <w:szCs w:val="20"/>
                <w:color w:val="auto"/>
              </w:rPr>
            </w:pPr>
            <w:r>
              <w:rPr>
                <w:rFonts w:ascii="Arial" w:cs="Arial" w:eastAsia="Arial" w:hAnsi="Arial"/>
                <w:sz w:val="9"/>
                <w:szCs w:val="9"/>
                <w:color w:val="auto"/>
                <w:w w:val="97"/>
              </w:rPr>
              <w:t>adjustment, net</w:t>
            </w:r>
          </w:p>
        </w:tc>
        <w:tc>
          <w:tcPr>
            <w:tcW w:w="68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7"/>
                <w:szCs w:val="7"/>
                <w:color w:val="auto"/>
              </w:rPr>
            </w:pPr>
          </w:p>
        </w:tc>
        <w:tc>
          <w:tcPr>
            <w:tcW w:w="400" w:type="dxa"/>
            <w:vAlign w:val="bottom"/>
            <w:vMerge w:val="restart"/>
          </w:tcPr>
          <w:p>
            <w:pPr>
              <w:jc w:val="right"/>
              <w:ind w:right="75"/>
              <w:spacing w:after="0"/>
              <w:rPr>
                <w:sz w:val="20"/>
                <w:szCs w:val="20"/>
                <w:color w:val="auto"/>
              </w:rPr>
            </w:pPr>
            <w:r>
              <w:rPr>
                <w:rFonts w:ascii="Arial" w:cs="Arial" w:eastAsia="Arial" w:hAnsi="Arial"/>
                <w:sz w:val="9"/>
                <w:szCs w:val="9"/>
                <w:color w:val="auto"/>
              </w:rPr>
              <w:t>—</w:t>
            </w:r>
          </w:p>
        </w:tc>
        <w:tc>
          <w:tcPr>
            <w:tcW w:w="64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7"/>
                <w:szCs w:val="7"/>
                <w:color w:val="auto"/>
              </w:rPr>
            </w:pPr>
          </w:p>
        </w:tc>
        <w:tc>
          <w:tcPr>
            <w:tcW w:w="440" w:type="dxa"/>
            <w:vAlign w:val="bottom"/>
            <w:vMerge w:val="restart"/>
          </w:tcPr>
          <w:p>
            <w:pPr>
              <w:jc w:val="right"/>
              <w:ind w:right="55"/>
              <w:spacing w:after="0"/>
              <w:rPr>
                <w:sz w:val="20"/>
                <w:szCs w:val="20"/>
                <w:color w:val="auto"/>
              </w:rPr>
            </w:pPr>
            <w:r>
              <w:rPr>
                <w:rFonts w:ascii="Arial" w:cs="Arial" w:eastAsia="Arial" w:hAnsi="Arial"/>
                <w:sz w:val="9"/>
                <w:szCs w:val="9"/>
                <w:color w:val="auto"/>
              </w:rPr>
              <w:t>—</w:t>
            </w:r>
          </w:p>
        </w:tc>
        <w:tc>
          <w:tcPr>
            <w:tcW w:w="560" w:type="dxa"/>
            <w:vAlign w:val="bottom"/>
            <w:vMerge w:val="restart"/>
          </w:tcPr>
          <w:p>
            <w:pPr>
              <w:ind w:left="400"/>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7"/>
                <w:szCs w:val="7"/>
                <w:color w:val="auto"/>
              </w:rPr>
            </w:pPr>
          </w:p>
        </w:tc>
        <w:tc>
          <w:tcPr>
            <w:tcW w:w="420" w:type="dxa"/>
            <w:vAlign w:val="bottom"/>
            <w:vMerge w:val="restart"/>
          </w:tcPr>
          <w:p>
            <w:pPr>
              <w:jc w:val="right"/>
              <w:ind w:right="75"/>
              <w:spacing w:after="0"/>
              <w:rPr>
                <w:sz w:val="20"/>
                <w:szCs w:val="20"/>
                <w:color w:val="auto"/>
              </w:rPr>
            </w:pPr>
            <w:r>
              <w:rPr>
                <w:rFonts w:ascii="Arial" w:cs="Arial" w:eastAsia="Arial" w:hAnsi="Arial"/>
                <w:sz w:val="9"/>
                <w:szCs w:val="9"/>
                <w:color w:val="auto"/>
              </w:rPr>
              <w:t>—</w:t>
            </w:r>
          </w:p>
        </w:tc>
        <w:tc>
          <w:tcPr>
            <w:tcW w:w="64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7"/>
                <w:szCs w:val="7"/>
                <w:color w:val="auto"/>
              </w:rPr>
            </w:pPr>
          </w:p>
        </w:tc>
        <w:tc>
          <w:tcPr>
            <w:tcW w:w="480" w:type="dxa"/>
            <w:vAlign w:val="bottom"/>
            <w:vMerge w:val="restart"/>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vMerge w:val="restart"/>
          </w:tcPr>
          <w:p>
            <w:pPr>
              <w:ind w:left="560"/>
              <w:spacing w:after="0"/>
              <w:rPr>
                <w:sz w:val="20"/>
                <w:szCs w:val="20"/>
                <w:color w:val="auto"/>
              </w:rPr>
            </w:pPr>
            <w:r>
              <w:rPr>
                <w:rFonts w:ascii="Arial" w:cs="Arial" w:eastAsia="Arial" w:hAnsi="Arial"/>
                <w:sz w:val="9"/>
                <w:szCs w:val="9"/>
                <w:color w:val="auto"/>
              </w:rPr>
              <w:t>—</w:t>
            </w:r>
          </w:p>
        </w:tc>
        <w:tc>
          <w:tcPr>
            <w:tcW w:w="360" w:type="dxa"/>
            <w:vAlign w:val="bottom"/>
          </w:tcPr>
          <w:p>
            <w:pPr>
              <w:spacing w:after="0"/>
              <w:rPr>
                <w:sz w:val="7"/>
                <w:szCs w:val="7"/>
                <w:color w:val="auto"/>
              </w:rPr>
            </w:pPr>
          </w:p>
        </w:tc>
        <w:tc>
          <w:tcPr>
            <w:tcW w:w="40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7"/>
                <w:szCs w:val="7"/>
                <w:color w:val="auto"/>
              </w:rPr>
            </w:pPr>
          </w:p>
        </w:tc>
        <w:tc>
          <w:tcPr>
            <w:tcW w:w="66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7"/>
                <w:szCs w:val="7"/>
                <w:color w:val="auto"/>
              </w:rPr>
            </w:pPr>
          </w:p>
        </w:tc>
        <w:tc>
          <w:tcPr>
            <w:tcW w:w="700" w:type="dxa"/>
            <w:vAlign w:val="bottom"/>
            <w:vMerge w:val="restart"/>
          </w:tcPr>
          <w:p>
            <w:pPr>
              <w:jc w:val="right"/>
              <w:ind w:right="35"/>
              <w:spacing w:after="0"/>
              <w:rPr>
                <w:sz w:val="20"/>
                <w:szCs w:val="20"/>
                <w:color w:val="auto"/>
              </w:rPr>
            </w:pPr>
            <w:r>
              <w:rPr>
                <w:rFonts w:ascii="Arial" w:cs="Arial" w:eastAsia="Arial" w:hAnsi="Arial"/>
                <w:sz w:val="9"/>
                <w:szCs w:val="9"/>
                <w:color w:val="auto"/>
              </w:rPr>
              <w:t>(191)</w:t>
            </w:r>
          </w:p>
        </w:tc>
        <w:tc>
          <w:tcPr>
            <w:tcW w:w="100" w:type="dxa"/>
            <w:vAlign w:val="bottom"/>
          </w:tcPr>
          <w:p>
            <w:pPr>
              <w:spacing w:after="0"/>
              <w:rPr>
                <w:sz w:val="7"/>
                <w:szCs w:val="7"/>
                <w:color w:val="auto"/>
              </w:rPr>
            </w:pPr>
          </w:p>
        </w:tc>
        <w:tc>
          <w:tcPr>
            <w:tcW w:w="600" w:type="dxa"/>
            <w:vAlign w:val="bottom"/>
            <w:vMerge w:val="restart"/>
          </w:tcPr>
          <w:p>
            <w:pPr>
              <w:jc w:val="right"/>
              <w:ind w:right="95"/>
              <w:spacing w:after="0"/>
              <w:rPr>
                <w:sz w:val="20"/>
                <w:szCs w:val="20"/>
                <w:color w:val="auto"/>
              </w:rPr>
            </w:pPr>
            <w:r>
              <w:rPr>
                <w:rFonts w:ascii="Arial" w:cs="Arial" w:eastAsia="Arial" w:hAnsi="Arial"/>
                <w:sz w:val="9"/>
                <w:szCs w:val="9"/>
                <w:color w:val="auto"/>
              </w:rPr>
              <w:t>(191)</w:t>
            </w:r>
          </w:p>
        </w:tc>
        <w:tc>
          <w:tcPr>
            <w:tcW w:w="500" w:type="dxa"/>
            <w:vAlign w:val="bottom"/>
            <w:vMerge w:val="restart"/>
          </w:tcPr>
          <w:p>
            <w:pPr>
              <w:ind w:left="340"/>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7"/>
                <w:szCs w:val="7"/>
                <w:color w:val="auto"/>
              </w:rPr>
            </w:pPr>
          </w:p>
        </w:tc>
        <w:tc>
          <w:tcPr>
            <w:tcW w:w="38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4"/>
        </w:trPr>
        <w:tc>
          <w:tcPr>
            <w:tcW w:w="640" w:type="dxa"/>
            <w:vAlign w:val="bottom"/>
          </w:tcPr>
          <w:p>
            <w:pPr>
              <w:jc w:val="right"/>
              <w:spacing w:after="0"/>
              <w:rPr>
                <w:sz w:val="20"/>
                <w:szCs w:val="20"/>
                <w:color w:val="auto"/>
              </w:rPr>
            </w:pPr>
            <w:r>
              <w:rPr>
                <w:rFonts w:ascii="Arial" w:cs="Arial" w:eastAsia="Arial" w:hAnsi="Arial"/>
                <w:sz w:val="9"/>
                <w:szCs w:val="9"/>
                <w:color w:val="auto"/>
              </w:rPr>
              <w:t>of tax</w:t>
            </w:r>
          </w:p>
        </w:tc>
        <w:tc>
          <w:tcPr>
            <w:tcW w:w="6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Net loss</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5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9"/>
                <w:szCs w:val="9"/>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6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9"/>
                <w:szCs w:val="9"/>
                <w:color w:val="auto"/>
              </w:rPr>
              <w:t>—</w:t>
            </w:r>
          </w:p>
        </w:tc>
        <w:tc>
          <w:tcPr>
            <w:tcW w:w="3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(28,847)</w:t>
            </w: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9"/>
                <w:szCs w:val="9"/>
                <w:color w:val="auto"/>
              </w:rPr>
              <w:t>(28,847)</w:t>
            </w:r>
          </w:p>
        </w:tc>
        <w:tc>
          <w:tcPr>
            <w:tcW w:w="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9"/>
                <w:szCs w:val="9"/>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9"/>
                <w:szCs w:val="9"/>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1"/>
        </w:trPr>
        <w:tc>
          <w:tcPr>
            <w:tcW w:w="640" w:type="dxa"/>
            <w:vAlign w:val="bottom"/>
          </w:tcPr>
          <w:p>
            <w:pPr>
              <w:jc w:val="right"/>
              <w:spacing w:after="0" w:line="81" w:lineRule="exact"/>
              <w:rPr>
                <w:sz w:val="20"/>
                <w:szCs w:val="20"/>
                <w:color w:val="auto"/>
              </w:rPr>
            </w:pPr>
            <w:r>
              <w:rPr>
                <w:rFonts w:ascii="Arial" w:cs="Arial" w:eastAsia="Arial" w:hAnsi="Arial"/>
                <w:sz w:val="9"/>
                <w:szCs w:val="9"/>
                <w:color w:val="auto"/>
              </w:rPr>
              <w:t>Balance as of</w:t>
            </w:r>
          </w:p>
        </w:tc>
        <w:tc>
          <w:tcPr>
            <w:tcW w:w="68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640" w:type="dxa"/>
            <w:vAlign w:val="bottom"/>
          </w:tcPr>
          <w:p>
            <w:pPr>
              <w:jc w:val="right"/>
              <w:spacing w:after="0" w:line="95" w:lineRule="exact"/>
              <w:rPr>
                <w:sz w:val="20"/>
                <w:szCs w:val="20"/>
                <w:color w:val="auto"/>
              </w:rPr>
            </w:pPr>
            <w:r>
              <w:rPr>
                <w:rFonts w:ascii="Arial" w:cs="Arial" w:eastAsia="Arial" w:hAnsi="Arial"/>
                <w:sz w:val="9"/>
                <w:szCs w:val="9"/>
                <w:color w:val="auto"/>
              </w:rPr>
              <w:t>September 30,</w:t>
            </w:r>
          </w:p>
        </w:tc>
        <w:tc>
          <w:tcPr>
            <w:tcW w:w="680" w:type="dxa"/>
            <w:vAlign w:val="bottom"/>
            <w:vMerge w:val="restart"/>
          </w:tcPr>
          <w:p>
            <w:pPr>
              <w:jc w:val="right"/>
              <w:ind w:right="15"/>
              <w:spacing w:after="0"/>
              <w:rPr>
                <w:sz w:val="20"/>
                <w:szCs w:val="20"/>
                <w:color w:val="auto"/>
              </w:rPr>
            </w:pPr>
            <w:r>
              <w:rPr>
                <w:rFonts w:ascii="Arial" w:cs="Arial" w:eastAsia="Arial" w:hAnsi="Arial"/>
                <w:sz w:val="9"/>
                <w:szCs w:val="9"/>
                <w:color w:val="auto"/>
              </w:rPr>
              <w:t>400,000,000</w:t>
            </w:r>
          </w:p>
        </w:tc>
        <w:tc>
          <w:tcPr>
            <w:tcW w:w="20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400" w:type="dxa"/>
            <w:vAlign w:val="bottom"/>
            <w:vMerge w:val="restart"/>
          </w:tcPr>
          <w:p>
            <w:pPr>
              <w:jc w:val="right"/>
              <w:ind w:right="75"/>
              <w:spacing w:after="0"/>
              <w:rPr>
                <w:sz w:val="20"/>
                <w:szCs w:val="20"/>
                <w:color w:val="auto"/>
              </w:rPr>
            </w:pPr>
            <w:r>
              <w:rPr>
                <w:rFonts w:ascii="Arial" w:cs="Arial" w:eastAsia="Arial" w:hAnsi="Arial"/>
                <w:sz w:val="9"/>
                <w:szCs w:val="9"/>
                <w:color w:val="auto"/>
              </w:rPr>
              <w:t>3,071</w:t>
            </w:r>
          </w:p>
        </w:tc>
        <w:tc>
          <w:tcPr>
            <w:tcW w:w="640" w:type="dxa"/>
            <w:vAlign w:val="bottom"/>
            <w:vMerge w:val="restart"/>
          </w:tcPr>
          <w:p>
            <w:pPr>
              <w:jc w:val="right"/>
              <w:ind w:right="35"/>
              <w:spacing w:after="0"/>
              <w:rPr>
                <w:sz w:val="20"/>
                <w:szCs w:val="20"/>
                <w:color w:val="auto"/>
              </w:rPr>
            </w:pPr>
            <w:r>
              <w:rPr>
                <w:rFonts w:ascii="Arial" w:cs="Arial" w:eastAsia="Arial" w:hAnsi="Arial"/>
                <w:sz w:val="9"/>
                <w:szCs w:val="9"/>
                <w:color w:val="auto"/>
              </w:rPr>
              <w:t>192,453,454</w:t>
            </w:r>
          </w:p>
        </w:tc>
        <w:tc>
          <w:tcPr>
            <w:tcW w:w="18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440" w:type="dxa"/>
            <w:vAlign w:val="bottom"/>
            <w:vMerge w:val="restart"/>
          </w:tcPr>
          <w:p>
            <w:pPr>
              <w:jc w:val="right"/>
              <w:ind w:right="55"/>
              <w:spacing w:after="0"/>
              <w:rPr>
                <w:sz w:val="20"/>
                <w:szCs w:val="20"/>
                <w:color w:val="auto"/>
              </w:rPr>
            </w:pPr>
            <w:r>
              <w:rPr>
                <w:rFonts w:ascii="Arial" w:cs="Arial" w:eastAsia="Arial" w:hAnsi="Arial"/>
                <w:sz w:val="9"/>
                <w:szCs w:val="9"/>
                <w:color w:val="auto"/>
                <w:w w:val="98"/>
              </w:rPr>
              <w:t>187,926</w:t>
            </w:r>
          </w:p>
        </w:tc>
        <w:tc>
          <w:tcPr>
            <w:tcW w:w="560" w:type="dxa"/>
            <w:vAlign w:val="bottom"/>
            <w:vMerge w:val="restart"/>
          </w:tcPr>
          <w:p>
            <w:pPr>
              <w:ind w:left="400"/>
              <w:spacing w:after="0"/>
              <w:rPr>
                <w:sz w:val="20"/>
                <w:szCs w:val="20"/>
                <w:color w:val="auto"/>
              </w:rPr>
            </w:pPr>
            <w:r>
              <w:rPr>
                <w:rFonts w:ascii="Arial" w:cs="Arial" w:eastAsia="Arial" w:hAnsi="Arial"/>
                <w:sz w:val="9"/>
                <w:szCs w:val="9"/>
                <w:color w:val="auto"/>
              </w:rPr>
              <w:t>—</w:t>
            </w:r>
          </w:p>
        </w:tc>
        <w:tc>
          <w:tcPr>
            <w:tcW w:w="20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420" w:type="dxa"/>
            <w:vAlign w:val="bottom"/>
            <w:vMerge w:val="restart"/>
          </w:tcPr>
          <w:p>
            <w:pPr>
              <w:jc w:val="right"/>
              <w:ind w:right="75"/>
              <w:spacing w:after="0"/>
              <w:rPr>
                <w:sz w:val="20"/>
                <w:szCs w:val="20"/>
                <w:color w:val="auto"/>
              </w:rPr>
            </w:pPr>
            <w:r>
              <w:rPr>
                <w:rFonts w:ascii="Arial" w:cs="Arial" w:eastAsia="Arial" w:hAnsi="Arial"/>
                <w:sz w:val="9"/>
                <w:szCs w:val="9"/>
                <w:color w:val="auto"/>
              </w:rPr>
              <w:t>—</w:t>
            </w:r>
          </w:p>
        </w:tc>
        <w:tc>
          <w:tcPr>
            <w:tcW w:w="640" w:type="dxa"/>
            <w:vAlign w:val="bottom"/>
            <w:vMerge w:val="restart"/>
          </w:tcPr>
          <w:p>
            <w:pPr>
              <w:jc w:val="right"/>
              <w:ind w:right="35"/>
              <w:spacing w:after="0"/>
              <w:rPr>
                <w:sz w:val="20"/>
                <w:szCs w:val="20"/>
                <w:color w:val="auto"/>
              </w:rPr>
            </w:pPr>
            <w:r>
              <w:rPr>
                <w:rFonts w:ascii="Arial" w:cs="Arial" w:eastAsia="Arial" w:hAnsi="Arial"/>
                <w:sz w:val="9"/>
                <w:szCs w:val="9"/>
                <w:color w:val="auto"/>
              </w:rPr>
              <w:t>270,270,270</w:t>
            </w:r>
          </w:p>
        </w:tc>
        <w:tc>
          <w:tcPr>
            <w:tcW w:w="180" w:type="dxa"/>
            <w:vAlign w:val="bottom"/>
            <w:vMerge w:val="restart"/>
          </w:tcPr>
          <w:p>
            <w:pPr>
              <w:jc w:val="right"/>
              <w:ind w:right="15"/>
              <w:spacing w:after="0"/>
              <w:rPr>
                <w:sz w:val="20"/>
                <w:szCs w:val="20"/>
                <w:color w:val="auto"/>
              </w:rPr>
            </w:pPr>
            <w:r>
              <w:rPr>
                <w:rFonts w:ascii="Arial" w:cs="Arial" w:eastAsia="Arial" w:hAnsi="Arial"/>
                <w:sz w:val="9"/>
                <w:szCs w:val="9"/>
                <w:color w:val="auto"/>
              </w:rPr>
              <w:t>$</w:t>
            </w:r>
          </w:p>
        </w:tc>
        <w:tc>
          <w:tcPr>
            <w:tcW w:w="480" w:type="dxa"/>
            <w:vAlign w:val="bottom"/>
            <w:vMerge w:val="restart"/>
          </w:tcPr>
          <w:p>
            <w:pPr>
              <w:jc w:val="right"/>
              <w:ind w:right="95"/>
              <w:spacing w:after="0"/>
              <w:rPr>
                <w:sz w:val="20"/>
                <w:szCs w:val="20"/>
                <w:color w:val="auto"/>
              </w:rPr>
            </w:pPr>
            <w:r>
              <w:rPr>
                <w:rFonts w:ascii="Arial" w:cs="Arial" w:eastAsia="Arial" w:hAnsi="Arial"/>
                <w:sz w:val="9"/>
                <w:szCs w:val="9"/>
                <w:color w:val="auto"/>
                <w:w w:val="98"/>
              </w:rPr>
              <w:t>310,104</w:t>
            </w:r>
          </w:p>
        </w:tc>
        <w:tc>
          <w:tcPr>
            <w:tcW w:w="720" w:type="dxa"/>
            <w:vAlign w:val="bottom"/>
            <w:vMerge w:val="restart"/>
          </w:tcPr>
          <w:p>
            <w:pPr>
              <w:ind w:left="560"/>
              <w:spacing w:after="0"/>
              <w:rPr>
                <w:sz w:val="20"/>
                <w:szCs w:val="20"/>
                <w:color w:val="auto"/>
              </w:rPr>
            </w:pPr>
            <w:r>
              <w:rPr>
                <w:rFonts w:ascii="Arial" w:cs="Arial" w:eastAsia="Arial" w:hAnsi="Arial"/>
                <w:sz w:val="9"/>
                <w:szCs w:val="9"/>
                <w:color w:val="auto"/>
              </w:rPr>
              <w:t>—</w:t>
            </w:r>
          </w:p>
        </w:tc>
        <w:tc>
          <w:tcPr>
            <w:tcW w:w="360" w:type="dxa"/>
            <w:vAlign w:val="bottom"/>
            <w:vMerge w:val="restart"/>
          </w:tcPr>
          <w:p>
            <w:pPr>
              <w:jc w:val="right"/>
              <w:ind w:right="195"/>
              <w:spacing w:after="0"/>
              <w:rPr>
                <w:sz w:val="20"/>
                <w:szCs w:val="20"/>
                <w:color w:val="auto"/>
              </w:rPr>
            </w:pPr>
            <w:r>
              <w:rPr>
                <w:rFonts w:ascii="Arial" w:cs="Arial" w:eastAsia="Arial" w:hAnsi="Arial"/>
                <w:sz w:val="9"/>
                <w:szCs w:val="9"/>
                <w:color w:val="auto"/>
              </w:rPr>
              <w:t>$</w:t>
            </w:r>
          </w:p>
        </w:tc>
        <w:tc>
          <w:tcPr>
            <w:tcW w:w="400" w:type="dxa"/>
            <w:vAlign w:val="bottom"/>
            <w:vMerge w:val="restart"/>
          </w:tcPr>
          <w:p>
            <w:pPr>
              <w:jc w:val="right"/>
              <w:ind w:right="35"/>
              <w:spacing w:after="0"/>
              <w:rPr>
                <w:sz w:val="20"/>
                <w:szCs w:val="20"/>
                <w:color w:val="auto"/>
              </w:rPr>
            </w:pPr>
            <w:r>
              <w:rPr>
                <w:rFonts w:ascii="Arial" w:cs="Arial" w:eastAsia="Arial" w:hAnsi="Arial"/>
                <w:sz w:val="9"/>
                <w:szCs w:val="9"/>
                <w:color w:val="auto"/>
              </w:rPr>
              <w:t>969</w:t>
            </w:r>
          </w:p>
        </w:tc>
        <w:tc>
          <w:tcPr>
            <w:tcW w:w="1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660" w:type="dxa"/>
            <w:vAlign w:val="bottom"/>
            <w:vMerge w:val="restart"/>
          </w:tcPr>
          <w:p>
            <w:pPr>
              <w:jc w:val="right"/>
              <w:ind w:right="15"/>
              <w:spacing w:after="0"/>
              <w:rPr>
                <w:sz w:val="20"/>
                <w:szCs w:val="20"/>
                <w:color w:val="auto"/>
              </w:rPr>
            </w:pPr>
            <w:r>
              <w:rPr>
                <w:rFonts w:ascii="Arial" w:cs="Arial" w:eastAsia="Arial" w:hAnsi="Arial"/>
                <w:sz w:val="9"/>
                <w:szCs w:val="9"/>
                <w:color w:val="auto"/>
              </w:rPr>
              <w:t>(202,062)</w:t>
            </w:r>
          </w:p>
        </w:tc>
        <w:tc>
          <w:tcPr>
            <w:tcW w:w="12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700" w:type="dxa"/>
            <w:vAlign w:val="bottom"/>
            <w:vMerge w:val="restart"/>
          </w:tcPr>
          <w:p>
            <w:pPr>
              <w:jc w:val="right"/>
              <w:ind w:right="55"/>
              <w:spacing w:after="0"/>
              <w:rPr>
                <w:sz w:val="20"/>
                <w:szCs w:val="20"/>
                <w:color w:val="auto"/>
              </w:rPr>
            </w:pPr>
            <w:r>
              <w:rPr>
                <w:rFonts w:ascii="Arial" w:cs="Arial" w:eastAsia="Arial" w:hAnsi="Arial"/>
                <w:sz w:val="9"/>
                <w:szCs w:val="9"/>
                <w:color w:val="auto"/>
              </w:rPr>
              <w:t>173</w:t>
            </w:r>
          </w:p>
        </w:tc>
        <w:tc>
          <w:tcPr>
            <w:tcW w:w="10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600" w:type="dxa"/>
            <w:vAlign w:val="bottom"/>
            <w:vMerge w:val="restart"/>
          </w:tcPr>
          <w:p>
            <w:pPr>
              <w:jc w:val="right"/>
              <w:ind w:right="115"/>
              <w:spacing w:after="0"/>
              <w:rPr>
                <w:sz w:val="20"/>
                <w:szCs w:val="20"/>
                <w:color w:val="auto"/>
              </w:rPr>
            </w:pPr>
            <w:r>
              <w:rPr>
                <w:rFonts w:ascii="Arial" w:cs="Arial" w:eastAsia="Arial" w:hAnsi="Arial"/>
                <w:sz w:val="9"/>
                <w:szCs w:val="9"/>
                <w:color w:val="auto"/>
              </w:rPr>
              <w:t>300,181</w:t>
            </w:r>
          </w:p>
        </w:tc>
        <w:tc>
          <w:tcPr>
            <w:tcW w:w="500" w:type="dxa"/>
            <w:vAlign w:val="bottom"/>
            <w:vMerge w:val="restart"/>
          </w:tcPr>
          <w:p>
            <w:pPr>
              <w:ind w:left="340"/>
              <w:spacing w:after="0"/>
              <w:rPr>
                <w:sz w:val="20"/>
                <w:szCs w:val="20"/>
                <w:color w:val="auto"/>
              </w:rPr>
            </w:pPr>
            <w:r>
              <w:rPr>
                <w:rFonts w:ascii="Arial" w:cs="Arial" w:eastAsia="Arial" w:hAnsi="Arial"/>
                <w:sz w:val="9"/>
                <w:szCs w:val="9"/>
                <w:color w:val="auto"/>
              </w:rPr>
              <w:t>—</w:t>
            </w:r>
          </w:p>
        </w:tc>
        <w:tc>
          <w:tcPr>
            <w:tcW w:w="20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380" w:type="dxa"/>
            <w:vAlign w:val="bottom"/>
            <w:vMerge w:val="restart"/>
          </w:tcPr>
          <w:p>
            <w:pPr>
              <w:jc w:val="right"/>
              <w:ind w:right="15"/>
              <w:spacing w:after="0"/>
              <w:rPr>
                <w:sz w:val="20"/>
                <w:szCs w:val="20"/>
                <w:color w:val="auto"/>
              </w:rPr>
            </w:pPr>
            <w:r>
              <w:rPr>
                <w:rFonts w:ascii="Arial" w:cs="Arial" w:eastAsia="Arial" w:hAnsi="Arial"/>
                <w:sz w:val="9"/>
                <w:szCs w:val="9"/>
                <w:color w:val="auto"/>
              </w:rPr>
              <w:t>23,574</w:t>
            </w: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23,574</w:t>
            </w:r>
          </w:p>
        </w:tc>
        <w:tc>
          <w:tcPr>
            <w:tcW w:w="0" w:type="dxa"/>
            <w:vAlign w:val="bottom"/>
          </w:tcPr>
          <w:p>
            <w:pPr>
              <w:spacing w:after="0"/>
              <w:rPr>
                <w:sz w:val="1"/>
                <w:szCs w:val="1"/>
                <w:color w:val="auto"/>
              </w:rPr>
            </w:pPr>
          </w:p>
        </w:tc>
      </w:tr>
      <w:tr>
        <w:trPr>
          <w:trHeight w:val="74"/>
        </w:trPr>
        <w:tc>
          <w:tcPr>
            <w:tcW w:w="640" w:type="dxa"/>
            <w:vAlign w:val="bottom"/>
            <w:vMerge w:val="restart"/>
          </w:tcPr>
          <w:p>
            <w:pPr>
              <w:jc w:val="right"/>
              <w:spacing w:after="0" w:line="102" w:lineRule="exact"/>
              <w:rPr>
                <w:sz w:val="20"/>
                <w:szCs w:val="20"/>
                <w:color w:val="auto"/>
              </w:rPr>
            </w:pPr>
            <w:r>
              <w:rPr>
                <w:rFonts w:ascii="Arial" w:cs="Arial" w:eastAsia="Arial" w:hAnsi="Arial"/>
                <w:sz w:val="9"/>
                <w:szCs w:val="9"/>
                <w:color w:val="auto"/>
              </w:rPr>
              <w:t>2021</w:t>
            </w:r>
          </w:p>
        </w:tc>
        <w:tc>
          <w:tcPr>
            <w:tcW w:w="68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640" w:type="dxa"/>
            <w:vAlign w:val="bottom"/>
            <w:vMerge w:val="continue"/>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Bakkt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1"/>
                <w:szCs w:val="11"/>
                <w:b w:val="1"/>
                <w:bCs w:val="1"/>
                <w:color w:val="auto"/>
                <w:w w:val="78"/>
              </w:rPr>
              <w:t>Successor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126"/>
              <w:spacing w:after="0"/>
              <w:rPr>
                <w:sz w:val="20"/>
                <w:szCs w:val="20"/>
                <w:color w:val="auto"/>
              </w:rPr>
            </w:pPr>
            <w:r>
              <w:rPr>
                <w:rFonts w:ascii="Arial" w:cs="Arial" w:eastAsia="Arial" w:hAnsi="Arial"/>
                <w:sz w:val="11"/>
                <w:szCs w:val="11"/>
                <w:b w:val="1"/>
                <w:bCs w:val="1"/>
                <w:color w:val="auto"/>
                <w:w w:val="84"/>
              </w:rPr>
              <w:t>Predecessor</w:t>
            </w:r>
          </w:p>
        </w:tc>
        <w:tc>
          <w:tcPr>
            <w:tcW w:w="0" w:type="dxa"/>
            <w:vAlign w:val="bottom"/>
          </w:tcPr>
          <w:p>
            <w:pPr>
              <w:spacing w:after="0"/>
              <w:rPr>
                <w:sz w:val="1"/>
                <w:szCs w:val="1"/>
                <w:color w:val="auto"/>
              </w:rPr>
            </w:pPr>
          </w:p>
        </w:tc>
      </w:tr>
      <w:tr>
        <w:trPr>
          <w:trHeight w:val="102"/>
        </w:trPr>
        <w:tc>
          <w:tcPr>
            <w:tcW w:w="80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tcPr>
          <w:p>
            <w:pPr>
              <w:jc w:val="center"/>
              <w:ind w:right="126"/>
              <w:spacing w:after="0" w:line="103" w:lineRule="exact"/>
              <w:rPr>
                <w:sz w:val="20"/>
                <w:szCs w:val="20"/>
                <w:color w:val="auto"/>
              </w:rPr>
            </w:pPr>
            <w:r>
              <w:rPr>
                <w:rFonts w:ascii="Arial" w:cs="Arial" w:eastAsia="Arial" w:hAnsi="Arial"/>
                <w:sz w:val="11"/>
                <w:szCs w:val="11"/>
                <w:b w:val="1"/>
                <w:bCs w:val="1"/>
                <w:color w:val="auto"/>
                <w:w w:val="89"/>
              </w:rPr>
              <w:t>Nine Months Ended</w:t>
            </w:r>
          </w:p>
        </w:tc>
        <w:tc>
          <w:tcPr>
            <w:tcW w:w="120" w:type="dxa"/>
            <w:vAlign w:val="bottom"/>
            <w:tcBorders>
              <w:right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300" w:type="dxa"/>
            <w:vAlign w:val="bottom"/>
            <w:tcBorders>
              <w:top w:val="single" w:sz="8" w:color="auto"/>
            </w:tcBorders>
          </w:tcPr>
          <w:p>
            <w:pPr>
              <w:jc w:val="center"/>
              <w:ind w:right="126"/>
              <w:spacing w:after="0" w:line="103" w:lineRule="exact"/>
              <w:rPr>
                <w:sz w:val="20"/>
                <w:szCs w:val="20"/>
                <w:color w:val="auto"/>
              </w:rPr>
            </w:pPr>
            <w:r>
              <w:rPr>
                <w:rFonts w:ascii="Arial" w:cs="Arial" w:eastAsia="Arial" w:hAnsi="Arial"/>
                <w:sz w:val="11"/>
                <w:szCs w:val="11"/>
                <w:b w:val="1"/>
                <w:bCs w:val="1"/>
                <w:color w:val="auto"/>
                <w:w w:val="89"/>
              </w:rPr>
              <w:t>Nine Months Ended</w:t>
            </w:r>
          </w:p>
        </w:tc>
        <w:tc>
          <w:tcPr>
            <w:tcW w:w="0" w:type="dxa"/>
            <w:vAlign w:val="bottom"/>
          </w:tcPr>
          <w:p>
            <w:pPr>
              <w:spacing w:after="0"/>
              <w:rPr>
                <w:sz w:val="1"/>
                <w:szCs w:val="1"/>
                <w:color w:val="auto"/>
              </w:rPr>
            </w:pPr>
          </w:p>
        </w:tc>
      </w:tr>
      <w:tr>
        <w:trPr>
          <w:trHeight w:val="140"/>
        </w:trPr>
        <w:tc>
          <w:tcPr>
            <w:tcW w:w="8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87"/>
              </w:rPr>
              <w:t>September 30, 2022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46"/>
              <w:spacing w:after="0"/>
              <w:rPr>
                <w:sz w:val="20"/>
                <w:szCs w:val="20"/>
                <w:color w:val="auto"/>
              </w:rPr>
            </w:pPr>
            <w:r>
              <w:rPr>
                <w:rFonts w:ascii="Arial" w:cs="Arial" w:eastAsia="Arial" w:hAnsi="Arial"/>
                <w:sz w:val="11"/>
                <w:szCs w:val="11"/>
                <w:b w:val="1"/>
                <w:bCs w:val="1"/>
                <w:color w:val="auto"/>
                <w:w w:val="87"/>
              </w:rPr>
              <w:t>September 30, 2021</w:t>
            </w:r>
          </w:p>
        </w:tc>
        <w:tc>
          <w:tcPr>
            <w:tcW w:w="0" w:type="dxa"/>
            <w:vAlign w:val="bottom"/>
          </w:tcPr>
          <w:p>
            <w:pPr>
              <w:spacing w:after="0"/>
              <w:rPr>
                <w:sz w:val="1"/>
                <w:szCs w:val="1"/>
                <w:color w:val="auto"/>
              </w:rPr>
            </w:pPr>
          </w:p>
        </w:tc>
      </w:tr>
      <w:tr>
        <w:trPr>
          <w:trHeight w:val="22"/>
        </w:trPr>
        <w:tc>
          <w:tcPr>
            <w:tcW w:w="80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0"/>
        </w:trPr>
        <w:tc>
          <w:tcPr>
            <w:tcW w:w="80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8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(1,663,509)</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(89,558)</w:t>
            </w:r>
          </w:p>
        </w:tc>
        <w:tc>
          <w:tcPr>
            <w:tcW w:w="0" w:type="dxa"/>
            <w:vAlign w:val="bottom"/>
          </w:tcPr>
          <w:p>
            <w:pPr>
              <w:spacing w:after="0"/>
              <w:rPr>
                <w:sz w:val="1"/>
                <w:szCs w:val="1"/>
                <w:color w:val="auto"/>
              </w:rPr>
            </w:pPr>
          </w:p>
        </w:tc>
      </w:tr>
      <w:tr>
        <w:trPr>
          <w:trHeight w:val="140"/>
        </w:trPr>
        <w:tc>
          <w:tcPr>
            <w:tcW w:w="8080" w:type="dxa"/>
            <w:vAlign w:val="bottom"/>
          </w:tcPr>
          <w:p>
            <w:pPr>
              <w:ind w:left="20"/>
              <w:spacing w:after="0"/>
              <w:rPr>
                <w:sz w:val="20"/>
                <w:szCs w:val="20"/>
                <w:color w:val="auto"/>
              </w:rPr>
            </w:pPr>
            <w:r>
              <w:rPr>
                <w:rFonts w:ascii="Arial" w:cs="Arial" w:eastAsia="Arial" w:hAnsi="Arial"/>
                <w:sz w:val="11"/>
                <w:szCs w:val="11"/>
                <w:color w:val="auto"/>
              </w:rPr>
              <w:t>Adjustments to reconcile net loss to net cash used in operating activities:</w:t>
            </w: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8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Depreciation and amortization</w:t>
            </w: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18,340</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8,995</w:t>
            </w:r>
          </w:p>
        </w:tc>
        <w:tc>
          <w:tcPr>
            <w:tcW w:w="0" w:type="dxa"/>
            <w:vAlign w:val="bottom"/>
          </w:tcPr>
          <w:p>
            <w:pPr>
              <w:spacing w:after="0"/>
              <w:rPr>
                <w:sz w:val="1"/>
                <w:szCs w:val="1"/>
                <w:color w:val="auto"/>
              </w:rPr>
            </w:pPr>
          </w:p>
        </w:tc>
      </w:tr>
      <w:tr>
        <w:trPr>
          <w:trHeight w:val="140"/>
        </w:trPr>
        <w:tc>
          <w:tcPr>
            <w:tcW w:w="8080" w:type="dxa"/>
            <w:vAlign w:val="bottom"/>
          </w:tcPr>
          <w:p>
            <w:pPr>
              <w:ind w:left="180"/>
              <w:spacing w:after="0"/>
              <w:rPr>
                <w:sz w:val="20"/>
                <w:szCs w:val="20"/>
                <w:color w:val="auto"/>
              </w:rPr>
            </w:pPr>
            <w:r>
              <w:rPr>
                <w:rFonts w:ascii="Arial" w:cs="Arial" w:eastAsia="Arial" w:hAnsi="Arial"/>
                <w:sz w:val="11"/>
                <w:szCs w:val="11"/>
                <w:color w:val="auto"/>
              </w:rPr>
              <w:t>Non-cash lease expense</w:t>
            </w: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1,893</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918</w:t>
            </w:r>
          </w:p>
        </w:tc>
        <w:tc>
          <w:tcPr>
            <w:tcW w:w="0" w:type="dxa"/>
            <w:vAlign w:val="bottom"/>
          </w:tcPr>
          <w:p>
            <w:pPr>
              <w:spacing w:after="0"/>
              <w:rPr>
                <w:sz w:val="1"/>
                <w:szCs w:val="1"/>
                <w:color w:val="auto"/>
              </w:rPr>
            </w:pPr>
          </w:p>
        </w:tc>
      </w:tr>
      <w:tr>
        <w:trPr>
          <w:trHeight w:val="22"/>
        </w:trPr>
        <w:tc>
          <w:tcPr>
            <w:tcW w:w="8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Share-based compensation expense</w:t>
            </w: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28,863</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8080" w:type="dxa"/>
            <w:vAlign w:val="bottom"/>
          </w:tcPr>
          <w:p>
            <w:pPr>
              <w:ind w:left="180"/>
              <w:spacing w:after="0"/>
              <w:rPr>
                <w:sz w:val="20"/>
                <w:szCs w:val="20"/>
                <w:color w:val="auto"/>
              </w:rPr>
            </w:pPr>
            <w:r>
              <w:rPr>
                <w:rFonts w:ascii="Arial" w:cs="Arial" w:eastAsia="Arial" w:hAnsi="Arial"/>
                <w:sz w:val="11"/>
                <w:szCs w:val="11"/>
                <w:color w:val="auto"/>
              </w:rPr>
              <w:t>Unit-based compensation expense</w:t>
            </w: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322</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3,116</w:t>
            </w:r>
          </w:p>
        </w:tc>
        <w:tc>
          <w:tcPr>
            <w:tcW w:w="0" w:type="dxa"/>
            <w:vAlign w:val="bottom"/>
          </w:tcPr>
          <w:p>
            <w:pPr>
              <w:spacing w:after="0"/>
              <w:rPr>
                <w:sz w:val="1"/>
                <w:szCs w:val="1"/>
                <w:color w:val="auto"/>
              </w:rPr>
            </w:pPr>
          </w:p>
        </w:tc>
      </w:tr>
      <w:tr>
        <w:trPr>
          <w:trHeight w:val="22"/>
        </w:trPr>
        <w:tc>
          <w:tcPr>
            <w:tcW w:w="8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Recognition of affiliate capital contribution</w:t>
            </w: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458</w:t>
            </w:r>
          </w:p>
        </w:tc>
        <w:tc>
          <w:tcPr>
            <w:tcW w:w="0" w:type="dxa"/>
            <w:vAlign w:val="bottom"/>
          </w:tcPr>
          <w:p>
            <w:pPr>
              <w:spacing w:after="0"/>
              <w:rPr>
                <w:sz w:val="1"/>
                <w:szCs w:val="1"/>
                <w:color w:val="auto"/>
              </w:rPr>
            </w:pPr>
          </w:p>
        </w:tc>
      </w:tr>
      <w:tr>
        <w:trPr>
          <w:trHeight w:val="140"/>
        </w:trPr>
        <w:tc>
          <w:tcPr>
            <w:tcW w:w="8080" w:type="dxa"/>
            <w:vAlign w:val="bottom"/>
          </w:tcPr>
          <w:p>
            <w:pPr>
              <w:ind w:left="180"/>
              <w:spacing w:after="0"/>
              <w:rPr>
                <w:sz w:val="20"/>
                <w:szCs w:val="20"/>
                <w:color w:val="auto"/>
              </w:rPr>
            </w:pPr>
            <w:r>
              <w:rPr>
                <w:rFonts w:ascii="Arial" w:cs="Arial" w:eastAsia="Arial" w:hAnsi="Arial"/>
                <w:sz w:val="11"/>
                <w:szCs w:val="11"/>
                <w:color w:val="auto"/>
              </w:rPr>
              <w:t>Amortization of customer consideration asset</w:t>
            </w:r>
          </w:p>
        </w:tc>
        <w:tc>
          <w:tcPr>
            <w:tcW w:w="180" w:type="dxa"/>
            <w:vAlign w:val="bottom"/>
          </w:tcPr>
          <w:p>
            <w:pPr>
              <w:spacing w:after="0"/>
              <w:rPr>
                <w:sz w:val="12"/>
                <w:szCs w:val="12"/>
                <w:color w:val="auto"/>
              </w:rPr>
            </w:pPr>
          </w:p>
        </w:tc>
        <w:tc>
          <w:tcPr>
            <w:tcW w:w="14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1,743</w:t>
            </w:r>
          </w:p>
        </w:tc>
        <w:tc>
          <w:tcPr>
            <w:tcW w:w="0" w:type="dxa"/>
            <w:vAlign w:val="bottom"/>
          </w:tcPr>
          <w:p>
            <w:pPr>
              <w:spacing w:after="0"/>
              <w:rPr>
                <w:sz w:val="1"/>
                <w:szCs w:val="1"/>
                <w:color w:val="auto"/>
              </w:rPr>
            </w:pPr>
          </w:p>
        </w:tc>
      </w:tr>
      <w:tr>
        <w:trPr>
          <w:trHeight w:val="22"/>
        </w:trPr>
        <w:tc>
          <w:tcPr>
            <w:tcW w:w="8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Deferred income taxes</w:t>
            </w: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(8,858)</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8080" w:type="dxa"/>
            <w:vAlign w:val="bottom"/>
          </w:tcPr>
          <w:p>
            <w:pPr>
              <w:ind w:left="180"/>
              <w:spacing w:after="0"/>
              <w:rPr>
                <w:sz w:val="20"/>
                <w:szCs w:val="20"/>
                <w:color w:val="auto"/>
              </w:rPr>
            </w:pPr>
            <w:r>
              <w:rPr>
                <w:rFonts w:ascii="Arial" w:cs="Arial" w:eastAsia="Arial" w:hAnsi="Arial"/>
                <w:sz w:val="11"/>
                <w:szCs w:val="11"/>
                <w:color w:val="auto"/>
              </w:rPr>
              <w:t>Loss on sale of shares of affiliate stock</w:t>
            </w:r>
          </w:p>
        </w:tc>
        <w:tc>
          <w:tcPr>
            <w:tcW w:w="180" w:type="dxa"/>
            <w:vAlign w:val="bottom"/>
          </w:tcPr>
          <w:p>
            <w:pPr>
              <w:spacing w:after="0"/>
              <w:rPr>
                <w:sz w:val="12"/>
                <w:szCs w:val="12"/>
                <w:color w:val="auto"/>
              </w:rPr>
            </w:pPr>
          </w:p>
        </w:tc>
        <w:tc>
          <w:tcPr>
            <w:tcW w:w="14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63</w:t>
            </w:r>
          </w:p>
        </w:tc>
        <w:tc>
          <w:tcPr>
            <w:tcW w:w="0" w:type="dxa"/>
            <w:vAlign w:val="bottom"/>
          </w:tcPr>
          <w:p>
            <w:pPr>
              <w:spacing w:after="0"/>
              <w:rPr>
                <w:sz w:val="1"/>
                <w:szCs w:val="1"/>
                <w:color w:val="auto"/>
              </w:rPr>
            </w:pPr>
          </w:p>
        </w:tc>
      </w:tr>
      <w:tr>
        <w:trPr>
          <w:trHeight w:val="22"/>
        </w:trPr>
        <w:tc>
          <w:tcPr>
            <w:tcW w:w="8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Modification and vesting of Class C warrant</w:t>
            </w: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969</w:t>
            </w:r>
          </w:p>
        </w:tc>
        <w:tc>
          <w:tcPr>
            <w:tcW w:w="0" w:type="dxa"/>
            <w:vAlign w:val="bottom"/>
          </w:tcPr>
          <w:p>
            <w:pPr>
              <w:spacing w:after="0"/>
              <w:rPr>
                <w:sz w:val="1"/>
                <w:szCs w:val="1"/>
                <w:color w:val="auto"/>
              </w:rPr>
            </w:pPr>
          </w:p>
        </w:tc>
      </w:tr>
      <w:tr>
        <w:trPr>
          <w:trHeight w:val="140"/>
        </w:trPr>
        <w:tc>
          <w:tcPr>
            <w:tcW w:w="8080" w:type="dxa"/>
            <w:vAlign w:val="bottom"/>
          </w:tcPr>
          <w:p>
            <w:pPr>
              <w:ind w:left="180"/>
              <w:spacing w:after="0"/>
              <w:rPr>
                <w:sz w:val="20"/>
                <w:szCs w:val="20"/>
                <w:color w:val="auto"/>
              </w:rPr>
            </w:pPr>
            <w:r>
              <w:rPr>
                <w:rFonts w:ascii="Arial" w:cs="Arial" w:eastAsia="Arial" w:hAnsi="Arial"/>
                <w:sz w:val="11"/>
                <w:szCs w:val="11"/>
                <w:color w:val="auto"/>
              </w:rPr>
              <w:t>Gain from change in fair value of warrant liability</w:t>
            </w: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(13,139)</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8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Goodwill and intangible assets impairments</w:t>
            </w: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1,547,711</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8080" w:type="dxa"/>
            <w:vAlign w:val="bottom"/>
          </w:tcPr>
          <w:p>
            <w:pPr>
              <w:ind w:left="180"/>
              <w:spacing w:after="0"/>
              <w:rPr>
                <w:sz w:val="20"/>
                <w:szCs w:val="20"/>
                <w:color w:val="auto"/>
              </w:rPr>
            </w:pPr>
            <w:r>
              <w:rPr>
                <w:rFonts w:ascii="Arial" w:cs="Arial" w:eastAsia="Arial" w:hAnsi="Arial"/>
                <w:sz w:val="11"/>
                <w:szCs w:val="11"/>
                <w:color w:val="auto"/>
              </w:rPr>
              <w:t>Forfeiture and cancellation of common units</w:t>
            </w: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(185)</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8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Other</w:t>
            </w: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228</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347</w:t>
            </w:r>
          </w:p>
        </w:tc>
        <w:tc>
          <w:tcPr>
            <w:tcW w:w="0" w:type="dxa"/>
            <w:vAlign w:val="bottom"/>
          </w:tcPr>
          <w:p>
            <w:pPr>
              <w:spacing w:after="0"/>
              <w:rPr>
                <w:sz w:val="1"/>
                <w:szCs w:val="1"/>
                <w:color w:val="auto"/>
              </w:rPr>
            </w:pPr>
          </w:p>
        </w:tc>
      </w:tr>
      <w:tr>
        <w:trPr>
          <w:trHeight w:val="140"/>
        </w:trPr>
        <w:tc>
          <w:tcPr>
            <w:tcW w:w="8080" w:type="dxa"/>
            <w:vAlign w:val="bottom"/>
          </w:tcPr>
          <w:p>
            <w:pPr>
              <w:ind w:left="180"/>
              <w:spacing w:after="0"/>
              <w:rPr>
                <w:sz w:val="20"/>
                <w:szCs w:val="20"/>
                <w:color w:val="auto"/>
              </w:rPr>
            </w:pPr>
            <w:r>
              <w:rPr>
                <w:rFonts w:ascii="Arial" w:cs="Arial" w:eastAsia="Arial" w:hAnsi="Arial"/>
                <w:sz w:val="11"/>
                <w:szCs w:val="11"/>
                <w:color w:val="auto"/>
              </w:rPr>
              <w:t>Changes in operating assets and liabilities:</w:t>
            </w: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8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Accounts receivable</w:t>
            </w: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(3,964)</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(2,872)</w:t>
            </w:r>
          </w:p>
        </w:tc>
        <w:tc>
          <w:tcPr>
            <w:tcW w:w="0" w:type="dxa"/>
            <w:vAlign w:val="bottom"/>
          </w:tcPr>
          <w:p>
            <w:pPr>
              <w:spacing w:after="0"/>
              <w:rPr>
                <w:sz w:val="1"/>
                <w:szCs w:val="1"/>
                <w:color w:val="auto"/>
              </w:rPr>
            </w:pPr>
          </w:p>
        </w:tc>
      </w:tr>
      <w:tr>
        <w:trPr>
          <w:trHeight w:val="140"/>
        </w:trPr>
        <w:tc>
          <w:tcPr>
            <w:tcW w:w="8080" w:type="dxa"/>
            <w:vAlign w:val="bottom"/>
          </w:tcPr>
          <w:p>
            <w:pPr>
              <w:ind w:left="360"/>
              <w:spacing w:after="0"/>
              <w:rPr>
                <w:sz w:val="20"/>
                <w:szCs w:val="20"/>
                <w:color w:val="auto"/>
              </w:rPr>
            </w:pPr>
            <w:r>
              <w:rPr>
                <w:rFonts w:ascii="Arial" w:cs="Arial" w:eastAsia="Arial" w:hAnsi="Arial"/>
                <w:sz w:val="11"/>
                <w:szCs w:val="11"/>
                <w:color w:val="auto"/>
              </w:rPr>
              <w:t>Prepaid insurance</w:t>
            </w: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11,629</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8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Deposits with clearinghouse affiliate</w:t>
            </w: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20,199</w:t>
            </w:r>
          </w:p>
        </w:tc>
        <w:tc>
          <w:tcPr>
            <w:tcW w:w="0" w:type="dxa"/>
            <w:vAlign w:val="bottom"/>
          </w:tcPr>
          <w:p>
            <w:pPr>
              <w:spacing w:after="0"/>
              <w:rPr>
                <w:sz w:val="1"/>
                <w:szCs w:val="1"/>
                <w:color w:val="auto"/>
              </w:rPr>
            </w:pPr>
          </w:p>
        </w:tc>
      </w:tr>
      <w:tr>
        <w:trPr>
          <w:trHeight w:val="140"/>
        </w:trPr>
        <w:tc>
          <w:tcPr>
            <w:tcW w:w="8080" w:type="dxa"/>
            <w:vAlign w:val="bottom"/>
          </w:tcPr>
          <w:p>
            <w:pPr>
              <w:ind w:left="360"/>
              <w:spacing w:after="0"/>
              <w:rPr>
                <w:sz w:val="20"/>
                <w:szCs w:val="20"/>
                <w:color w:val="auto"/>
              </w:rPr>
            </w:pPr>
            <w:r>
              <w:rPr>
                <w:rFonts w:ascii="Arial" w:cs="Arial" w:eastAsia="Arial" w:hAnsi="Arial"/>
                <w:sz w:val="11"/>
                <w:szCs w:val="11"/>
                <w:color w:val="auto"/>
              </w:rPr>
              <w:t>Accounts payable and accrued liabilities</w:t>
            </w: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(10,668)</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12,956</w:t>
            </w:r>
          </w:p>
        </w:tc>
        <w:tc>
          <w:tcPr>
            <w:tcW w:w="0" w:type="dxa"/>
            <w:vAlign w:val="bottom"/>
          </w:tcPr>
          <w:p>
            <w:pPr>
              <w:spacing w:after="0"/>
              <w:rPr>
                <w:sz w:val="1"/>
                <w:szCs w:val="1"/>
                <w:color w:val="auto"/>
              </w:rPr>
            </w:pPr>
          </w:p>
        </w:tc>
      </w:tr>
      <w:tr>
        <w:trPr>
          <w:trHeight w:val="22"/>
        </w:trPr>
        <w:tc>
          <w:tcPr>
            <w:tcW w:w="8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Due to related party (affiliate in Predecessor periods)</w:t>
            </w:r>
            <w:r>
              <w:rPr>
                <w:rFonts w:ascii="Arial" w:cs="Arial" w:eastAsia="Arial" w:hAnsi="Arial"/>
                <w:sz w:val="14"/>
                <w:szCs w:val="14"/>
                <w:color w:val="auto"/>
                <w:vertAlign w:val="superscript"/>
              </w:rPr>
              <w:t>(1)</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284</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456</w:t>
            </w:r>
          </w:p>
        </w:tc>
        <w:tc>
          <w:tcPr>
            <w:tcW w:w="0" w:type="dxa"/>
            <w:vAlign w:val="bottom"/>
          </w:tcPr>
          <w:p>
            <w:pPr>
              <w:spacing w:after="0"/>
              <w:rPr>
                <w:sz w:val="1"/>
                <w:szCs w:val="1"/>
                <w:color w:val="auto"/>
              </w:rPr>
            </w:pPr>
          </w:p>
        </w:tc>
      </w:tr>
      <w:tr>
        <w:trPr>
          <w:trHeight w:val="140"/>
        </w:trPr>
        <w:tc>
          <w:tcPr>
            <w:tcW w:w="8080" w:type="dxa"/>
            <w:vAlign w:val="bottom"/>
          </w:tcPr>
          <w:p>
            <w:pPr>
              <w:ind w:left="360"/>
              <w:spacing w:after="0"/>
              <w:rPr>
                <w:sz w:val="20"/>
                <w:szCs w:val="20"/>
                <w:color w:val="auto"/>
              </w:rPr>
            </w:pPr>
            <w:r>
              <w:rPr>
                <w:rFonts w:ascii="Arial" w:cs="Arial" w:eastAsia="Arial" w:hAnsi="Arial"/>
                <w:sz w:val="11"/>
                <w:szCs w:val="11"/>
                <w:color w:val="auto"/>
              </w:rPr>
              <w:t>Deferred revenue</w:t>
            </w: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(2,033)</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22"/>
        </w:trPr>
        <w:tc>
          <w:tcPr>
            <w:tcW w:w="8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Operating lease liabilities</w:t>
            </w: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4,261</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(799)</w:t>
            </w:r>
          </w:p>
        </w:tc>
        <w:tc>
          <w:tcPr>
            <w:tcW w:w="0" w:type="dxa"/>
            <w:vAlign w:val="bottom"/>
          </w:tcPr>
          <w:p>
            <w:pPr>
              <w:spacing w:after="0"/>
              <w:rPr>
                <w:sz w:val="1"/>
                <w:szCs w:val="1"/>
                <w:color w:val="auto"/>
              </w:rPr>
            </w:pPr>
          </w:p>
        </w:tc>
      </w:tr>
      <w:tr>
        <w:trPr>
          <w:trHeight w:val="140"/>
        </w:trPr>
        <w:tc>
          <w:tcPr>
            <w:tcW w:w="8080" w:type="dxa"/>
            <w:vAlign w:val="bottom"/>
          </w:tcPr>
          <w:p>
            <w:pPr>
              <w:ind w:left="360"/>
              <w:spacing w:after="0"/>
              <w:rPr>
                <w:sz w:val="20"/>
                <w:szCs w:val="20"/>
                <w:color w:val="auto"/>
              </w:rPr>
            </w:pPr>
            <w:r>
              <w:rPr>
                <w:rFonts w:ascii="Arial" w:cs="Arial" w:eastAsia="Arial" w:hAnsi="Arial"/>
                <w:sz w:val="11"/>
                <w:szCs w:val="11"/>
                <w:color w:val="auto"/>
              </w:rPr>
              <w:t>Customer funds payable</w:t>
            </w: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41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276</w:t>
            </w:r>
          </w:p>
        </w:tc>
        <w:tc>
          <w:tcPr>
            <w:tcW w:w="0" w:type="dxa"/>
            <w:vAlign w:val="bottom"/>
          </w:tcPr>
          <w:p>
            <w:pPr>
              <w:spacing w:after="0"/>
              <w:rPr>
                <w:sz w:val="1"/>
                <w:szCs w:val="1"/>
                <w:color w:val="auto"/>
              </w:rPr>
            </w:pPr>
          </w:p>
        </w:tc>
      </w:tr>
      <w:tr>
        <w:trPr>
          <w:trHeight w:val="22"/>
        </w:trPr>
        <w:tc>
          <w:tcPr>
            <w:tcW w:w="8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color w:val="auto"/>
              </w:rPr>
              <w:t>Other assets and liabilities</w:t>
            </w:r>
          </w:p>
        </w:tc>
        <w:tc>
          <w:tcPr>
            <w:tcW w:w="1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(5,122)</w:t>
            </w: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(1,025)</w:t>
            </w:r>
          </w:p>
        </w:tc>
        <w:tc>
          <w:tcPr>
            <w:tcW w:w="0" w:type="dxa"/>
            <w:vAlign w:val="bottom"/>
          </w:tcPr>
          <w:p>
            <w:pPr>
              <w:spacing w:after="0"/>
              <w:rPr>
                <w:sz w:val="1"/>
                <w:szCs w:val="1"/>
                <w:color w:val="auto"/>
              </w:rPr>
            </w:pPr>
          </w:p>
        </w:tc>
      </w:tr>
      <w:tr>
        <w:trPr>
          <w:trHeight w:val="134"/>
        </w:trPr>
        <w:tc>
          <w:tcPr>
            <w:tcW w:w="8080" w:type="dxa"/>
            <w:vAlign w:val="bottom"/>
          </w:tcPr>
          <w:p>
            <w:pPr>
              <w:ind w:left="20"/>
              <w:spacing w:after="0"/>
              <w:rPr>
                <w:sz w:val="20"/>
                <w:szCs w:val="20"/>
                <w:color w:val="auto"/>
              </w:rPr>
            </w:pPr>
            <w:r>
              <w:rPr>
                <w:rFonts w:ascii="Arial" w:cs="Arial" w:eastAsia="Arial" w:hAnsi="Arial"/>
                <w:sz w:val="11"/>
                <w:szCs w:val="11"/>
                <w:color w:val="auto"/>
              </w:rPr>
              <w:t>Net cash used in operating activities</w:t>
            </w: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(93,905)</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(43,777)</w:t>
            </w:r>
          </w:p>
        </w:tc>
        <w:tc>
          <w:tcPr>
            <w:tcW w:w="0" w:type="dxa"/>
            <w:vAlign w:val="bottom"/>
          </w:tcPr>
          <w:p>
            <w:pPr>
              <w:spacing w:after="0"/>
              <w:rPr>
                <w:sz w:val="1"/>
                <w:szCs w:val="1"/>
                <w:color w:val="auto"/>
              </w:rPr>
            </w:pPr>
          </w:p>
        </w:tc>
      </w:tr>
      <w:tr>
        <w:trPr>
          <w:trHeight w:val="22"/>
        </w:trPr>
        <w:tc>
          <w:tcPr>
            <w:tcW w:w="8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8080" w:type="dxa"/>
            <w:vAlign w:val="bottom"/>
            <w:tcBorders>
              <w:bottom w:val="single" w:sz="8" w:color="CCEEFF"/>
            </w:tcBorders>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rPr>
              <w:t>Cash flows from investing activities:</w:t>
            </w:r>
          </w:p>
        </w:tc>
        <w:tc>
          <w:tcPr>
            <w:tcW w:w="18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right w:val="single" w:sz="8" w:color="auto"/>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080" w:type="dxa"/>
            <w:vAlign w:val="bottom"/>
          </w:tcPr>
          <w:p>
            <w:pPr>
              <w:ind w:left="180"/>
              <w:spacing w:after="0"/>
              <w:rPr>
                <w:sz w:val="20"/>
                <w:szCs w:val="20"/>
                <w:color w:val="auto"/>
              </w:rPr>
            </w:pPr>
            <w:r>
              <w:rPr>
                <w:rFonts w:ascii="Arial" w:cs="Arial" w:eastAsia="Arial" w:hAnsi="Arial"/>
                <w:sz w:val="11"/>
                <w:szCs w:val="11"/>
                <w:color w:val="auto"/>
              </w:rPr>
              <w:t>Capitalized internal-use software development costs and other capital expenditures</w:t>
            </w: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(22,533)</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(10,874)</w:t>
            </w:r>
          </w:p>
        </w:tc>
        <w:tc>
          <w:tcPr>
            <w:tcW w:w="0" w:type="dxa"/>
            <w:vAlign w:val="bottom"/>
          </w:tcPr>
          <w:p>
            <w:pPr>
              <w:spacing w:after="0"/>
              <w:rPr>
                <w:sz w:val="1"/>
                <w:szCs w:val="1"/>
                <w:color w:val="auto"/>
              </w:rPr>
            </w:pPr>
          </w:p>
        </w:tc>
      </w:tr>
      <w:tr>
        <w:trPr>
          <w:trHeight w:val="22"/>
        </w:trPr>
        <w:tc>
          <w:tcPr>
            <w:tcW w:w="8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Purchase of available-for-sale securities</w:t>
            </w: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(188,759)</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8080" w:type="dxa"/>
            <w:vAlign w:val="bottom"/>
          </w:tcPr>
          <w:p>
            <w:pPr>
              <w:ind w:left="180"/>
              <w:spacing w:after="0"/>
              <w:rPr>
                <w:sz w:val="20"/>
                <w:szCs w:val="20"/>
                <w:color w:val="auto"/>
              </w:rPr>
            </w:pPr>
            <w:r>
              <w:rPr>
                <w:rFonts w:ascii="Arial" w:cs="Arial" w:eastAsia="Arial" w:hAnsi="Arial"/>
                <w:sz w:val="11"/>
                <w:szCs w:val="11"/>
                <w:color w:val="auto"/>
              </w:rPr>
              <w:t>Proceeds from sale of shares of affiliate stock</w:t>
            </w:r>
          </w:p>
        </w:tc>
        <w:tc>
          <w:tcPr>
            <w:tcW w:w="180" w:type="dxa"/>
            <w:vAlign w:val="bottom"/>
          </w:tcPr>
          <w:p>
            <w:pPr>
              <w:spacing w:after="0"/>
              <w:rPr>
                <w:sz w:val="12"/>
                <w:szCs w:val="12"/>
                <w:color w:val="auto"/>
              </w:rPr>
            </w:pPr>
          </w:p>
        </w:tc>
        <w:tc>
          <w:tcPr>
            <w:tcW w:w="14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1,759</w:t>
            </w:r>
          </w:p>
        </w:tc>
        <w:tc>
          <w:tcPr>
            <w:tcW w:w="0" w:type="dxa"/>
            <w:vAlign w:val="bottom"/>
          </w:tcPr>
          <w:p>
            <w:pPr>
              <w:spacing w:after="0"/>
              <w:rPr>
                <w:sz w:val="1"/>
                <w:szCs w:val="1"/>
                <w:color w:val="auto"/>
              </w:rPr>
            </w:pPr>
          </w:p>
        </w:tc>
      </w:tr>
      <w:tr>
        <w:trPr>
          <w:trHeight w:val="22"/>
        </w:trPr>
        <w:tc>
          <w:tcPr>
            <w:tcW w:w="8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Proceeds from the maturity of available-for-sale securities</w:t>
            </w: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74,714</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8080" w:type="dxa"/>
            <w:vAlign w:val="bottom"/>
          </w:tcPr>
          <w:p>
            <w:pPr>
              <w:ind w:left="180"/>
              <w:spacing w:after="0"/>
              <w:rPr>
                <w:sz w:val="20"/>
                <w:szCs w:val="20"/>
                <w:color w:val="auto"/>
              </w:rPr>
            </w:pPr>
            <w:r>
              <w:rPr>
                <w:rFonts w:ascii="Arial" w:cs="Arial" w:eastAsia="Arial" w:hAnsi="Arial"/>
                <w:sz w:val="11"/>
                <w:szCs w:val="11"/>
                <w:color w:val="auto"/>
              </w:rPr>
              <w:t>Proceeds from sale of equipment</w:t>
            </w:r>
          </w:p>
        </w:tc>
        <w:tc>
          <w:tcPr>
            <w:tcW w:w="180" w:type="dxa"/>
            <w:vAlign w:val="bottom"/>
          </w:tcPr>
          <w:p>
            <w:pPr>
              <w:spacing w:after="0"/>
              <w:rPr>
                <w:sz w:val="12"/>
                <w:szCs w:val="12"/>
                <w:color w:val="auto"/>
              </w:rPr>
            </w:pPr>
          </w:p>
        </w:tc>
        <w:tc>
          <w:tcPr>
            <w:tcW w:w="14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22"/>
        </w:trPr>
        <w:tc>
          <w:tcPr>
            <w:tcW w:w="8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cash used in investing activities</w:t>
            </w:r>
          </w:p>
        </w:tc>
        <w:tc>
          <w:tcPr>
            <w:tcW w:w="18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(136,578)</w:t>
            </w: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(9,087)</w:t>
            </w:r>
          </w:p>
        </w:tc>
        <w:tc>
          <w:tcPr>
            <w:tcW w:w="0" w:type="dxa"/>
            <w:vAlign w:val="bottom"/>
          </w:tcPr>
          <w:p>
            <w:pPr>
              <w:spacing w:after="0"/>
              <w:rPr>
                <w:sz w:val="1"/>
                <w:szCs w:val="1"/>
                <w:color w:val="auto"/>
              </w:rPr>
            </w:pPr>
          </w:p>
        </w:tc>
      </w:tr>
      <w:tr>
        <w:trPr>
          <w:trHeight w:val="120"/>
        </w:trPr>
        <w:tc>
          <w:tcPr>
            <w:tcW w:w="808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Cash flows from financing activities:</w:t>
            </w:r>
          </w:p>
        </w:tc>
        <w:tc>
          <w:tcPr>
            <w:tcW w:w="1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8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Payment of finance lease liability</w:t>
            </w: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(97)</w:t>
            </w:r>
          </w:p>
        </w:tc>
        <w:tc>
          <w:tcPr>
            <w:tcW w:w="0" w:type="dxa"/>
            <w:vAlign w:val="bottom"/>
          </w:tcPr>
          <w:p>
            <w:pPr>
              <w:spacing w:after="0"/>
              <w:rPr>
                <w:sz w:val="1"/>
                <w:szCs w:val="1"/>
                <w:color w:val="auto"/>
              </w:rPr>
            </w:pPr>
          </w:p>
        </w:tc>
      </w:tr>
      <w:tr>
        <w:trPr>
          <w:trHeight w:val="140"/>
        </w:trPr>
        <w:tc>
          <w:tcPr>
            <w:tcW w:w="8080" w:type="dxa"/>
            <w:vAlign w:val="bottom"/>
          </w:tcPr>
          <w:p>
            <w:pPr>
              <w:ind w:left="180"/>
              <w:spacing w:after="0"/>
              <w:rPr>
                <w:sz w:val="20"/>
                <w:szCs w:val="20"/>
                <w:color w:val="auto"/>
              </w:rPr>
            </w:pPr>
            <w:r>
              <w:rPr>
                <w:rFonts w:ascii="Arial" w:cs="Arial" w:eastAsia="Arial" w:hAnsi="Arial"/>
                <w:sz w:val="11"/>
                <w:szCs w:val="11"/>
                <w:color w:val="auto"/>
              </w:rPr>
              <w:t>Proceeds from the exercise of warrants</w:t>
            </w: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3</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8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cash provided by (used in) financing activities</w:t>
            </w:r>
          </w:p>
        </w:tc>
        <w:tc>
          <w:tcPr>
            <w:tcW w:w="18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(97)</w:t>
            </w:r>
          </w:p>
        </w:tc>
        <w:tc>
          <w:tcPr>
            <w:tcW w:w="0" w:type="dxa"/>
            <w:vAlign w:val="bottom"/>
          </w:tcPr>
          <w:p>
            <w:pPr>
              <w:spacing w:after="0"/>
              <w:rPr>
                <w:sz w:val="1"/>
                <w:szCs w:val="1"/>
                <w:color w:val="auto"/>
              </w:rPr>
            </w:pPr>
          </w:p>
        </w:tc>
      </w:tr>
      <w:tr>
        <w:trPr>
          <w:trHeight w:val="133"/>
        </w:trPr>
        <w:tc>
          <w:tcPr>
            <w:tcW w:w="8080" w:type="dxa"/>
            <w:vAlign w:val="bottom"/>
          </w:tcPr>
          <w:p>
            <w:pPr>
              <w:ind w:left="180"/>
              <w:spacing w:after="0"/>
              <w:rPr>
                <w:sz w:val="20"/>
                <w:szCs w:val="20"/>
                <w:color w:val="auto"/>
              </w:rPr>
            </w:pPr>
            <w:r>
              <w:rPr>
                <w:rFonts w:ascii="Arial" w:cs="Arial" w:eastAsia="Arial" w:hAnsi="Arial"/>
                <w:sz w:val="11"/>
                <w:szCs w:val="11"/>
                <w:color w:val="auto"/>
              </w:rPr>
              <w:t>Effect of exchange rate changes</w:t>
            </w: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(968)</w:t>
            </w:r>
          </w:p>
        </w:tc>
        <w:tc>
          <w:tcPr>
            <w:tcW w:w="1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(19)</w:t>
            </w:r>
          </w:p>
        </w:tc>
        <w:tc>
          <w:tcPr>
            <w:tcW w:w="0" w:type="dxa"/>
            <w:vAlign w:val="bottom"/>
          </w:tcPr>
          <w:p>
            <w:pPr>
              <w:spacing w:after="0"/>
              <w:rPr>
                <w:sz w:val="1"/>
                <w:szCs w:val="1"/>
                <w:color w:val="auto"/>
              </w:rPr>
            </w:pPr>
          </w:p>
        </w:tc>
      </w:tr>
      <w:tr>
        <w:trPr>
          <w:trHeight w:val="22"/>
        </w:trPr>
        <w:tc>
          <w:tcPr>
            <w:tcW w:w="8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Net decrease in cash, cash equivalents, restricted cash and customer funds</w:t>
            </w:r>
          </w:p>
        </w:tc>
        <w:tc>
          <w:tcPr>
            <w:tcW w:w="180" w:type="dxa"/>
            <w:vAlign w:val="bottom"/>
            <w:tcBorders>
              <w:bottom w:val="single" w:sz="8" w:color="CCEEFF"/>
            </w:tcBorders>
            <w:shd w:val="clear" w:color="auto" w:fill="CCEEFF"/>
          </w:tcPr>
          <w:p>
            <w:pPr>
              <w:spacing w:after="0"/>
              <w:rPr>
                <w:sz w:val="11"/>
                <w:szCs w:val="1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(231,448)</w:t>
            </w:r>
          </w:p>
        </w:tc>
        <w:tc>
          <w:tcPr>
            <w:tcW w:w="120" w:type="dxa"/>
            <w:vAlign w:val="bottom"/>
            <w:tcBorders>
              <w:bottom w:val="single" w:sz="8" w:color="CCEEFF"/>
              <w:right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(52,980)</w:t>
            </w:r>
          </w:p>
        </w:tc>
        <w:tc>
          <w:tcPr>
            <w:tcW w:w="0" w:type="dxa"/>
            <w:vAlign w:val="bottom"/>
          </w:tcPr>
          <w:p>
            <w:pPr>
              <w:spacing w:after="0"/>
              <w:rPr>
                <w:sz w:val="1"/>
                <w:szCs w:val="1"/>
                <w:color w:val="auto"/>
              </w:rPr>
            </w:pPr>
          </w:p>
        </w:tc>
      </w:tr>
      <w:tr>
        <w:trPr>
          <w:trHeight w:val="140"/>
        </w:trPr>
        <w:tc>
          <w:tcPr>
            <w:tcW w:w="8080" w:type="dxa"/>
            <w:vAlign w:val="bottom"/>
          </w:tcPr>
          <w:p>
            <w:pPr>
              <w:ind w:left="20"/>
              <w:spacing w:after="0"/>
              <w:rPr>
                <w:sz w:val="20"/>
                <w:szCs w:val="20"/>
                <w:color w:val="auto"/>
              </w:rPr>
            </w:pPr>
            <w:r>
              <w:rPr>
                <w:rFonts w:ascii="Arial" w:cs="Arial" w:eastAsia="Arial" w:hAnsi="Arial"/>
                <w:sz w:val="11"/>
                <w:szCs w:val="11"/>
                <w:color w:val="auto"/>
              </w:rPr>
              <w:t>Cash, cash equivalents, restricted cash and customer funds at the beginning of the period</w:t>
            </w: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408,415</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91,943</w:t>
            </w:r>
          </w:p>
        </w:tc>
        <w:tc>
          <w:tcPr>
            <w:tcW w:w="0" w:type="dxa"/>
            <w:vAlign w:val="bottom"/>
          </w:tcPr>
          <w:p>
            <w:pPr>
              <w:spacing w:after="0"/>
              <w:rPr>
                <w:sz w:val="1"/>
                <w:szCs w:val="1"/>
                <w:color w:val="auto"/>
              </w:rPr>
            </w:pPr>
          </w:p>
        </w:tc>
      </w:tr>
      <w:tr>
        <w:trPr>
          <w:trHeight w:val="22"/>
        </w:trPr>
        <w:tc>
          <w:tcPr>
            <w:tcW w:w="8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cash equivalents, restricted cash and customer funds at the end of the period</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176,967</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38,963</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color w:val="auto"/>
              </w:rPr>
              <w:t>Supplemental disclosure of cash flow information: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80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8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Cash paid for income taxes</w:t>
            </w: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8080" w:type="dxa"/>
            <w:vAlign w:val="bottom"/>
          </w:tcPr>
          <w:p>
            <w:pPr>
              <w:ind w:left="180"/>
              <w:spacing w:after="0"/>
              <w:rPr>
                <w:sz w:val="20"/>
                <w:szCs w:val="20"/>
                <w:color w:val="auto"/>
              </w:rPr>
            </w:pPr>
            <w:r>
              <w:rPr>
                <w:rFonts w:ascii="Arial" w:cs="Arial" w:eastAsia="Arial" w:hAnsi="Arial"/>
                <w:sz w:val="11"/>
                <w:szCs w:val="11"/>
                <w:color w:val="auto"/>
              </w:rPr>
              <w:t>Non-cash operating lease right-of-use asset acquired</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11,021</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8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Supplemental disclosure of non-cash investing and financing activity:</w:t>
            </w: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80" w:type="dxa"/>
            <w:vAlign w:val="bottom"/>
          </w:tcPr>
          <w:p>
            <w:pPr>
              <w:ind w:left="180"/>
              <w:spacing w:after="0"/>
              <w:rPr>
                <w:sz w:val="20"/>
                <w:szCs w:val="20"/>
                <w:color w:val="auto"/>
              </w:rPr>
            </w:pPr>
            <w:r>
              <w:rPr>
                <w:rFonts w:ascii="Arial" w:cs="Arial" w:eastAsia="Arial" w:hAnsi="Arial"/>
                <w:sz w:val="11"/>
                <w:szCs w:val="11"/>
                <w:color w:val="auto"/>
              </w:rPr>
              <w:t>Issuance of Class A voting units in exchange of capital contribution (Note 10)</w:t>
            </w:r>
          </w:p>
        </w:tc>
        <w:tc>
          <w:tcPr>
            <w:tcW w:w="180" w:type="dxa"/>
            <w:vAlign w:val="bottom"/>
          </w:tcPr>
          <w:p>
            <w:pPr>
              <w:spacing w:after="0"/>
              <w:rPr>
                <w:sz w:val="12"/>
                <w:szCs w:val="12"/>
                <w:color w:val="auto"/>
              </w:rPr>
            </w:pPr>
          </w:p>
        </w:tc>
        <w:tc>
          <w:tcPr>
            <w:tcW w:w="14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458</w:t>
            </w:r>
          </w:p>
        </w:tc>
        <w:tc>
          <w:tcPr>
            <w:tcW w:w="0" w:type="dxa"/>
            <w:vAlign w:val="bottom"/>
          </w:tcPr>
          <w:p>
            <w:pPr>
              <w:spacing w:after="0"/>
              <w:rPr>
                <w:sz w:val="1"/>
                <w:szCs w:val="1"/>
                <w:color w:val="auto"/>
              </w:rPr>
            </w:pPr>
          </w:p>
        </w:tc>
      </w:tr>
      <w:tr>
        <w:trPr>
          <w:trHeight w:val="22"/>
        </w:trPr>
        <w:tc>
          <w:tcPr>
            <w:tcW w:w="8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Capitalized internal-use software development costs and other capital expenditures included in accounts payable and accrued liabilities.</w:t>
            </w: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2,756</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2,980</w:t>
            </w:r>
          </w:p>
        </w:tc>
        <w:tc>
          <w:tcPr>
            <w:tcW w:w="0" w:type="dxa"/>
            <w:vAlign w:val="bottom"/>
          </w:tcPr>
          <w:p>
            <w:pPr>
              <w:spacing w:after="0"/>
              <w:rPr>
                <w:sz w:val="1"/>
                <w:szCs w:val="1"/>
                <w:color w:val="auto"/>
              </w:rPr>
            </w:pPr>
          </w:p>
        </w:tc>
      </w:tr>
      <w:tr>
        <w:trPr>
          <w:trHeight w:val="140"/>
        </w:trPr>
        <w:tc>
          <w:tcPr>
            <w:tcW w:w="8080" w:type="dxa"/>
            <w:vAlign w:val="bottom"/>
          </w:tcPr>
          <w:p>
            <w:pPr>
              <w:ind w:left="180"/>
              <w:spacing w:after="0"/>
              <w:rPr>
                <w:sz w:val="20"/>
                <w:szCs w:val="20"/>
                <w:color w:val="auto"/>
              </w:rPr>
            </w:pPr>
            <w:r>
              <w:rPr>
                <w:rFonts w:ascii="Arial" w:cs="Arial" w:eastAsia="Arial" w:hAnsi="Arial"/>
                <w:sz w:val="11"/>
                <w:szCs w:val="11"/>
                <w:color w:val="auto"/>
              </w:rPr>
              <w:t>Exercise of Class B warrant</w:t>
            </w:r>
          </w:p>
        </w:tc>
        <w:tc>
          <w:tcPr>
            <w:tcW w:w="180" w:type="dxa"/>
            <w:vAlign w:val="bottom"/>
          </w:tcPr>
          <w:p>
            <w:pPr>
              <w:spacing w:after="0"/>
              <w:rPr>
                <w:sz w:val="12"/>
                <w:szCs w:val="12"/>
                <w:color w:val="auto"/>
              </w:rPr>
            </w:pPr>
          </w:p>
        </w:tc>
        <w:tc>
          <w:tcPr>
            <w:tcW w:w="14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5,426</w:t>
            </w:r>
          </w:p>
        </w:tc>
        <w:tc>
          <w:tcPr>
            <w:tcW w:w="0" w:type="dxa"/>
            <w:vAlign w:val="bottom"/>
          </w:tcPr>
          <w:p>
            <w:pPr>
              <w:spacing w:after="0"/>
              <w:rPr>
                <w:sz w:val="1"/>
                <w:szCs w:val="1"/>
                <w:color w:val="auto"/>
              </w:rPr>
            </w:pPr>
          </w:p>
        </w:tc>
      </w:tr>
      <w:tr>
        <w:trPr>
          <w:trHeight w:val="22"/>
        </w:trPr>
        <w:tc>
          <w:tcPr>
            <w:tcW w:w="8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Reconciliation of cash, cash equivalents, restricted cash and customer funds to consolidated balance sheet:</w:t>
            </w: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80" w:type="dxa"/>
            <w:vAlign w:val="bottom"/>
          </w:tcPr>
          <w:p>
            <w:pPr>
              <w:ind w:left="180"/>
              <w:spacing w:after="0"/>
              <w:rPr>
                <w:sz w:val="20"/>
                <w:szCs w:val="20"/>
                <w:color w:val="auto"/>
              </w:rPr>
            </w:pPr>
            <w:r>
              <w:rPr>
                <w:rFonts w:ascii="Arial" w:cs="Arial" w:eastAsia="Arial" w:hAnsi="Arial"/>
                <w:sz w:val="11"/>
                <w:szCs w:val="11"/>
                <w:color w:val="auto"/>
              </w:rPr>
              <w:t>Cash and cash equivalents</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159,850</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22,106</w:t>
            </w:r>
          </w:p>
        </w:tc>
        <w:tc>
          <w:tcPr>
            <w:tcW w:w="0" w:type="dxa"/>
            <w:vAlign w:val="bottom"/>
          </w:tcPr>
          <w:p>
            <w:pPr>
              <w:spacing w:after="0"/>
              <w:rPr>
                <w:sz w:val="1"/>
                <w:szCs w:val="1"/>
                <w:color w:val="auto"/>
              </w:rPr>
            </w:pPr>
          </w:p>
        </w:tc>
      </w:tr>
      <w:tr>
        <w:trPr>
          <w:trHeight w:val="22"/>
        </w:trPr>
        <w:tc>
          <w:tcPr>
            <w:tcW w:w="8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Restricted cash</w:t>
            </w: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16,525</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16,500</w:t>
            </w:r>
          </w:p>
        </w:tc>
        <w:tc>
          <w:tcPr>
            <w:tcW w:w="0" w:type="dxa"/>
            <w:vAlign w:val="bottom"/>
          </w:tcPr>
          <w:p>
            <w:pPr>
              <w:spacing w:after="0"/>
              <w:rPr>
                <w:sz w:val="1"/>
                <w:szCs w:val="1"/>
                <w:color w:val="auto"/>
              </w:rPr>
            </w:pPr>
          </w:p>
        </w:tc>
      </w:tr>
      <w:tr>
        <w:trPr>
          <w:trHeight w:val="140"/>
        </w:trPr>
        <w:tc>
          <w:tcPr>
            <w:tcW w:w="8080" w:type="dxa"/>
            <w:vAlign w:val="bottom"/>
          </w:tcPr>
          <w:p>
            <w:pPr>
              <w:ind w:left="180"/>
              <w:spacing w:after="0"/>
              <w:rPr>
                <w:sz w:val="20"/>
                <w:szCs w:val="20"/>
                <w:color w:val="auto"/>
              </w:rPr>
            </w:pPr>
            <w:r>
              <w:rPr>
                <w:rFonts w:ascii="Arial" w:cs="Arial" w:eastAsia="Arial" w:hAnsi="Arial"/>
                <w:sz w:val="11"/>
                <w:szCs w:val="11"/>
                <w:color w:val="auto"/>
              </w:rPr>
              <w:t>Customer funds</w:t>
            </w: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592</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Arial" w:cs="Arial" w:eastAsia="Arial" w:hAnsi="Arial"/>
                <w:sz w:val="11"/>
                <w:szCs w:val="11"/>
                <w:color w:val="auto"/>
              </w:rPr>
              <w:t>357</w:t>
            </w:r>
          </w:p>
        </w:tc>
        <w:tc>
          <w:tcPr>
            <w:tcW w:w="0" w:type="dxa"/>
            <w:vAlign w:val="bottom"/>
          </w:tcPr>
          <w:p>
            <w:pPr>
              <w:spacing w:after="0"/>
              <w:rPr>
                <w:sz w:val="1"/>
                <w:szCs w:val="1"/>
                <w:color w:val="auto"/>
              </w:rPr>
            </w:pPr>
          </w:p>
        </w:tc>
      </w:tr>
      <w:tr>
        <w:trPr>
          <w:trHeight w:val="22"/>
        </w:trPr>
        <w:tc>
          <w:tcPr>
            <w:tcW w:w="8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cash, cash equivalents, restricted cash and customer funds</w:t>
            </w: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176,967</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38,963</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a result of the Business Combination, ICE and its affiliates are no longer our affiliates. Refer to Note 7 for our related party disclosures.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The accompanying notes are an integral part of these consolidated financial statements</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Bakkt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220" w:lineRule="exact"/>
        <w:rPr>
          <w:sz w:val="20"/>
          <w:szCs w:val="20"/>
          <w:color w:val="auto"/>
        </w:rPr>
      </w:pPr>
    </w:p>
    <w:p>
      <w:pPr>
        <w:ind w:right="7720" w:firstLine="8"/>
        <w:spacing w:after="0" w:line="542" w:lineRule="auto"/>
        <w:tabs>
          <w:tab w:leader="none" w:pos="32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 Organization</w:t>
      </w:r>
    </w:p>
    <w:p>
      <w:pPr>
        <w:spacing w:after="0" w:line="1"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VPC Impact Acquisition Holdings (“VIH”) was a blank check company incorporated as a Cayman Islands exempted company on July 31, 2020. VIH was incorporated for the purpose of effecting a merger, share exchange, asset acquisition, share purchase, reorganization or similar business combination with one or more businesses or entities. VIH’s sponsor was VPC Impact Acquisition Holdings Sponsor, LLC (the “Sponsor”).</w:t>
      </w:r>
    </w:p>
    <w:p>
      <w:pPr>
        <w:spacing w:after="0" w:line="17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The registration statement for VIH’s Initial Public Offering was declared effective on September 22, 2020. On September 25, 2020, VIH consummated the Initial Public Offering of 20,000,000 units (the “Units”), generating gross proceeds of $200.0 million. Simultaneously with the closing of the Initial Public Offering, VIH consummated the sale of 6,000,000 warrants (the “private placement warrants”) at a price of $1.00 per Private Placement Warrant in a private placement to the Sponsor, generating gross proceeds of $6.0 million. On September 29, 2020, the underwriters notified VIH of their intention to partially exercise their over-allotment option on October 1, 2020. As such, on October 1, 2020, VIH consummated the sale of an additional 737,202 Units, at $10.00 per Unit, and the sale of an additional 147,440 private placement warrants, at $1.00 per Private Warrant, generating total gross proceeds of $7.5 million.</w:t>
      </w:r>
    </w:p>
    <w:p>
      <w:pPr>
        <w:spacing w:after="0" w:line="18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Following the closing of the Initial Public Offering on September 25, 2020 and the partial exercise of the underwriter’s over-allotment on October 1, 2020, an amount of approximately $207.4 million ($10.00 per Unit) from the proceeds of the sale of the Units in the Initial Public Offering and the sale of the private placement warrants, net of transaction costs, was placed in a trust account (the “Trust Account”).</w:t>
      </w:r>
    </w:p>
    <w:p>
      <w:pPr>
        <w:spacing w:after="0" w:line="188"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On October 15, 2021 (the “Closing Date”), VIH and Bakkt Opco Holdings, LLC (then known as Bakkt Holdings, LLC, "Opco") and its operating subsidiaries consummated a business combination (the “Business Combination”) contemplated by the Agreement and Plan of Merger entered into on January 11, 2021 (as amended, the “Merger Agreement”). In connection with the Business Combination, VIH changed its name to “Bakkt Holdings, Inc.” and changed its jurisdiction of incorporation from the Cayman Islands to the State of Delaware (the “Domestication”).</w:t>
      </w:r>
    </w:p>
    <w:p>
      <w:pPr>
        <w:spacing w:after="0" w:line="163"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Unless the context otherwise provides, “we,” “us,” “our,” “Bakkt,” the “Company” and like terms refer (i) prior to the Closing Date, to Opco and its subsidiaries and (ii) after the Closing Date, to Bakkt Holdings, Inc. and its subsidiaries, including Opco.</w:t>
      </w:r>
    </w:p>
    <w:p>
      <w:pPr>
        <w:spacing w:after="0" w:line="15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Immediately following the Domestication, we became organized in an umbrella partnership corporation, or “up-C,” structure in which substantially all of our assets and business are held by Opco, and our only direct assets consist of common units in Opco (“Opco common units”), which are non-voting interests in Opco, and the managing member interest in Opco.</w:t>
      </w:r>
    </w:p>
    <w:p>
      <w:pPr>
        <w:spacing w:after="0" w:line="188"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In connection with the Business Combination, a portion of VIH shares were exchanged for cash for shareholders who elected to execute their redemption right. The remaining VIH shares were exchanged for newly issued shares of our Class A common stock. Additionally, all outstanding membership interests and rights to acquire membership interests in Opco were exchanged for Opco common units and an equal number of newly issued shares of our Class V common stock. The existing owners of Opco other than Bakkt are considered noncontrolling interests in the accompanying consolidated financial statements (the “financial statements”). Refer to Note 4 to our consolidated financial statements included in our Annual Report on Form 10-K for the year ended December 31, 2021 filed with the U.S. Securities and Exchange Commission (the "SEC") on March 31, 2022 (the "Form 10-K") where the Business Combination is described in detail.</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Our Class A common stock and warrants are listed on the New York Stock Exchange under the ticker symbols “BKKT” and “BKKT WS,”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provide, or are working to provide, products and services in four key areas:</w:t>
      </w:r>
    </w:p>
    <w:p>
      <w:pPr>
        <w:spacing w:after="0" w:line="252" w:lineRule="exact"/>
        <w:rPr>
          <w:sz w:val="20"/>
          <w:szCs w:val="20"/>
          <w:color w:val="auto"/>
        </w:rPr>
      </w:pPr>
    </w:p>
    <w:p>
      <w:pPr>
        <w:ind w:left="660" w:hanging="328"/>
        <w:spacing w:after="0"/>
        <w:tabs>
          <w:tab w:leader="none" w:pos="660" w:val="left"/>
        </w:tabs>
        <w:numPr>
          <w:ilvl w:val="1"/>
          <w:numId w:val="8"/>
        </w:numPr>
        <w:rPr>
          <w:rFonts w:ascii="Arial" w:cs="Arial" w:eastAsia="Arial" w:hAnsi="Arial"/>
          <w:sz w:val="17"/>
          <w:szCs w:val="17"/>
          <w:color w:val="auto"/>
        </w:rPr>
      </w:pPr>
      <w:r>
        <w:rPr>
          <w:rFonts w:ascii="Arial" w:cs="Arial" w:eastAsia="Arial" w:hAnsi="Arial"/>
          <w:sz w:val="17"/>
          <w:szCs w:val="17"/>
          <w:color w:val="auto"/>
        </w:rPr>
        <w:t>Enabling Crypto Services. Our platform provides consumers, businesses and institutions easy access to crypto buy and sell capabilities.</w:t>
      </w:r>
    </w:p>
    <w:p>
      <w:pPr>
        <w:spacing w:after="0" w:line="277" w:lineRule="exact"/>
        <w:rPr>
          <w:rFonts w:ascii="Arial" w:cs="Arial" w:eastAsia="Arial" w:hAnsi="Arial"/>
          <w:sz w:val="17"/>
          <w:szCs w:val="17"/>
          <w:color w:val="auto"/>
        </w:rPr>
      </w:pPr>
    </w:p>
    <w:p>
      <w:pPr>
        <w:ind w:left="660" w:right="20" w:hanging="328"/>
        <w:spacing w:after="0" w:line="341" w:lineRule="auto"/>
        <w:tabs>
          <w:tab w:leader="none" w:pos="655" w:val="left"/>
        </w:tabs>
        <w:numPr>
          <w:ilvl w:val="1"/>
          <w:numId w:val="8"/>
        </w:numPr>
        <w:rPr>
          <w:rFonts w:ascii="Arial" w:cs="Arial" w:eastAsia="Arial" w:hAnsi="Arial"/>
          <w:sz w:val="17"/>
          <w:szCs w:val="17"/>
          <w:color w:val="auto"/>
        </w:rPr>
      </w:pPr>
      <w:r>
        <w:rPr>
          <w:rFonts w:ascii="Arial" w:cs="Arial" w:eastAsia="Arial" w:hAnsi="Arial"/>
          <w:sz w:val="17"/>
          <w:szCs w:val="17"/>
          <w:color w:val="auto"/>
        </w:rPr>
        <w:t>Fueling Crypto Rewards. We are in the process of enabling merchants of all sizes to offer loyalty and rewards to their customers in the form of crypto – either by earning crypto rewards, or by redeeming existing reward currencies, such as points or miles, into crypto.</w:t>
      </w:r>
    </w:p>
    <w:p>
      <w:pPr>
        <w:spacing w:after="0" w:line="160" w:lineRule="exact"/>
        <w:rPr>
          <w:rFonts w:ascii="Arial" w:cs="Arial" w:eastAsia="Arial" w:hAnsi="Arial"/>
          <w:sz w:val="17"/>
          <w:szCs w:val="17"/>
          <w:color w:val="auto"/>
        </w:rPr>
      </w:pPr>
    </w:p>
    <w:p>
      <w:pPr>
        <w:ind w:left="660" w:hanging="328"/>
        <w:spacing w:after="0"/>
        <w:tabs>
          <w:tab w:leader="none" w:pos="660" w:val="left"/>
        </w:tabs>
        <w:numPr>
          <w:ilvl w:val="1"/>
          <w:numId w:val="8"/>
        </w:numPr>
        <w:rPr>
          <w:rFonts w:ascii="Arial" w:cs="Arial" w:eastAsia="Arial" w:hAnsi="Arial"/>
          <w:sz w:val="17"/>
          <w:szCs w:val="17"/>
          <w:color w:val="auto"/>
        </w:rPr>
      </w:pPr>
      <w:r>
        <w:rPr>
          <w:rFonts w:ascii="Arial" w:cs="Arial" w:eastAsia="Arial" w:hAnsi="Arial"/>
          <w:sz w:val="17"/>
          <w:szCs w:val="17"/>
          <w:color w:val="auto"/>
        </w:rPr>
        <w:t>Paying with Digital Assets. We enable consumers to make everyday purchases using their existing rewards points or new assets like crypto.</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1"/>
          <w:numId w:val="8"/>
        </w:numPr>
        <w:rPr>
          <w:rFonts w:ascii="Arial" w:cs="Arial" w:eastAsia="Arial" w:hAnsi="Arial"/>
          <w:sz w:val="17"/>
          <w:szCs w:val="17"/>
          <w:color w:val="auto"/>
        </w:rPr>
      </w:pPr>
      <w:r>
        <w:rPr>
          <w:rFonts w:ascii="Arial" w:cs="Arial" w:eastAsia="Arial" w:hAnsi="Arial"/>
          <w:sz w:val="17"/>
          <w:szCs w:val="17"/>
          <w:color w:val="auto"/>
        </w:rPr>
        <w:t>Powering Loyalty. We offer a full spectrum of content that retailers and financial institutions can make available to their customers when</w:t>
      </w:r>
    </w:p>
    <w:p>
      <w:pPr>
        <w:spacing w:after="0" w:line="61" w:lineRule="exact"/>
        <w:rPr>
          <w:rFonts w:ascii="Arial" w:cs="Arial" w:eastAsia="Arial" w:hAnsi="Arial"/>
          <w:sz w:val="17"/>
          <w:szCs w:val="17"/>
          <w:color w:val="auto"/>
        </w:rPr>
      </w:pPr>
    </w:p>
    <w:p>
      <w:pPr>
        <w:jc w:val="both"/>
        <w:ind w:left="660"/>
        <w:spacing w:after="0" w:line="303" w:lineRule="auto"/>
        <w:rPr>
          <w:rFonts w:ascii="Arial" w:cs="Arial" w:eastAsia="Arial" w:hAnsi="Arial"/>
          <w:sz w:val="17"/>
          <w:szCs w:val="17"/>
          <w:color w:val="auto"/>
        </w:rPr>
      </w:pPr>
      <w:r>
        <w:rPr>
          <w:rFonts w:ascii="Arial" w:cs="Arial" w:eastAsia="Arial" w:hAnsi="Arial"/>
          <w:sz w:val="18"/>
          <w:szCs w:val="18"/>
          <w:color w:val="auto"/>
        </w:rPr>
        <w:t>redeeming loyalty currencies. Our redemption solutions span a variety of rewards categories including merchandise (such as Apple products and services), gift cards, digital experiences and charitable giving. Our travel solution offers a retail e-commerce booking platform, as well as live-agent booking and servicing.</w:t>
      </w:r>
    </w:p>
    <w:p>
      <w:pPr>
        <w:spacing w:after="0" w:line="170" w:lineRule="exact"/>
        <w:rPr>
          <w:rFonts w:ascii="Arial" w:cs="Arial" w:eastAsia="Arial" w:hAnsi="Arial"/>
          <w:sz w:val="17"/>
          <w:szCs w:val="17"/>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accounting policies are as set forth in the notes of our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0"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As a result of the Business Combination, we evaluated if VIH or Opco is the predecessor for accounting purposes. In considering the foregoing principles of predecessor determination in light of our specific facts and circumstances, we determined that Opco is the predecessor for accounting purposes. The financial statement presentation includes the financial statements of Opco as “Predecessor” for periods prior to the Closing Date and the financial statements of the Company as “Successor” for the period after the Closing Date, including the consolidation of Opco.</w:t>
      </w:r>
    </w:p>
    <w:p>
      <w:pPr>
        <w:spacing w:after="0" w:line="16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The accompanying unaudited interim consolidated financial statements are prepared in accordance with United States generally accepted accounting principles (“U.S. GAAP”) for interim financial information and with the instructions to the Quarterly Report on Form 10-Q and Article 10 of Regulation S-X. Accordingly, they do not include all of the information and footnotes required by U.S. GAAP for complete financial statements. In the opinion of management, the unaudited interim consolidated financial statements include the accounts of the Company and our subsidiaries. All intercompany balances and transactions have been eliminated in consolidation. In addition, certain reclassifications of amounts previously reported have been made to the accompanying consolidated financial statements in order to conform to current presentation.</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In the opinion of management, all adjustments (consisting of normal recurring accruals), considered necessary for a fair presentation have been included. The interim results for the nine months ended September 30, 2022 are not necessarily indicative of the results that may be expected for the year ending December 31, 2022, or for any other future annual or interim period. These consolidated financial statements should be read in conjunction with the Company’s audited financial statements and accompanying notes thereto included in the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1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Except as described below, for the nine months ended September 30, 2022, there were no significant changes to the recently adopted accounting pronouncements applicable to us from those disclosed in Note 2 of our Form 10-K.</w:t>
      </w:r>
    </w:p>
    <w:p>
      <w:pPr>
        <w:spacing w:after="0" w:line="157"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7"/>
          <w:szCs w:val="17"/>
          <w:color w:val="auto"/>
        </w:rPr>
        <w:t>On March 31, 2022, the SEC issued Staff Accounting Bulletin ("SAB") Number 121 ("SAB 121"), which provides the SEC staff’s view that it would be appropriate for an entity that has an obligation to safeguard cryptoassets held for platform users to record a liability and corresponding asset on its balance sheet at the fair value of the cryptoassets. SAB 121 also added Section FF to SAB Topic 5 to include interpretive guidance for entities to consider when they have obligations to safeguard cryptoassets held for their platform users. We adopted the guidance in SAB 121 during the quarter ended June 30, 2022 with retrospective application as of January 1, 2022. Refer to Note 17 for additional information.</w:t>
      </w:r>
    </w:p>
    <w:p>
      <w:pPr>
        <w:spacing w:after="0" w:line="200" w:lineRule="exact"/>
        <w:rPr>
          <w:sz w:val="20"/>
          <w:szCs w:val="20"/>
          <w:color w:val="auto"/>
        </w:rPr>
      </w:pPr>
    </w:p>
    <w:p>
      <w:pPr>
        <w:spacing w:after="0" w:line="20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disaggregate revenue by service type and by platform, respectively,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right="73"/>
              <w:spacing w:after="0"/>
              <w:rPr>
                <w:sz w:val="20"/>
                <w:szCs w:val="20"/>
                <w:color w:val="auto"/>
              </w:rPr>
            </w:pPr>
            <w:r>
              <w:rPr>
                <w:rFonts w:ascii="Arial" w:cs="Arial" w:eastAsia="Arial" w:hAnsi="Arial"/>
                <w:sz w:val="18"/>
                <w:szCs w:val="18"/>
                <w:b w:val="1"/>
                <w:bCs w:val="1"/>
                <w:color w:val="auto"/>
                <w:w w:val="81"/>
              </w:rPr>
              <w:t>Successor</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74"/>
              <w:spacing w:after="0"/>
              <w:rPr>
                <w:sz w:val="20"/>
                <w:szCs w:val="20"/>
                <w:color w:val="auto"/>
              </w:rPr>
            </w:pPr>
            <w:r>
              <w:rPr>
                <w:rFonts w:ascii="Arial" w:cs="Arial" w:eastAsia="Arial" w:hAnsi="Arial"/>
                <w:sz w:val="18"/>
                <w:szCs w:val="18"/>
                <w:b w:val="1"/>
                <w:bCs w:val="1"/>
                <w:color w:val="auto"/>
                <w:w w:val="85"/>
              </w:rPr>
              <w:t>Predecessor</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94"/>
              <w:spacing w:after="0"/>
              <w:rPr>
                <w:sz w:val="20"/>
                <w:szCs w:val="20"/>
                <w:color w:val="auto"/>
              </w:rPr>
            </w:pPr>
            <w:r>
              <w:rPr>
                <w:rFonts w:ascii="Arial" w:cs="Arial" w:eastAsia="Arial" w:hAnsi="Arial"/>
                <w:sz w:val="18"/>
                <w:szCs w:val="18"/>
                <w:b w:val="1"/>
                <w:bCs w:val="1"/>
                <w:color w:val="auto"/>
                <w:w w:val="83"/>
              </w:rPr>
              <w:t>Successor</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74"/>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156"/>
        </w:trPr>
        <w:tc>
          <w:tcPr>
            <w:tcW w:w="3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20" w:type="dxa"/>
            <w:vAlign w:val="bottom"/>
            <w:tcBorders>
              <w:right w:val="single" w:sz="8" w:color="auto"/>
            </w:tcBorders>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3"/>
              </w:rPr>
              <w:t>Three Months Ended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jc w:val="center"/>
              <w:ind w:right="94"/>
              <w:spacing w:after="0" w:line="155" w:lineRule="exact"/>
              <w:rPr>
                <w:sz w:val="20"/>
                <w:szCs w:val="20"/>
                <w:color w:val="auto"/>
              </w:rPr>
            </w:pPr>
            <w:r>
              <w:rPr>
                <w:rFonts w:ascii="Arial" w:cs="Arial" w:eastAsia="Arial" w:hAnsi="Arial"/>
                <w:sz w:val="16"/>
                <w:szCs w:val="16"/>
                <w:b w:val="1"/>
                <w:bCs w:val="1"/>
                <w:color w:val="auto"/>
                <w:w w:val="93"/>
              </w:rPr>
              <w:t>Three Months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center"/>
              <w:ind w:right="74"/>
              <w:spacing w:after="0" w:line="155" w:lineRule="exact"/>
              <w:rPr>
                <w:sz w:val="20"/>
                <w:szCs w:val="20"/>
                <w:color w:val="auto"/>
              </w:rPr>
            </w:pPr>
            <w:r>
              <w:rPr>
                <w:rFonts w:ascii="Arial" w:cs="Arial" w:eastAsia="Arial" w:hAnsi="Arial"/>
                <w:sz w:val="16"/>
                <w:szCs w:val="16"/>
                <w:b w:val="1"/>
                <w:bCs w:val="1"/>
                <w:color w:val="auto"/>
                <w:w w:val="93"/>
              </w:rPr>
              <w:t>Nine Months</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jc w:val="center"/>
              <w:ind w:right="94"/>
              <w:spacing w:after="0" w:line="155" w:lineRule="exact"/>
              <w:rPr>
                <w:sz w:val="20"/>
                <w:szCs w:val="20"/>
                <w:color w:val="auto"/>
              </w:rPr>
            </w:pPr>
            <w:r>
              <w:rPr>
                <w:rFonts w:ascii="Arial" w:cs="Arial" w:eastAsia="Arial" w:hAnsi="Arial"/>
                <w:sz w:val="16"/>
                <w:szCs w:val="16"/>
                <w:b w:val="1"/>
                <w:bCs w:val="1"/>
                <w:color w:val="auto"/>
                <w:w w:val="93"/>
              </w:rPr>
              <w:t>Nine Months</w:t>
            </w:r>
          </w:p>
        </w:tc>
        <w:tc>
          <w:tcPr>
            <w:tcW w:w="0" w:type="dxa"/>
            <w:vAlign w:val="bottom"/>
          </w:tcPr>
          <w:p>
            <w:pPr>
              <w:spacing w:after="0"/>
              <w:rPr>
                <w:sz w:val="1"/>
                <w:szCs w:val="1"/>
                <w:color w:val="auto"/>
              </w:rPr>
            </w:pPr>
          </w:p>
        </w:tc>
      </w:tr>
      <w:tr>
        <w:trPr>
          <w:trHeight w:val="162"/>
        </w:trPr>
        <w:tc>
          <w:tcPr>
            <w:tcW w:w="33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Service Type</w:t>
            </w:r>
          </w:p>
        </w:tc>
        <w:tc>
          <w:tcPr>
            <w:tcW w:w="140" w:type="dxa"/>
            <w:vAlign w:val="bottom"/>
          </w:tcPr>
          <w:p>
            <w:pPr>
              <w:spacing w:after="0"/>
              <w:rPr>
                <w:sz w:val="14"/>
                <w:szCs w:val="14"/>
                <w:color w:val="auto"/>
              </w:rPr>
            </w:pPr>
          </w:p>
        </w:tc>
        <w:tc>
          <w:tcPr>
            <w:tcW w:w="182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Ended</w:t>
            </w:r>
          </w:p>
        </w:tc>
        <w:tc>
          <w:tcPr>
            <w:tcW w:w="180" w:type="dxa"/>
            <w:vAlign w:val="bottom"/>
          </w:tcPr>
          <w:p>
            <w:pPr>
              <w:spacing w:after="0"/>
              <w:rPr>
                <w:sz w:val="14"/>
                <w:szCs w:val="14"/>
                <w:color w:val="auto"/>
              </w:rPr>
            </w:pPr>
          </w:p>
        </w:tc>
        <w:tc>
          <w:tcPr>
            <w:tcW w:w="1780" w:type="dxa"/>
            <w:vAlign w:val="bottom"/>
            <w:tcBorders>
              <w:right w:val="single" w:sz="8" w:color="auto"/>
            </w:tcBorders>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9"/>
              </w:rPr>
              <w:t>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center"/>
              <w:ind w:right="74"/>
              <w:spacing w:after="0" w:line="162" w:lineRule="exact"/>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213"/>
        </w:trPr>
        <w:tc>
          <w:tcPr>
            <w:tcW w:w="3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0"/>
              </w:rPr>
              <w:t>September 30, 2022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September 30, 2021</w:t>
            </w:r>
          </w:p>
        </w:tc>
        <w:tc>
          <w:tcPr>
            <w:tcW w:w="180" w:type="dxa"/>
            <w:vAlign w:val="bottom"/>
          </w:tcPr>
          <w:p>
            <w:pPr>
              <w:spacing w:after="0"/>
              <w:rPr>
                <w:sz w:val="18"/>
                <w:szCs w:val="18"/>
                <w:color w:val="auto"/>
              </w:rPr>
            </w:pPr>
          </w:p>
        </w:tc>
        <w:tc>
          <w:tcPr>
            <w:tcW w:w="178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0"/>
              </w:rPr>
              <w:t>September 30, 2022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ind w:right="74"/>
              <w:spacing w:after="0"/>
              <w:rPr>
                <w:sz w:val="20"/>
                <w:szCs w:val="20"/>
                <w:color w:val="auto"/>
              </w:rPr>
            </w:pPr>
            <w:r>
              <w:rPr>
                <w:rFonts w:ascii="Arial" w:cs="Arial" w:eastAsia="Arial" w:hAnsi="Arial"/>
                <w:sz w:val="16"/>
                <w:szCs w:val="16"/>
                <w:b w:val="1"/>
                <w:bCs w:val="1"/>
                <w:color w:val="auto"/>
                <w:w w:val="90"/>
              </w:rPr>
              <w:t>September 30, 2021</w:t>
            </w:r>
          </w:p>
        </w:tc>
        <w:tc>
          <w:tcPr>
            <w:tcW w:w="0" w:type="dxa"/>
            <w:vAlign w:val="bottom"/>
          </w:tcPr>
          <w:p>
            <w:pPr>
              <w:spacing w:after="0"/>
              <w:rPr>
                <w:sz w:val="1"/>
                <w:szCs w:val="1"/>
                <w:color w:val="auto"/>
              </w:rPr>
            </w:pPr>
          </w:p>
        </w:tc>
      </w:tr>
      <w:tr>
        <w:trPr>
          <w:trHeight w:val="226"/>
        </w:trPr>
        <w:tc>
          <w:tcPr>
            <w:tcW w:w="3240" w:type="dxa"/>
            <w:vAlign w:val="bottom"/>
            <w:tcBorders>
              <w:top w:val="single" w:sz="8" w:color="auto"/>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Transaction revenue, net</w:t>
            </w:r>
            <w:r>
              <w:rPr>
                <w:rFonts w:ascii="Arial" w:cs="Arial" w:eastAsia="Arial" w:hAnsi="Arial"/>
                <w:sz w:val="23"/>
                <w:szCs w:val="23"/>
                <w:color w:val="auto"/>
                <w:vertAlign w:val="superscript"/>
              </w:rPr>
              <w:t>(a)</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20,125</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9,542</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Subscription and service revenue</w:t>
            </w: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6,285</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18,839</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16,231</w:t>
            </w:r>
          </w:p>
        </w:tc>
        <w:tc>
          <w:tcPr>
            <w:tcW w:w="0" w:type="dxa"/>
            <w:vAlign w:val="bottom"/>
          </w:tcPr>
          <w:p>
            <w:pPr>
              <w:spacing w:after="0"/>
              <w:rPr>
                <w:sz w:val="1"/>
                <w:szCs w:val="1"/>
                <w:color w:val="auto"/>
              </w:rPr>
            </w:pPr>
          </w:p>
        </w:tc>
      </w:tr>
      <w:tr>
        <w:trPr>
          <w:trHeight w:val="248"/>
        </w:trPr>
        <w:tc>
          <w:tcPr>
            <w:tcW w:w="33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38,964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25,773</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Amounts are net of incentives, rebates and liquidity payments, reductions related to the contribution agreement entered into between Bakkt and ICE in</w:t>
      </w:r>
    </w:p>
    <w:p>
      <w:pPr>
        <w:spacing w:after="0" w:line="72" w:lineRule="exact"/>
        <w:rPr>
          <w:rFonts w:ascii="Arial" w:cs="Arial" w:eastAsia="Arial" w:hAnsi="Arial"/>
          <w:sz w:val="16"/>
          <w:szCs w:val="16"/>
          <w:color w:val="auto"/>
        </w:rPr>
      </w:pPr>
    </w:p>
    <w:p>
      <w:pPr>
        <w:jc w:val="both"/>
        <w:ind w:left="340"/>
        <w:spacing w:after="0" w:line="325" w:lineRule="auto"/>
        <w:rPr>
          <w:rFonts w:ascii="Arial" w:cs="Arial" w:eastAsia="Arial" w:hAnsi="Arial"/>
          <w:sz w:val="16"/>
          <w:szCs w:val="16"/>
          <w:color w:val="auto"/>
        </w:rPr>
      </w:pPr>
      <w:r>
        <w:rPr>
          <w:rFonts w:ascii="Arial" w:cs="Arial" w:eastAsia="Arial" w:hAnsi="Arial"/>
          <w:sz w:val="16"/>
          <w:szCs w:val="16"/>
          <w:color w:val="auto"/>
        </w:rPr>
        <w:t>connection with ICE’s formation of Bakkt (“Contribution Agreement"), and consideration payable pursuant to an agreement with a strategic partner. These amounts consist of less than $0.1 million and $0.4 million for the three and nine months ended September 30, 2022, respectively. These amounts</w:t>
      </w:r>
    </w:p>
    <w:p>
      <w:pPr>
        <w:spacing w:after="0" w:line="1" w:lineRule="exact"/>
        <w:rPr>
          <w:rFonts w:ascii="Arial" w:cs="Arial" w:eastAsia="Arial" w:hAnsi="Arial"/>
          <w:sz w:val="16"/>
          <w:szCs w:val="16"/>
          <w:color w:val="auto"/>
        </w:rPr>
      </w:pPr>
    </w:p>
    <w:p>
      <w:pPr>
        <w:jc w:val="both"/>
        <w:ind w:left="340"/>
        <w:spacing w:after="0" w:line="328" w:lineRule="auto"/>
        <w:rPr>
          <w:rFonts w:ascii="Arial" w:cs="Arial" w:eastAsia="Arial" w:hAnsi="Arial"/>
          <w:sz w:val="16"/>
          <w:szCs w:val="16"/>
          <w:color w:val="auto"/>
        </w:rPr>
      </w:pPr>
      <w:r>
        <w:rPr>
          <w:rFonts w:ascii="Arial" w:cs="Arial" w:eastAsia="Arial" w:hAnsi="Arial"/>
          <w:sz w:val="17"/>
          <w:szCs w:val="17"/>
          <w:color w:val="auto"/>
        </w:rPr>
        <w:t>consist of $0.8 million and $2.4 million for the three and nine months ended September 30, 2021, respectively. Included in these amounts are amounts earned from related parties of less than $0.1 million for the three and nine months ended September 30, 2022, and amounts earned from affiliates of $0.1 million and $0.2 million for the three and nine months ended September 30, 2021,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3"/>
              </w:rPr>
              <w:t>Successor</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19"/>
                <w:szCs w:val="19"/>
                <w:color w:val="auto"/>
              </w:rPr>
            </w:pPr>
          </w:p>
        </w:tc>
        <w:tc>
          <w:tcPr>
            <w:tcW w:w="178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3"/>
              </w:rPr>
              <w:t>Successor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center"/>
              <w:ind w:right="73"/>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156"/>
        </w:trPr>
        <w:tc>
          <w:tcPr>
            <w:tcW w:w="33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Platform</w:t>
            </w:r>
          </w:p>
        </w:tc>
        <w:tc>
          <w:tcPr>
            <w:tcW w:w="14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jc w:val="center"/>
              <w:ind w:right="53"/>
              <w:spacing w:after="0" w:line="155" w:lineRule="exact"/>
              <w:rPr>
                <w:sz w:val="20"/>
                <w:szCs w:val="20"/>
                <w:color w:val="auto"/>
              </w:rPr>
            </w:pPr>
            <w:r>
              <w:rPr>
                <w:rFonts w:ascii="Arial" w:cs="Arial" w:eastAsia="Arial" w:hAnsi="Arial"/>
                <w:sz w:val="16"/>
                <w:szCs w:val="16"/>
                <w:b w:val="1"/>
                <w:bCs w:val="1"/>
                <w:color w:val="auto"/>
                <w:w w:val="93"/>
              </w:rPr>
              <w:t>Three Months Ended</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jc w:val="center"/>
              <w:ind w:right="53"/>
              <w:spacing w:after="0" w:line="155" w:lineRule="exact"/>
              <w:rPr>
                <w:sz w:val="20"/>
                <w:szCs w:val="20"/>
                <w:color w:val="auto"/>
              </w:rPr>
            </w:pPr>
            <w:r>
              <w:rPr>
                <w:rFonts w:ascii="Arial" w:cs="Arial" w:eastAsia="Arial" w:hAnsi="Arial"/>
                <w:sz w:val="16"/>
                <w:szCs w:val="16"/>
                <w:b w:val="1"/>
                <w:bCs w:val="1"/>
                <w:color w:val="auto"/>
                <w:w w:val="93"/>
              </w:rPr>
              <w:t>Three Months Ended</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jc w:val="center"/>
              <w:ind w:right="73"/>
              <w:spacing w:after="0" w:line="155" w:lineRule="exact"/>
              <w:rPr>
                <w:sz w:val="20"/>
                <w:szCs w:val="20"/>
                <w:color w:val="auto"/>
              </w:rPr>
            </w:pPr>
            <w:r>
              <w:rPr>
                <w:rFonts w:ascii="Arial" w:cs="Arial" w:eastAsia="Arial" w:hAnsi="Arial"/>
                <w:sz w:val="16"/>
                <w:szCs w:val="16"/>
                <w:b w:val="1"/>
                <w:bCs w:val="1"/>
                <w:color w:val="auto"/>
                <w:w w:val="92"/>
              </w:rPr>
              <w:t>Nine Months Ended</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center"/>
              <w:ind w:right="93"/>
              <w:spacing w:after="0" w:line="155" w:lineRule="exact"/>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16"/>
        </w:trPr>
        <w:tc>
          <w:tcPr>
            <w:tcW w:w="3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0"/>
              </w:rPr>
              <w:t>September 30, 2022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September 30, 2021</w:t>
            </w:r>
          </w:p>
        </w:tc>
        <w:tc>
          <w:tcPr>
            <w:tcW w:w="180" w:type="dxa"/>
            <w:vAlign w:val="bottom"/>
          </w:tcPr>
          <w:p>
            <w:pPr>
              <w:spacing w:after="0"/>
              <w:rPr>
                <w:sz w:val="18"/>
                <w:szCs w:val="18"/>
                <w:color w:val="auto"/>
              </w:rPr>
            </w:pPr>
          </w:p>
        </w:tc>
        <w:tc>
          <w:tcPr>
            <w:tcW w:w="178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0"/>
              </w:rPr>
              <w:t>September 30, 2022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ind w:right="73"/>
              <w:spacing w:after="0"/>
              <w:rPr>
                <w:sz w:val="20"/>
                <w:szCs w:val="20"/>
                <w:color w:val="auto"/>
              </w:rPr>
            </w:pPr>
            <w:r>
              <w:rPr>
                <w:rFonts w:ascii="Arial" w:cs="Arial" w:eastAsia="Arial" w:hAnsi="Arial"/>
                <w:sz w:val="16"/>
                <w:szCs w:val="16"/>
                <w:b w:val="1"/>
                <w:bCs w:val="1"/>
                <w:color w:val="auto"/>
                <w:w w:val="90"/>
              </w:rPr>
              <w:t>September 30, 2021</w:t>
            </w:r>
          </w:p>
        </w:tc>
        <w:tc>
          <w:tcPr>
            <w:tcW w:w="0" w:type="dxa"/>
            <w:vAlign w:val="bottom"/>
          </w:tcPr>
          <w:p>
            <w:pPr>
              <w:spacing w:after="0"/>
              <w:rPr>
                <w:sz w:val="1"/>
                <w:szCs w:val="1"/>
                <w:color w:val="auto"/>
              </w:rPr>
            </w:pPr>
          </w:p>
        </w:tc>
      </w:tr>
      <w:tr>
        <w:trPr>
          <w:trHeight w:val="223"/>
        </w:trPr>
        <w:tc>
          <w:tcPr>
            <w:tcW w:w="328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Digital asset marketplace</w:t>
            </w:r>
            <w:r>
              <w:rPr>
                <w:rFonts w:ascii="Arial" w:cs="Arial" w:eastAsia="Arial" w:hAnsi="Arial"/>
                <w:sz w:val="23"/>
                <w:szCs w:val="23"/>
                <w:color w:val="auto"/>
                <w:vertAlign w:val="superscript"/>
              </w:rPr>
              <w:t>(b)</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Loyalty redemption platform</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12,742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9,952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38,852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27,335</w:t>
            </w: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Alternative payment platform</w:t>
            </w:r>
            <w:r>
              <w:rPr>
                <w:rFonts w:ascii="Arial" w:cs="Arial" w:eastAsia="Arial" w:hAnsi="Arial"/>
                <w:sz w:val="23"/>
                <w:szCs w:val="23"/>
                <w:color w:val="auto"/>
                <w:vertAlign w:val="superscript"/>
              </w:rPr>
              <w:t>(c)</w:t>
            </w:r>
          </w:p>
        </w:tc>
        <w:tc>
          <w:tcPr>
            <w:tcW w:w="1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63"/>
        </w:trPr>
        <w:tc>
          <w:tcPr>
            <w:tcW w:w="3380" w:type="dxa"/>
            <w:vAlign w:val="bottom"/>
            <w:gridSpan w:val="2"/>
          </w:tcPr>
          <w:p>
            <w:pPr>
              <w:ind w:left="24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12,860</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38,964</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25,773</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Amounts are net of incentives, rebates and liquidity payments and reductions related to the Contribution Agreement of less than $0.1 million for the</w:t>
      </w:r>
    </w:p>
    <w:p>
      <w:pPr>
        <w:spacing w:after="0" w:line="72" w:lineRule="exact"/>
        <w:rPr>
          <w:rFonts w:ascii="Arial" w:cs="Arial" w:eastAsia="Arial" w:hAnsi="Arial"/>
          <w:sz w:val="16"/>
          <w:szCs w:val="16"/>
          <w:color w:val="auto"/>
        </w:rPr>
      </w:pPr>
    </w:p>
    <w:p>
      <w:pPr>
        <w:ind w:left="340"/>
        <w:spacing w:after="0" w:line="308" w:lineRule="auto"/>
        <w:rPr>
          <w:rFonts w:ascii="Arial" w:cs="Arial" w:eastAsia="Arial" w:hAnsi="Arial"/>
          <w:sz w:val="16"/>
          <w:szCs w:val="16"/>
          <w:color w:val="auto"/>
        </w:rPr>
      </w:pPr>
      <w:r>
        <w:rPr>
          <w:rFonts w:ascii="Arial" w:cs="Arial" w:eastAsia="Arial" w:hAnsi="Arial"/>
          <w:sz w:val="18"/>
          <w:szCs w:val="18"/>
          <w:color w:val="auto"/>
        </w:rPr>
        <w:t>three and nine months ended September 30, 2022, and approximately $0.2 million and $0.6 million for the three and nine months ended September 30, 2021, respectively.</w:t>
      </w:r>
    </w:p>
    <w:p>
      <w:pPr>
        <w:spacing w:after="0" w:line="184" w:lineRule="exact"/>
        <w:rPr>
          <w:rFonts w:ascii="Arial" w:cs="Arial" w:eastAsia="Arial" w:hAnsi="Arial"/>
          <w:sz w:val="16"/>
          <w:szCs w:val="16"/>
          <w:color w:val="auto"/>
        </w:rPr>
      </w:pPr>
    </w:p>
    <w:p>
      <w:pPr>
        <w:jc w:val="both"/>
        <w:ind w:left="340" w:right="100" w:hanging="332"/>
        <w:spacing w:after="0" w:line="303" w:lineRule="auto"/>
        <w:tabs>
          <w:tab w:leader="none" w:pos="3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are net of incentives and consideration payable pursuant to an agreement with a strategic partner of less than $0.1 million and $0.4 million for the three and nine months ended September 30, 2022, respectively, and $0.6 million and $1.8 million for the three and nine months ended September 30, 2021, respectively.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one reportable segment to which our revenues relate.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52"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Contract liabilities consist of deferred revenue for amounts invoiced prior to us meeting the criteria for revenue recognition. We invoice customers for service fees at the time the service is performed, and such fees are recognized as revenue over time as we satisfy its performance obligation. Contract liabilities are classified as “Deferred revenue, current” and “Deferred revenue, noncurrent” in our consolidated balance sheets. The activity in deferred revenue for the nine months ended September 30, 2022 and 2021, respectively, was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3"/>
              </w:rPr>
              <w:t>Successor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center"/>
              <w:ind w:right="73"/>
              <w:spacing w:after="0"/>
              <w:rPr>
                <w:sz w:val="20"/>
                <w:szCs w:val="20"/>
                <w:color w:val="auto"/>
              </w:rPr>
            </w:pPr>
            <w:r>
              <w:rPr>
                <w:rFonts w:ascii="Arial" w:cs="Arial" w:eastAsia="Arial" w:hAnsi="Arial"/>
                <w:sz w:val="18"/>
                <w:szCs w:val="18"/>
                <w:b w:val="1"/>
                <w:bCs w:val="1"/>
                <w:color w:val="auto"/>
                <w:w w:val="85"/>
              </w:rPr>
              <w:t>Predecessor</w:t>
            </w:r>
          </w:p>
        </w:tc>
      </w:tr>
      <w:tr>
        <w:trPr>
          <w:trHeight w:val="156"/>
        </w:trPr>
        <w:tc>
          <w:tcPr>
            <w:tcW w:w="7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jc w:val="center"/>
              <w:ind w:right="73"/>
              <w:spacing w:after="0" w:line="155" w:lineRule="exact"/>
              <w:rPr>
                <w:sz w:val="20"/>
                <w:szCs w:val="20"/>
                <w:color w:val="auto"/>
              </w:rPr>
            </w:pPr>
            <w:r>
              <w:rPr>
                <w:rFonts w:ascii="Arial" w:cs="Arial" w:eastAsia="Arial" w:hAnsi="Arial"/>
                <w:sz w:val="16"/>
                <w:szCs w:val="16"/>
                <w:b w:val="1"/>
                <w:bCs w:val="1"/>
                <w:color w:val="auto"/>
                <w:w w:val="92"/>
              </w:rPr>
              <w:t>Nine Months Ended</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center"/>
              <w:ind w:right="93"/>
              <w:spacing w:after="0" w:line="155" w:lineRule="exact"/>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7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0"/>
              </w:rPr>
              <w:t>September 30, 2022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ind w:right="73"/>
              <w:spacing w:after="0"/>
              <w:rPr>
                <w:sz w:val="20"/>
                <w:szCs w:val="20"/>
                <w:color w:val="auto"/>
              </w:rPr>
            </w:pPr>
            <w:r>
              <w:rPr>
                <w:rFonts w:ascii="Arial" w:cs="Arial" w:eastAsia="Arial" w:hAnsi="Arial"/>
                <w:sz w:val="16"/>
                <w:szCs w:val="16"/>
                <w:b w:val="1"/>
                <w:bCs w:val="1"/>
                <w:color w:val="auto"/>
                <w:w w:val="90"/>
              </w:rPr>
              <w:t>September 30, 2021</w:t>
            </w:r>
          </w:p>
        </w:tc>
      </w:tr>
      <w:tr>
        <w:trPr>
          <w:trHeight w:val="226"/>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the period contract liability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center"/>
              <w:ind w:left="1013"/>
              <w:spacing w:after="0"/>
              <w:rPr>
                <w:sz w:val="20"/>
                <w:szCs w:val="20"/>
                <w:color w:val="auto"/>
              </w:rPr>
            </w:pPr>
            <w:r>
              <w:rPr>
                <w:rFonts w:ascii="Arial" w:cs="Arial" w:eastAsia="Arial" w:hAnsi="Arial"/>
                <w:sz w:val="18"/>
                <w:szCs w:val="18"/>
                <w:color w:val="auto"/>
                <w:w w:val="88"/>
              </w:rPr>
              <w:t>9,448</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center"/>
              <w:ind w:left="1033"/>
              <w:spacing w:after="0"/>
              <w:rPr>
                <w:sz w:val="20"/>
                <w:szCs w:val="20"/>
                <w:color w:val="auto"/>
              </w:rPr>
            </w:pPr>
            <w:r>
              <w:rPr>
                <w:rFonts w:ascii="Arial" w:cs="Arial" w:eastAsia="Arial" w:hAnsi="Arial"/>
                <w:sz w:val="18"/>
                <w:szCs w:val="18"/>
                <w:color w:val="auto"/>
                <w:w w:val="88"/>
              </w:rPr>
              <w:t>8,385</w:t>
            </w:r>
          </w:p>
        </w:tc>
      </w:tr>
      <w:tr>
        <w:trPr>
          <w:trHeight w:val="243"/>
        </w:trPr>
        <w:tc>
          <w:tcPr>
            <w:tcW w:w="7360" w:type="dxa"/>
            <w:vAlign w:val="bottom"/>
          </w:tcPr>
          <w:p>
            <w:pPr>
              <w:ind w:left="20"/>
              <w:spacing w:after="0"/>
              <w:rPr>
                <w:sz w:val="20"/>
                <w:szCs w:val="20"/>
                <w:color w:val="auto"/>
              </w:rPr>
            </w:pPr>
            <w:r>
              <w:rPr>
                <w:rFonts w:ascii="Arial" w:cs="Arial" w:eastAsia="Arial" w:hAnsi="Arial"/>
                <w:sz w:val="18"/>
                <w:szCs w:val="18"/>
                <w:color w:val="auto"/>
              </w:rPr>
              <w:t>Revenue recognized from contract liabilities included in the beginning balance</w:t>
            </w:r>
          </w:p>
        </w:tc>
        <w:tc>
          <w:tcPr>
            <w:tcW w:w="180" w:type="dxa"/>
            <w:vAlign w:val="bottom"/>
          </w:tcPr>
          <w:p>
            <w:pPr>
              <w:spacing w:after="0"/>
              <w:rPr>
                <w:sz w:val="21"/>
                <w:szCs w:val="21"/>
                <w:color w:val="auto"/>
              </w:rPr>
            </w:pPr>
          </w:p>
        </w:tc>
        <w:tc>
          <w:tcPr>
            <w:tcW w:w="1660" w:type="dxa"/>
            <w:vAlign w:val="bottom"/>
          </w:tcPr>
          <w:p>
            <w:pPr>
              <w:jc w:val="center"/>
              <w:ind w:left="993"/>
              <w:spacing w:after="0"/>
              <w:rPr>
                <w:sz w:val="20"/>
                <w:szCs w:val="20"/>
                <w:color w:val="auto"/>
              </w:rPr>
            </w:pPr>
            <w:r>
              <w:rPr>
                <w:rFonts w:ascii="Arial" w:cs="Arial" w:eastAsia="Arial" w:hAnsi="Arial"/>
                <w:sz w:val="18"/>
                <w:szCs w:val="18"/>
                <w:color w:val="auto"/>
                <w:w w:val="94"/>
              </w:rPr>
              <w:t>(3,629)</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center"/>
              <w:ind w:left="1013"/>
              <w:spacing w:after="0"/>
              <w:rPr>
                <w:sz w:val="20"/>
                <w:szCs w:val="20"/>
                <w:color w:val="auto"/>
              </w:rPr>
            </w:pPr>
            <w:r>
              <w:rPr>
                <w:rFonts w:ascii="Arial" w:cs="Arial" w:eastAsia="Arial" w:hAnsi="Arial"/>
                <w:sz w:val="18"/>
                <w:szCs w:val="18"/>
                <w:color w:val="auto"/>
                <w:w w:val="94"/>
              </w:rPr>
              <w:t>(3,279)</w:t>
            </w:r>
          </w:p>
        </w:tc>
      </w:tr>
      <w:tr>
        <w:trPr>
          <w:trHeight w:val="24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due to cash received, net of amounts recognized in revenue during the period</w:t>
            </w:r>
          </w:p>
        </w:tc>
        <w:tc>
          <w:tcPr>
            <w:tcW w:w="1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center"/>
              <w:ind w:left="1013"/>
              <w:spacing w:after="0"/>
              <w:rPr>
                <w:sz w:val="20"/>
                <w:szCs w:val="20"/>
                <w:color w:val="auto"/>
              </w:rPr>
            </w:pPr>
            <w:r>
              <w:rPr>
                <w:rFonts w:ascii="Arial" w:cs="Arial" w:eastAsia="Arial" w:hAnsi="Arial"/>
                <w:sz w:val="18"/>
                <w:szCs w:val="18"/>
                <w:color w:val="auto"/>
                <w:w w:val="88"/>
              </w:rPr>
              <w:t>1,596</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center"/>
              <w:ind w:left="1033"/>
              <w:spacing w:after="0"/>
              <w:rPr>
                <w:sz w:val="20"/>
                <w:szCs w:val="20"/>
                <w:color w:val="auto"/>
              </w:rPr>
            </w:pPr>
            <w:r>
              <w:rPr>
                <w:rFonts w:ascii="Arial" w:cs="Arial" w:eastAsia="Arial" w:hAnsi="Arial"/>
                <w:sz w:val="18"/>
                <w:szCs w:val="18"/>
                <w:color w:val="auto"/>
                <w:w w:val="88"/>
              </w:rPr>
              <w:t>2,613</w:t>
            </w:r>
          </w:p>
        </w:tc>
      </w:tr>
      <w:tr>
        <w:trPr>
          <w:trHeight w:val="263"/>
        </w:trPr>
        <w:tc>
          <w:tcPr>
            <w:tcW w:w="7360" w:type="dxa"/>
            <w:vAlign w:val="bottom"/>
          </w:tcPr>
          <w:p>
            <w:pPr>
              <w:ind w:left="20"/>
              <w:spacing w:after="0"/>
              <w:rPr>
                <w:sz w:val="20"/>
                <w:szCs w:val="20"/>
                <w:color w:val="auto"/>
              </w:rPr>
            </w:pPr>
            <w:r>
              <w:rPr>
                <w:rFonts w:ascii="Arial" w:cs="Arial" w:eastAsia="Arial" w:hAnsi="Arial"/>
                <w:sz w:val="18"/>
                <w:szCs w:val="18"/>
                <w:color w:val="auto"/>
              </w:rPr>
              <w:t>End of the period contract liability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center"/>
              <w:ind w:left="1013"/>
              <w:spacing w:after="0"/>
              <w:rPr>
                <w:sz w:val="20"/>
                <w:szCs w:val="20"/>
                <w:color w:val="auto"/>
              </w:rPr>
            </w:pPr>
            <w:r>
              <w:rPr>
                <w:rFonts w:ascii="Arial" w:cs="Arial" w:eastAsia="Arial" w:hAnsi="Arial"/>
                <w:sz w:val="18"/>
                <w:szCs w:val="18"/>
                <w:color w:val="auto"/>
                <w:w w:val="88"/>
              </w:rPr>
              <w:t>7,415</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center"/>
              <w:ind w:left="1033"/>
              <w:spacing w:after="0"/>
              <w:rPr>
                <w:sz w:val="20"/>
                <w:szCs w:val="20"/>
                <w:color w:val="auto"/>
              </w:rPr>
            </w:pPr>
            <w:r>
              <w:rPr>
                <w:rFonts w:ascii="Arial" w:cs="Arial" w:eastAsia="Arial" w:hAnsi="Arial"/>
                <w:sz w:val="18"/>
                <w:szCs w:val="18"/>
                <w:color w:val="auto"/>
                <w:w w:val="88"/>
              </w:rPr>
              <w:t>7,719</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As of September 30, 2022, the aggregate amount of the transaction price allocated to the remaining performance obligations related to partially completed contracts is $21.9 million, comprised of $14.5 million of subscription fees and $7.4 million of service fees that are deferred. We recognize our subscription fees as revenue over a weighted-average period of 41 months (ranges from 3 months – 48 months) and our service fees as revenue over approximately 2 years.</w:t>
      </w:r>
    </w:p>
    <w:p>
      <w:pPr>
        <w:spacing w:after="0" w:line="19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As of September 30, 2021, the aggregate amount of the transaction price allocated to the remaining performance obligations related to partially completed contracts is $24.5 million, comprised of $16.1 million of subscription fees and $8.4 million of service fees that are deferred. We recognize our subscription fees as revenue over a weighted-average period of 17 months (ranges from 3 months – 57 months) and our service fees as revenue over approximately 3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5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For the three and nine months ended September 30, 2022, we incurred no incremental costs to obtain and/or fulfill contracts with customers. For the three and nine months ended September 30, 2021, we incurred $0.3 million and $0.7 million incremental costs to obtain and/or fulfill contracts with customers.</w:t>
      </w:r>
    </w:p>
    <w:p>
      <w:pPr>
        <w:sectPr>
          <w:pgSz w:w="11900" w:h="16838" w:orient="portrait"/>
          <w:cols w:equalWidth="0" w:num="1">
            <w:col w:w="11240"/>
          </w:cols>
          <w:pgMar w:left="320" w:top="112" w:right="339" w:bottom="1440" w:gutter="0" w:footer="0" w:header="0"/>
        </w:sectPr>
      </w:pPr>
    </w:p>
    <w:p>
      <w:pPr>
        <w:spacing w:after="0" w:line="184"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Net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Changes in goodwill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501015</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December 31, 2021</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Impairment</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September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7"/>
        <w:spacing w:after="0"/>
        <w:rPr>
          <w:sz w:val="20"/>
          <w:szCs w:val="20"/>
          <w:color w:val="auto"/>
        </w:rPr>
      </w:pPr>
      <w:r>
        <w:rPr>
          <w:rFonts w:ascii="Arial" w:cs="Arial" w:eastAsia="Arial" w:hAnsi="Arial"/>
          <w:sz w:val="18"/>
          <w:szCs w:val="18"/>
          <w:b w:val="1"/>
          <w:bCs w:val="1"/>
          <w:color w:val="auto"/>
        </w:rPr>
        <w:t>Successor</w:t>
      </w:r>
    </w:p>
    <w:p>
      <w:pPr>
        <w:spacing w:after="0" w:line="40" w:lineRule="exact"/>
        <w:rPr>
          <w:sz w:val="20"/>
          <w:szCs w:val="20"/>
          <w:color w:val="auto"/>
        </w:rPr>
      </w:pPr>
    </w:p>
    <w:p>
      <w:pPr>
        <w:ind w:left="687" w:hanging="687"/>
        <w:spacing w:after="0"/>
        <w:tabs>
          <w:tab w:leader="none" w:pos="687" w:val="left"/>
        </w:tabs>
        <w:numPr>
          <w:ilvl w:val="0"/>
          <w:numId w:val="13"/>
        </w:numPr>
        <w:rPr>
          <w:rFonts w:ascii="Arial" w:cs="Arial" w:eastAsia="Arial" w:hAnsi="Arial"/>
          <w:sz w:val="17"/>
          <w:szCs w:val="17"/>
          <w:color w:val="auto"/>
        </w:rPr>
      </w:pPr>
      <w:r>
        <w:rPr>
          <w:rFonts w:ascii="Arial" w:cs="Arial" w:eastAsia="Arial" w:hAnsi="Arial"/>
          <w:sz w:val="17"/>
          <w:szCs w:val="17"/>
          <w:color w:val="auto"/>
        </w:rPr>
        <w:t>1,527,118</w:t>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(1,389,921)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429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15" w:lineRule="exact"/>
        <w:rPr>
          <w:sz w:val="20"/>
          <w:szCs w:val="20"/>
          <w:color w:val="auto"/>
        </w:rPr>
      </w:pPr>
    </w:p>
    <w:p>
      <w:pPr>
        <w:ind w:left="807" w:hanging="807"/>
        <w:spacing w:after="0"/>
        <w:tabs>
          <w:tab w:leader="none" w:pos="807" w:val="left"/>
        </w:tabs>
        <w:numPr>
          <w:ilvl w:val="0"/>
          <w:numId w:val="14"/>
        </w:numPr>
        <w:rPr>
          <w:rFonts w:ascii="Arial" w:cs="Arial" w:eastAsia="Arial" w:hAnsi="Arial"/>
          <w:sz w:val="17"/>
          <w:szCs w:val="17"/>
          <w:color w:val="auto"/>
        </w:rPr>
      </w:pPr>
      <w:r>
        <w:rPr>
          <w:rFonts w:ascii="Arial" w:cs="Arial" w:eastAsia="Arial" w:hAnsi="Arial"/>
          <w:sz w:val="17"/>
          <w:szCs w:val="17"/>
          <w:color w:val="auto"/>
        </w:rPr>
        <w:t>137,195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9429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4297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47625</wp:posOffset>
            </wp:positionV>
            <wp:extent cx="9429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9053" w:space="720"/>
            <w:col w:w="1467"/>
          </w:cols>
          <w:pgMar w:left="320" w:top="11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97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884"/>
        </w:trPr>
        <w:tc>
          <w:tcPr>
            <w:tcW w:w="1280" w:type="dxa"/>
            <w:vAlign w:val="bottom"/>
            <w:tcBorders>
              <w:top w:val="single" w:sz="8" w:color="0000FF"/>
              <w:bottom w:val="single" w:sz="8" w:color="CCEEFF"/>
            </w:tcBorders>
          </w:tcPr>
          <w:p>
            <w:pPr>
              <w:spacing w:after="0"/>
              <w:rPr>
                <w:sz w:val="24"/>
                <w:szCs w:val="24"/>
                <w:color w:val="auto"/>
              </w:rPr>
            </w:pPr>
          </w:p>
        </w:tc>
        <w:tc>
          <w:tcPr>
            <w:tcW w:w="84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0"/>
              </w:rPr>
              <w:t>Predecessor</w:t>
            </w:r>
          </w:p>
        </w:tc>
      </w:tr>
      <w:tr>
        <w:trPr>
          <w:trHeight w:val="223"/>
        </w:trPr>
        <w:tc>
          <w:tcPr>
            <w:tcW w:w="9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233,429</w:t>
            </w:r>
          </w:p>
        </w:tc>
      </w:tr>
      <w:tr>
        <w:trPr>
          <w:trHeight w:val="229"/>
        </w:trPr>
        <w:tc>
          <w:tcPr>
            <w:tcW w:w="97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September 30, 2021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233,429</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8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auto"/>
        </w:rPr>
        <w:t>We commenced our annual strategic planning process in the third quarter of 2022, which included updating expected cryptoasset product activations in light of the cryptoasset market volatility and elongation of decision timeframes for activations of cryptoasset strategy by our partners. We assessed the changes in circumstances that occurred during the period ended September 30, 2022 to determine if it was more likely than not that the fair values of any indefinite-lived intangible assets, long-lived assets or goodwill were below their carrying amounts. Several determinative factors, including the elongated timing for expected cryptoasset product activations and the sustained decline in our market capitalization, led us to conclude that it was more likely than not that the fair value of our equity was lower than book basis as of September 30, 2022, and our indefinite-lived intangible assets, long-lived assets and goodwill should be evaluated for impairment as of September 30, 2022. We then performed quantitative impairment tests of the indefinite-lived intangible assets, long-lived assets, and goodwill.</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After assessing the totality of circumstances and giving effect to the indefinite-lived intangible asset impairment described below, we concluded that the carrying value of our reporting unit exceeded its fair value and recorded a goodwill impairment of $1,389.9 million.</w:t>
      </w:r>
    </w:p>
    <w:p>
      <w:pPr>
        <w:spacing w:after="0" w:line="184"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6"/>
          <w:szCs w:val="16"/>
          <w:color w:val="auto"/>
        </w:rPr>
        <w:t>Our goodwill impairment analysis involved the use of a market approach and an income approach, with equal weighting given to both approaches. The market approach valuation was derived from metrics of publicly traded companies, which are Level 2 inputs. A significant judgment in using the market approach includes the selection of comparable businesses with consideration of risk profiles, size, geography, and business operations. Significant assumptions used in the income approach include growth (revenue, earnings before interest, taxes, depreciation, and amortization (EBITDA) and earnings before interest and taxes (EBIT) margin, and terminal value) and discount rates. We used historical performance and management estimates of future performance to estimate margins and revenue growth rates. Our growth rates and margins are impacted significantly by our ability to grow loyalty redemption transactions, cryptoasset trading volumes and subscription services. The income approach utilizes our projected cash flow estimates to determine fair value, which are unobservable, Level 3 inputs. Unobservable inputs are used to measure fair value to the extent that relevant observable inputs are not available. We developed our estimates using the best information available at the time and in consultation with third party valuation specialists. We used discount rates that are commensurate with the risks and uncertainty inherent in our business. Assumptions used, such as forecasted growth rates, capital expenditures, and our cost of capital, are consistent with our internal projections and operating plans. Changes in our estimates or any of our other assumptions used in our analysis could result in a different conclusion. Further declines in our market capitalization or the failure to execute on business objectives could result in future goodwill or intangible asset impairments.</w:t>
      </w:r>
    </w:p>
    <w:p>
      <w:pPr>
        <w:spacing w:after="0" w:line="18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8"/>
          <w:szCs w:val="18"/>
          <w:color w:val="auto"/>
        </w:rPr>
        <w:t>We also concluded that the fair value of our licenses and trademark/trade name indefinite-lived intangible assets fell below their carrying values and recorded impairments of $131.3 million and $26.5 million, respectively.</w:t>
      </w:r>
    </w:p>
    <w:p>
      <w:pPr>
        <w:spacing w:after="0" w:line="18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Our impairment analysis for the licenses intangible asset involved the use of an income approach which estimated the value of the in place licenses as compared to cash flows if the licenses had to be obtained at a delay. Significant judgments used in this analysis are consistent with the inputs used in the income approach for the goodwill impairment analysis and the assumed time to obtain the licenses.</w:t>
      </w:r>
    </w:p>
    <w:p>
      <w:pPr>
        <w:spacing w:after="0" w:line="18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Our impairment analysis for the trademark/trade name involved the use of a relief from royalty approach, which estimates the value of the stream of payments a market participant would pay to make use of the in place trade name. Significant judgments in this analysis include forecasted revenue growth rates and the royalty rate.</w:t>
      </w:r>
    </w:p>
    <w:p>
      <w:pPr>
        <w:spacing w:after="0" w:line="175"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The discount rate used in the valuations described above was 15.5%, which was 400 basis points higher than the discount rate assumed in the valuation of these intangibles for the Business Combination. The higher discount rate reflects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the higher risk-free rate and beta observed as of September 30, 2022 as compared to the October 15, 2021 Business Combination valuation date.</w:t>
      </w:r>
    </w:p>
    <w:p>
      <w:pPr>
        <w:spacing w:after="0" w:line="277"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6"/>
          <w:szCs w:val="16"/>
          <w:color w:val="auto"/>
        </w:rPr>
        <w:t>Our quantitative analysis of long-lived assets involved a comparison of undiscounted cash flows against the carrying value of the related assets which includes finite-lived intangible assets and property, plant, and equipment. We concluded no impairment existed for the long-lived assets as of September 30, 2022. Significant judgments in this analysis are consistent with the inputs used in the income approach for the goodwill impairment analysis.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392"/>
              <w:spacing w:after="0"/>
              <w:rPr>
                <w:sz w:val="20"/>
                <w:szCs w:val="20"/>
                <w:color w:val="auto"/>
              </w:rPr>
            </w:pPr>
            <w:r>
              <w:rPr>
                <w:rFonts w:ascii="Arial" w:cs="Arial" w:eastAsia="Arial" w:hAnsi="Arial"/>
                <w:sz w:val="18"/>
                <w:szCs w:val="18"/>
                <w:b w:val="1"/>
                <w:bCs w:val="1"/>
                <w:color w:val="auto"/>
                <w:w w:val="83"/>
              </w:rPr>
              <w:t>Successor</w:t>
            </w:r>
          </w:p>
        </w:tc>
        <w:tc>
          <w:tcPr>
            <w:tcW w:w="1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center"/>
              <w:ind w:right="112"/>
              <w:spacing w:after="0"/>
              <w:rPr>
                <w:sz w:val="20"/>
                <w:szCs w:val="20"/>
                <w:color w:val="auto"/>
              </w:rPr>
            </w:pPr>
            <w:r>
              <w:rPr>
                <w:rFonts w:ascii="Arial" w:cs="Arial" w:eastAsia="Arial" w:hAnsi="Arial"/>
                <w:sz w:val="18"/>
                <w:szCs w:val="18"/>
                <w:b w:val="1"/>
                <w:bCs w:val="1"/>
                <w:color w:val="auto"/>
                <w:w w:val="90"/>
              </w:rPr>
              <w:t>September 30, 2022</w:t>
            </w:r>
          </w:p>
        </w:tc>
        <w:tc>
          <w:tcPr>
            <w:tcW w:w="1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480" w:type="dxa"/>
            <w:vAlign w:val="bottom"/>
          </w:tcPr>
          <w:p>
            <w:pPr>
              <w:spacing w:after="0"/>
              <w:rPr>
                <w:sz w:val="13"/>
                <w:szCs w:val="13"/>
                <w:color w:val="auto"/>
              </w:rPr>
            </w:pPr>
          </w:p>
        </w:tc>
        <w:tc>
          <w:tcPr>
            <w:tcW w:w="1560" w:type="dxa"/>
            <w:vAlign w:val="bottom"/>
          </w:tcPr>
          <w:p>
            <w:pPr>
              <w:jc w:val="center"/>
              <w:ind w:right="14"/>
              <w:spacing w:after="0" w:line="155" w:lineRule="exact"/>
              <w:rPr>
                <w:sz w:val="20"/>
                <w:szCs w:val="20"/>
                <w:color w:val="auto"/>
              </w:rPr>
            </w:pPr>
            <w:r>
              <w:rPr>
                <w:rFonts w:ascii="Arial" w:cs="Arial" w:eastAsia="Arial" w:hAnsi="Arial"/>
                <w:sz w:val="16"/>
                <w:szCs w:val="16"/>
                <w:b w:val="1"/>
                <w:bCs w:val="1"/>
                <w:color w:val="auto"/>
                <w:w w:val="90"/>
              </w:rPr>
              <w:t>Weighted Average</w:t>
            </w:r>
          </w:p>
        </w:tc>
        <w:tc>
          <w:tcPr>
            <w:tcW w:w="160" w:type="dxa"/>
            <w:vAlign w:val="bottom"/>
          </w:tcPr>
          <w:p>
            <w:pPr>
              <w:spacing w:after="0"/>
              <w:rPr>
                <w:sz w:val="13"/>
                <w:szCs w:val="13"/>
                <w:color w:val="auto"/>
              </w:rPr>
            </w:pPr>
          </w:p>
        </w:tc>
        <w:tc>
          <w:tcPr>
            <w:tcW w:w="1320" w:type="dxa"/>
            <w:vAlign w:val="bottom"/>
            <w:vMerge w:val="restart"/>
          </w:tcPr>
          <w:p>
            <w:pPr>
              <w:jc w:val="right"/>
              <w:ind w:right="113"/>
              <w:spacing w:after="0"/>
              <w:rPr>
                <w:sz w:val="20"/>
                <w:szCs w:val="20"/>
                <w:color w:val="auto"/>
              </w:rPr>
            </w:pPr>
            <w:r>
              <w:rPr>
                <w:rFonts w:ascii="Arial" w:cs="Arial" w:eastAsia="Arial" w:hAnsi="Arial"/>
                <w:sz w:val="16"/>
                <w:szCs w:val="16"/>
                <w:b w:val="1"/>
                <w:bCs w:val="1"/>
                <w:color w:val="auto"/>
                <w:w w:val="94"/>
              </w:rPr>
              <w:t>Gross Carrying</w:t>
            </w:r>
          </w:p>
        </w:tc>
        <w:tc>
          <w:tcPr>
            <w:tcW w:w="280" w:type="dxa"/>
            <w:vAlign w:val="bottom"/>
          </w:tcPr>
          <w:p>
            <w:pPr>
              <w:spacing w:after="0"/>
              <w:rPr>
                <w:sz w:val="13"/>
                <w:szCs w:val="13"/>
                <w:color w:val="auto"/>
              </w:rPr>
            </w:pPr>
          </w:p>
        </w:tc>
        <w:tc>
          <w:tcPr>
            <w:tcW w:w="1600" w:type="dxa"/>
            <w:vAlign w:val="bottom"/>
            <w:vMerge w:val="restart"/>
          </w:tcPr>
          <w:p>
            <w:pPr>
              <w:jc w:val="center"/>
              <w:ind w:right="392"/>
              <w:spacing w:after="0"/>
              <w:rPr>
                <w:sz w:val="20"/>
                <w:szCs w:val="20"/>
                <w:color w:val="auto"/>
              </w:rPr>
            </w:pPr>
            <w:r>
              <w:rPr>
                <w:rFonts w:ascii="Arial" w:cs="Arial" w:eastAsia="Arial" w:hAnsi="Arial"/>
                <w:sz w:val="16"/>
                <w:szCs w:val="16"/>
                <w:b w:val="1"/>
                <w:bCs w:val="1"/>
                <w:color w:val="auto"/>
                <w:w w:val="91"/>
              </w:rPr>
              <w:t>Accumulated</w:t>
            </w: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vMerge w:val="restart"/>
          </w:tcPr>
          <w:p>
            <w:pPr>
              <w:jc w:val="right"/>
              <w:ind w:right="193"/>
              <w:spacing w:after="0"/>
              <w:rPr>
                <w:sz w:val="20"/>
                <w:szCs w:val="20"/>
                <w:color w:val="auto"/>
              </w:rPr>
            </w:pPr>
            <w:r>
              <w:rPr>
                <w:rFonts w:ascii="Arial" w:cs="Arial" w:eastAsia="Arial" w:hAnsi="Arial"/>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560" w:type="dxa"/>
            <w:vAlign w:val="bottom"/>
          </w:tcPr>
          <w:p>
            <w:pPr>
              <w:jc w:val="center"/>
              <w:ind w:right="14"/>
              <w:spacing w:after="0" w:line="162" w:lineRule="exact"/>
              <w:rPr>
                <w:sz w:val="20"/>
                <w:szCs w:val="20"/>
                <w:color w:val="auto"/>
              </w:rPr>
            </w:pPr>
            <w:r>
              <w:rPr>
                <w:rFonts w:ascii="Arial" w:cs="Arial" w:eastAsia="Arial" w:hAnsi="Arial"/>
                <w:sz w:val="16"/>
                <w:szCs w:val="16"/>
                <w:b w:val="1"/>
                <w:bCs w:val="1"/>
                <w:color w:val="auto"/>
                <w:w w:val="92"/>
              </w:rPr>
              <w:t>Useful Life (in</w:t>
            </w:r>
          </w:p>
        </w:tc>
        <w:tc>
          <w:tcPr>
            <w:tcW w:w="1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32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Impairment</w:t>
            </w:r>
          </w:p>
        </w:tc>
        <w:tc>
          <w:tcPr>
            <w:tcW w:w="2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88"/>
              </w:rPr>
              <w:t>years)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Amount</w:t>
            </w: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412"/>
              <w:spacing w:after="0"/>
              <w:rPr>
                <w:sz w:val="20"/>
                <w:szCs w:val="20"/>
                <w:color w:val="auto"/>
              </w:rPr>
            </w:pPr>
            <w:r>
              <w:rPr>
                <w:rFonts w:ascii="Arial" w:cs="Arial" w:eastAsia="Arial" w:hAnsi="Arial"/>
                <w:sz w:val="16"/>
                <w:szCs w:val="16"/>
                <w:b w:val="1"/>
                <w:bCs w:val="1"/>
                <w:color w:val="auto"/>
                <w:w w:val="96"/>
              </w:rPr>
              <w:t>Amortization</w:t>
            </w:r>
          </w:p>
        </w:tc>
        <w:tc>
          <w:tcPr>
            <w:tcW w:w="13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26"/>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Licenses</w:t>
            </w:r>
          </w:p>
        </w:tc>
        <w:tc>
          <w:tcPr>
            <w:tcW w:w="156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w w:val="95"/>
              </w:rPr>
              <w:t>Indefinite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241,320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Trademarks / trade names</w:t>
            </w:r>
          </w:p>
        </w:tc>
        <w:tc>
          <w:tcPr>
            <w:tcW w:w="1560" w:type="dxa"/>
            <w:vAlign w:val="bottom"/>
          </w:tcPr>
          <w:p>
            <w:pPr>
              <w:jc w:val="center"/>
              <w:ind w:right="14"/>
              <w:spacing w:after="0"/>
              <w:rPr>
                <w:sz w:val="20"/>
                <w:szCs w:val="20"/>
                <w:color w:val="auto"/>
              </w:rPr>
            </w:pPr>
            <w:r>
              <w:rPr>
                <w:rFonts w:ascii="Arial" w:cs="Arial" w:eastAsia="Arial" w:hAnsi="Arial"/>
                <w:sz w:val="18"/>
                <w:szCs w:val="18"/>
                <w:color w:val="auto"/>
                <w:w w:val="95"/>
              </w:rPr>
              <w:t>Indefinite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39,470</w:t>
            </w:r>
          </w:p>
        </w:tc>
        <w:tc>
          <w:tcPr>
            <w:tcW w:w="280" w:type="dxa"/>
            <w:vAlign w:val="bottom"/>
          </w:tcPr>
          <w:p>
            <w:pPr>
              <w:spacing w:after="0"/>
              <w:rPr>
                <w:sz w:val="19"/>
                <w:szCs w:val="19"/>
                <w:color w:val="auto"/>
              </w:rPr>
            </w:pPr>
          </w:p>
        </w:tc>
        <w:tc>
          <w:tcPr>
            <w:tcW w:w="1600" w:type="dxa"/>
            <w:vAlign w:val="bottom"/>
          </w:tcPr>
          <w:p>
            <w:pPr>
              <w:ind w:left="10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(26,470)</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56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67,310</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(15,524)</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51,786</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1560" w:type="dxa"/>
            <w:vAlign w:val="bottom"/>
            <w:tcBorders>
              <w:bottom w:val="single" w:sz="8" w:color="CCEEFF"/>
            </w:tcBorders>
          </w:tcPr>
          <w:p>
            <w:pPr>
              <w:jc w:val="right"/>
              <w:ind w:right="694"/>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44,970</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(5,390)</w:t>
            </w: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39,580</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393,070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(20,914)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(157,790)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214,366</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1113"/>
              <w:spacing w:after="0"/>
              <w:rPr>
                <w:sz w:val="20"/>
                <w:szCs w:val="20"/>
                <w:color w:val="auto"/>
              </w:rPr>
            </w:pPr>
            <w:r>
              <w:rPr>
                <w:rFonts w:ascii="Arial" w:cs="Arial" w:eastAsia="Arial" w:hAnsi="Arial"/>
                <w:sz w:val="18"/>
                <w:szCs w:val="18"/>
                <w:b w:val="1"/>
                <w:bCs w:val="1"/>
                <w:color w:val="auto"/>
              </w:rPr>
              <w:t>Successor</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3"/>
          </w:tcPr>
          <w:p>
            <w:pPr>
              <w:jc w:val="right"/>
              <w:ind w:right="753"/>
              <w:spacing w:after="0"/>
              <w:rPr>
                <w:sz w:val="20"/>
                <w:szCs w:val="20"/>
                <w:color w:val="auto"/>
              </w:rPr>
            </w:pPr>
            <w:r>
              <w:rPr>
                <w:rFonts w:ascii="Arial" w:cs="Arial" w:eastAsia="Arial" w:hAnsi="Arial"/>
                <w:sz w:val="18"/>
                <w:szCs w:val="18"/>
                <w:b w:val="1"/>
                <w:bCs w:val="1"/>
                <w:color w:val="auto"/>
              </w:rPr>
              <w:t>December 31, 2021</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15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0"/>
              </w:rPr>
              <w:t>Weighted Average</w:t>
            </w:r>
          </w:p>
        </w:tc>
        <w:tc>
          <w:tcPr>
            <w:tcW w:w="160" w:type="dxa"/>
            <w:vAlign w:val="bottom"/>
          </w:tcPr>
          <w:p>
            <w:pPr>
              <w:spacing w:after="0"/>
              <w:rPr>
                <w:sz w:val="13"/>
                <w:szCs w:val="13"/>
                <w:color w:val="auto"/>
              </w:rPr>
            </w:pPr>
          </w:p>
        </w:tc>
        <w:tc>
          <w:tcPr>
            <w:tcW w:w="1340" w:type="dxa"/>
            <w:vAlign w:val="bottom"/>
            <w:vMerge w:val="restart"/>
          </w:tcPr>
          <w:p>
            <w:pPr>
              <w:jc w:val="right"/>
              <w:ind w:right="132"/>
              <w:spacing w:after="0"/>
              <w:rPr>
                <w:sz w:val="20"/>
                <w:szCs w:val="20"/>
                <w:color w:val="auto"/>
              </w:rPr>
            </w:pPr>
            <w:r>
              <w:rPr>
                <w:rFonts w:ascii="Arial" w:cs="Arial" w:eastAsia="Arial" w:hAnsi="Arial"/>
                <w:sz w:val="16"/>
                <w:szCs w:val="16"/>
                <w:b w:val="1"/>
                <w:bCs w:val="1"/>
                <w:color w:val="auto"/>
                <w:w w:val="94"/>
              </w:rPr>
              <w:t>Gross Carrying</w:t>
            </w:r>
          </w:p>
        </w:tc>
        <w:tc>
          <w:tcPr>
            <w:tcW w:w="260" w:type="dxa"/>
            <w:vAlign w:val="bottom"/>
          </w:tcPr>
          <w:p>
            <w:pPr>
              <w:spacing w:after="0"/>
              <w:rPr>
                <w:sz w:val="13"/>
                <w:szCs w:val="13"/>
                <w:color w:val="auto"/>
              </w:rPr>
            </w:pPr>
          </w:p>
        </w:tc>
        <w:tc>
          <w:tcPr>
            <w:tcW w:w="1340" w:type="dxa"/>
            <w:vAlign w:val="bottom"/>
            <w:vMerge w:val="restart"/>
          </w:tcPr>
          <w:p>
            <w:pPr>
              <w:jc w:val="right"/>
              <w:ind w:right="233"/>
              <w:spacing w:after="0"/>
              <w:rPr>
                <w:sz w:val="20"/>
                <w:szCs w:val="20"/>
                <w:color w:val="auto"/>
              </w:rPr>
            </w:pPr>
            <w:r>
              <w:rPr>
                <w:rFonts w:ascii="Arial" w:cs="Arial" w:eastAsia="Arial" w:hAnsi="Arial"/>
                <w:sz w:val="16"/>
                <w:szCs w:val="16"/>
                <w:b w:val="1"/>
                <w:bCs w:val="1"/>
                <w:color w:val="auto"/>
                <w:w w:val="99"/>
              </w:rPr>
              <w:t>Accumulated</w:t>
            </w:r>
          </w:p>
        </w:tc>
        <w:tc>
          <w:tcPr>
            <w:tcW w:w="240" w:type="dxa"/>
            <w:vAlign w:val="bottom"/>
          </w:tcPr>
          <w:p>
            <w:pPr>
              <w:spacing w:after="0"/>
              <w:rPr>
                <w:sz w:val="13"/>
                <w:szCs w:val="13"/>
                <w:color w:val="auto"/>
              </w:rPr>
            </w:pPr>
          </w:p>
        </w:tc>
        <w:tc>
          <w:tcPr>
            <w:tcW w:w="1300" w:type="dxa"/>
            <w:vAlign w:val="bottom"/>
            <w:vMerge w:val="restart"/>
          </w:tcPr>
          <w:p>
            <w:pPr>
              <w:jc w:val="right"/>
              <w:ind w:right="193"/>
              <w:spacing w:after="0"/>
              <w:rPr>
                <w:sz w:val="20"/>
                <w:szCs w:val="20"/>
                <w:color w:val="auto"/>
              </w:rPr>
            </w:pPr>
            <w:r>
              <w:rPr>
                <w:rFonts w:ascii="Arial" w:cs="Arial" w:eastAsia="Arial" w:hAnsi="Arial"/>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Useful Life (in</w:t>
            </w:r>
          </w:p>
        </w:tc>
        <w:tc>
          <w:tcPr>
            <w:tcW w:w="1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years)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Amount</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Amortization</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Licenses</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241,320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241,320</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Trademarks / trade names</w:t>
            </w: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160" w:type="dxa"/>
            <w:vAlign w:val="bottom"/>
          </w:tcPr>
          <w:p>
            <w:pPr>
              <w:spacing w:after="0"/>
              <w:rPr>
                <w:sz w:val="19"/>
                <w:szCs w:val="19"/>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39,470</w:t>
            </w:r>
          </w:p>
        </w:tc>
        <w:tc>
          <w:tcPr>
            <w:tcW w:w="26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39,470</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58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67,310</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63,895</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1580" w:type="dxa"/>
            <w:vAlign w:val="bottom"/>
            <w:tcBorders>
              <w:bottom w:val="single" w:sz="8" w:color="CCEEFF"/>
            </w:tcBorders>
          </w:tcPr>
          <w:p>
            <w:pPr>
              <w:jc w:val="right"/>
              <w:ind w:right="694"/>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44,970</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43,784</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393,070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388,469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6"/>
          <w:szCs w:val="16"/>
          <w:color w:val="auto"/>
        </w:rPr>
        <w:t>Amortization of intangible assets for the three and nine months ended September 30, 2022 was $5.5 million and $16.3 million, respectively, and is included in “depreciation and amortization” in the statements of operations. Amortization of intangible assets for the three and nine months ended September 30, 2021 was $1.6 million and $4.8 million, respectively, and is included in “depreciation and amortization” in the statements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for definite-lived intangible assets as of September 30, 2022 is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vMerge w:val="restart"/>
          </w:tcPr>
          <w:p>
            <w:pPr>
              <w:ind w:left="20"/>
              <w:spacing w:after="0"/>
              <w:rPr>
                <w:sz w:val="20"/>
                <w:szCs w:val="20"/>
                <w:color w:val="auto"/>
              </w:rPr>
            </w:pPr>
            <w:r>
              <w:rPr>
                <w:rFonts w:ascii="Arial" w:cs="Arial" w:eastAsia="Arial" w:hAnsi="Arial"/>
                <w:sz w:val="18"/>
                <w:szCs w:val="18"/>
                <w:color w:val="auto"/>
              </w:rPr>
              <w:t>Year ending December 31:</w:t>
            </w:r>
          </w:p>
        </w:tc>
        <w:tc>
          <w:tcPr>
            <w:tcW w:w="5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September 30, 2022</w:t>
            </w:r>
          </w:p>
        </w:tc>
        <w:tc>
          <w:tcPr>
            <w:tcW w:w="0" w:type="dxa"/>
            <w:vAlign w:val="bottom"/>
          </w:tcPr>
          <w:p>
            <w:pPr>
              <w:spacing w:after="0"/>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5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2023</w:t>
            </w:r>
          </w:p>
        </w:tc>
        <w:tc>
          <w:tcPr>
            <w:tcW w:w="5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21,811</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2025</w:t>
            </w:r>
          </w:p>
        </w:tc>
        <w:tc>
          <w:tcPr>
            <w:tcW w:w="5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18,896</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7,628</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15,662</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4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91,366</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bottom w:val="single" w:sz="8" w:color="CCEEFF"/>
            </w:tcBorders>
            <w:vMerge w:val="restart"/>
          </w:tcPr>
          <w:p>
            <w:pPr>
              <w:jc w:val="right"/>
              <w:ind w:right="3370"/>
              <w:spacing w:after="0"/>
              <w:rPr>
                <w:sz w:val="20"/>
                <w:szCs w:val="20"/>
                <w:color w:val="auto"/>
              </w:rPr>
            </w:pPr>
            <w:r>
              <w:rPr>
                <w:rFonts w:ascii="Arial" w:cs="Arial" w:eastAsia="Arial" w:hAnsi="Arial"/>
                <w:sz w:val="18"/>
                <w:szCs w:val="18"/>
                <w:color w:val="auto"/>
              </w:rPr>
              <w:t>15</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374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40" w:type="dxa"/>
            <w:vAlign w:val="bottom"/>
            <w:tcBorders>
              <w:bottom w:val="single" w:sz="8" w:color="9A9A9A"/>
            </w:tcBorders>
          </w:tcPr>
          <w:p>
            <w:pPr>
              <w:spacing w:after="0"/>
              <w:rPr>
                <w:sz w:val="8"/>
                <w:szCs w:val="8"/>
                <w:color w:val="auto"/>
              </w:rPr>
            </w:pPr>
          </w:p>
        </w:tc>
        <w:tc>
          <w:tcPr>
            <w:tcW w:w="54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r>
              <w:rPr>
                <w:rFonts w:ascii="Arial" w:cs="Arial" w:eastAsia="Arial" w:hAnsi="Arial"/>
                <w:sz w:val="18"/>
                <w:szCs w:val="18"/>
                <w:b w:val="1"/>
                <w:bCs w:val="1"/>
                <w:color w:val="auto"/>
              </w:rPr>
              <w:t>5.  Consolidated Balance Sheet Components</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940" w:type="dxa"/>
            <w:vAlign w:val="bottom"/>
          </w:tcPr>
          <w:p>
            <w:pPr>
              <w:spacing w:after="0"/>
              <w:rPr>
                <w:sz w:val="20"/>
                <w:szCs w:val="20"/>
                <w:color w:val="auto"/>
              </w:rPr>
            </w:pPr>
            <w:r>
              <w:rPr>
                <w:rFonts w:ascii="Arial" w:cs="Arial" w:eastAsia="Arial" w:hAnsi="Arial"/>
                <w:sz w:val="18"/>
                <w:szCs w:val="18"/>
                <w:b w:val="1"/>
                <w:bCs w:val="1"/>
                <w:i w:val="1"/>
                <w:iCs w:val="1"/>
                <w:color w:val="auto"/>
              </w:rPr>
              <w:t>Accounts Receivable, Net</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940" w:type="dxa"/>
            <w:vAlign w:val="bottom"/>
          </w:tcPr>
          <w:p>
            <w:pPr>
              <w:spacing w:after="0"/>
              <w:rPr>
                <w:sz w:val="20"/>
                <w:szCs w:val="20"/>
                <w:color w:val="auto"/>
              </w:rPr>
            </w:pPr>
            <w:r>
              <w:rPr>
                <w:rFonts w:ascii="Arial" w:cs="Arial" w:eastAsia="Arial" w:hAnsi="Arial"/>
                <w:sz w:val="18"/>
                <w:szCs w:val="18"/>
                <w:color w:val="auto"/>
              </w:rPr>
              <w:t>Accounts receivable, net consisted of the following (in thousands):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Successor</w:t>
            </w: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2022</w:t>
            </w:r>
          </w:p>
        </w:tc>
        <w:tc>
          <w:tcPr>
            <w:tcW w:w="300" w:type="dxa"/>
            <w:vAlign w:val="bottom"/>
          </w:tcPr>
          <w:p>
            <w:pPr>
              <w:spacing w:after="0"/>
              <w:rPr>
                <w:sz w:val="19"/>
                <w:szCs w:val="19"/>
                <w:color w:val="auto"/>
              </w:rPr>
            </w:pPr>
          </w:p>
        </w:tc>
        <w:tc>
          <w:tcPr>
            <w:tcW w:w="176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December 31, 2021</w:t>
            </w:r>
          </w:p>
        </w:tc>
        <w:tc>
          <w:tcPr>
            <w:tcW w:w="0" w:type="dxa"/>
            <w:vAlign w:val="bottom"/>
          </w:tcPr>
          <w:p>
            <w:pPr>
              <w:spacing w:after="0"/>
              <w:rPr>
                <w:sz w:val="1"/>
                <w:szCs w:val="1"/>
                <w:color w:val="auto"/>
              </w:rPr>
            </w:pPr>
          </w:p>
        </w:tc>
      </w:tr>
      <w:tr>
        <w:trPr>
          <w:trHeight w:val="22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15,748</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11,404</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Unbilled receivables</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5,267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Total accounts receivable</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22,316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18,352</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allowance for doubtful accounts</w:t>
            </w: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3"/>
        </w:trPr>
        <w:tc>
          <w:tcPr>
            <w:tcW w:w="694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22,106</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18,142</w:t>
            </w:r>
          </w:p>
        </w:tc>
        <w:tc>
          <w:tcPr>
            <w:tcW w:w="0" w:type="dxa"/>
            <w:vAlign w:val="bottom"/>
          </w:tcPr>
          <w:p>
            <w:pPr>
              <w:spacing w:after="0"/>
              <w:rPr>
                <w:sz w:val="1"/>
                <w:szCs w:val="1"/>
                <w:color w:val="auto"/>
              </w:rPr>
            </w:pPr>
          </w:p>
        </w:tc>
      </w:tr>
      <w:tr>
        <w:trPr>
          <w:trHeight w:val="21"/>
        </w:trPr>
        <w:tc>
          <w:tcPr>
            <w:tcW w:w="69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Current Assets</w:t>
            </w: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940" w:type="dxa"/>
            <w:vAlign w:val="bottom"/>
          </w:tcPr>
          <w:p>
            <w:pPr>
              <w:spacing w:after="0"/>
              <w:rPr>
                <w:sz w:val="20"/>
                <w:szCs w:val="20"/>
                <w:color w:val="auto"/>
              </w:rPr>
            </w:pPr>
            <w:r>
              <w:rPr>
                <w:rFonts w:ascii="Arial" w:cs="Arial" w:eastAsia="Arial" w:hAnsi="Arial"/>
                <w:sz w:val="18"/>
                <w:szCs w:val="18"/>
                <w:color w:val="auto"/>
              </w:rPr>
              <w:t>Other current assets consisted of the following (in thousands):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Successor</w:t>
            </w: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2022</w:t>
            </w:r>
          </w:p>
        </w:tc>
        <w:tc>
          <w:tcPr>
            <w:tcW w:w="300" w:type="dxa"/>
            <w:vAlign w:val="bottom"/>
          </w:tcPr>
          <w:p>
            <w:pPr>
              <w:spacing w:after="0"/>
              <w:rPr>
                <w:sz w:val="19"/>
                <w:szCs w:val="19"/>
                <w:color w:val="auto"/>
              </w:rPr>
            </w:pPr>
          </w:p>
        </w:tc>
        <w:tc>
          <w:tcPr>
            <w:tcW w:w="176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December 31, 2021</w:t>
            </w:r>
          </w:p>
        </w:tc>
        <w:tc>
          <w:tcPr>
            <w:tcW w:w="0" w:type="dxa"/>
            <w:vAlign w:val="bottom"/>
          </w:tcPr>
          <w:p>
            <w:pPr>
              <w:spacing w:after="0"/>
              <w:rPr>
                <w:sz w:val="1"/>
                <w:szCs w:val="1"/>
                <w:color w:val="auto"/>
              </w:rPr>
            </w:pPr>
          </w:p>
        </w:tc>
      </w:tr>
      <w:tr>
        <w:trPr>
          <w:trHeight w:val="22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6,148</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4,784</w:t>
            </w:r>
          </w:p>
        </w:tc>
        <w:tc>
          <w:tcPr>
            <w:tcW w:w="0" w:type="dxa"/>
            <w:vAlign w:val="bottom"/>
          </w:tcPr>
          <w:p>
            <w:pPr>
              <w:spacing w:after="0"/>
              <w:rPr>
                <w:sz w:val="1"/>
                <w:szCs w:val="1"/>
                <w:color w:val="auto"/>
              </w:rPr>
            </w:pPr>
          </w:p>
        </w:tc>
      </w:tr>
      <w:tr>
        <w:trPr>
          <w:trHeight w:val="223"/>
        </w:trPr>
        <w:tc>
          <w:tcPr>
            <w:tcW w:w="694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6,148</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Property, Equipment and Software, Net</w:t>
            </w: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6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940" w:type="dxa"/>
            <w:vAlign w:val="bottom"/>
          </w:tcPr>
          <w:p>
            <w:pPr>
              <w:spacing w:after="0"/>
              <w:rPr>
                <w:sz w:val="20"/>
                <w:szCs w:val="20"/>
                <w:color w:val="auto"/>
              </w:rPr>
            </w:pPr>
            <w:r>
              <w:rPr>
                <w:rFonts w:ascii="Arial" w:cs="Arial" w:eastAsia="Arial" w:hAnsi="Arial"/>
                <w:sz w:val="18"/>
                <w:szCs w:val="18"/>
                <w:color w:val="auto"/>
              </w:rPr>
              <w:t>Property, equipment and software, net consisted of the following (in thousands):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Successor</w:t>
            </w: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2022</w:t>
            </w:r>
          </w:p>
        </w:tc>
        <w:tc>
          <w:tcPr>
            <w:tcW w:w="300" w:type="dxa"/>
            <w:vAlign w:val="bottom"/>
          </w:tcPr>
          <w:p>
            <w:pPr>
              <w:spacing w:after="0"/>
              <w:rPr>
                <w:sz w:val="19"/>
                <w:szCs w:val="19"/>
                <w:color w:val="auto"/>
              </w:rPr>
            </w:pPr>
          </w:p>
        </w:tc>
        <w:tc>
          <w:tcPr>
            <w:tcW w:w="176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December 31, 2021</w:t>
            </w:r>
          </w:p>
        </w:tc>
        <w:tc>
          <w:tcPr>
            <w:tcW w:w="0" w:type="dxa"/>
            <w:vAlign w:val="bottom"/>
          </w:tcPr>
          <w:p>
            <w:pPr>
              <w:spacing w:after="0"/>
              <w:rPr>
                <w:sz w:val="1"/>
                <w:szCs w:val="1"/>
                <w:color w:val="auto"/>
              </w:rPr>
            </w:pPr>
          </w:p>
        </w:tc>
      </w:tr>
      <w:tr>
        <w:trPr>
          <w:trHeight w:val="22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Internal-use software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Purchased software</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Other computer and network equipment</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5,441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9,431</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Property, equipment and software, gross</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32,143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6,854</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amortization and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23"/>
        </w:trPr>
        <w:tc>
          <w:tcPr>
            <w:tcW w:w="6940" w:type="dxa"/>
            <w:vAlign w:val="bottom"/>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29,384</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6,121</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auto"/>
        </w:rPr>
        <w:t>For the three and nine months ended September 30, 2022, depreciation and amortization expense related to property, equipment and software amounted to approximately $0.9 million and $2.0 million, respectively, of which $0.4 million and $0.7 million, respectively, related to amortization expense of capitalized internal-use software placed in service. For the three and nine months ended September 30, 2021, depreciation and amortization expense related to property, equipment and software amounted to approximately $1.6 million and $1.3 million, respectively, of which $4.1 million and $3.4 million, respectively, related to amortization expense of capitalized internal-use software placed in service.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 with Clearinghouse</w:t>
      </w:r>
    </w:p>
    <w:p>
      <w:pPr>
        <w:spacing w:after="0" w:line="2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Deposits with clearinghouse, noncurrent, consisted of the default resource contribution as described in Note 7. The default resource contribution amounted to approximately $15.2 million as of each of September 30, 2022 and December 31, 2021.</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On January 19, 2021, ICE Clear US, Inc. ("ICUS") self-certified a rule change with the CFTC, reducing Bakkt Trust Company LLC's ("Bakkt Trust") financial contribution to the ICUS guaranty fund to approximately $15.2 million from $35.4 million. Following the two-week self-certification period, in which no comments were received from the CFTC, ICUS proceeded with the reduction. On February 3, 2021, ICUS returned $20.2 million to Bakkt Trust. The default resource contribution includes less than $0.1 million of cash margins held with ICUS.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r>
              <w:rPr>
                <w:rFonts w:ascii="Arial" w:cs="Arial" w:eastAsia="Arial" w:hAnsi="Arial"/>
                <w:sz w:val="18"/>
                <w:szCs w:val="18"/>
                <w:b w:val="1"/>
                <w:bCs w:val="1"/>
                <w:i w:val="1"/>
                <w:iCs w:val="1"/>
                <w:color w:val="auto"/>
              </w:rPr>
              <w:t>Other Assets</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940" w:type="dxa"/>
            <w:vAlign w:val="bottom"/>
          </w:tcPr>
          <w:p>
            <w:pPr>
              <w:spacing w:after="0"/>
              <w:rPr>
                <w:sz w:val="20"/>
                <w:szCs w:val="20"/>
                <w:color w:val="auto"/>
              </w:rPr>
            </w:pPr>
            <w:r>
              <w:rPr>
                <w:rFonts w:ascii="Arial" w:cs="Arial" w:eastAsia="Arial" w:hAnsi="Arial"/>
                <w:sz w:val="18"/>
                <w:szCs w:val="18"/>
                <w:color w:val="auto"/>
              </w:rPr>
              <w:t>Other assets consisted of the following (in thousands):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Successor</w:t>
            </w: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2022</w:t>
            </w:r>
          </w:p>
        </w:tc>
        <w:tc>
          <w:tcPr>
            <w:tcW w:w="300" w:type="dxa"/>
            <w:vAlign w:val="bottom"/>
          </w:tcPr>
          <w:p>
            <w:pPr>
              <w:spacing w:after="0"/>
              <w:rPr>
                <w:sz w:val="19"/>
                <w:szCs w:val="19"/>
                <w:color w:val="auto"/>
              </w:rPr>
            </w:pPr>
          </w:p>
        </w:tc>
        <w:tc>
          <w:tcPr>
            <w:tcW w:w="176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December 31, 2021</w:t>
            </w:r>
          </w:p>
        </w:tc>
        <w:tc>
          <w:tcPr>
            <w:tcW w:w="0" w:type="dxa"/>
            <w:vAlign w:val="bottom"/>
          </w:tcPr>
          <w:p>
            <w:pPr>
              <w:spacing w:after="0"/>
              <w:rPr>
                <w:sz w:val="1"/>
                <w:szCs w:val="1"/>
                <w:color w:val="auto"/>
              </w:rPr>
            </w:pPr>
          </w:p>
        </w:tc>
      </w:tr>
      <w:tr>
        <w:trPr>
          <w:trHeight w:val="22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20,431</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11,239</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23,425</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13,879</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Accounts Payable and Accrued 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940" w:type="dxa"/>
            <w:vAlign w:val="bottom"/>
          </w:tcPr>
          <w:p>
            <w:pPr>
              <w:spacing w:after="0"/>
              <w:rPr>
                <w:sz w:val="20"/>
                <w:szCs w:val="20"/>
                <w:color w:val="auto"/>
              </w:rPr>
            </w:pPr>
            <w:r>
              <w:rPr>
                <w:rFonts w:ascii="Arial" w:cs="Arial" w:eastAsia="Arial" w:hAnsi="Arial"/>
                <w:sz w:val="18"/>
                <w:szCs w:val="18"/>
                <w:color w:val="auto"/>
              </w:rPr>
              <w:t>Accounts payable and accrued liabilities consisted of the following (in thousands):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Successor</w:t>
            </w: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2022</w:t>
            </w:r>
          </w:p>
        </w:tc>
        <w:tc>
          <w:tcPr>
            <w:tcW w:w="300" w:type="dxa"/>
            <w:vAlign w:val="bottom"/>
          </w:tcPr>
          <w:p>
            <w:pPr>
              <w:spacing w:after="0"/>
              <w:rPr>
                <w:sz w:val="19"/>
                <w:szCs w:val="19"/>
                <w:color w:val="auto"/>
              </w:rPr>
            </w:pPr>
          </w:p>
        </w:tc>
        <w:tc>
          <w:tcPr>
            <w:tcW w:w="176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December 31, 2021</w:t>
            </w:r>
          </w:p>
        </w:tc>
        <w:tc>
          <w:tcPr>
            <w:tcW w:w="0" w:type="dxa"/>
            <w:vAlign w:val="bottom"/>
          </w:tcPr>
          <w:p>
            <w:pPr>
              <w:spacing w:after="0"/>
              <w:rPr>
                <w:sz w:val="1"/>
                <w:szCs w:val="1"/>
                <w:color w:val="auto"/>
              </w:rPr>
            </w:pPr>
          </w:p>
        </w:tc>
      </w:tr>
      <w:tr>
        <w:trPr>
          <w:trHeight w:val="22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11,022</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16,945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20,130</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Purchasing card payable</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17,698</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Salaries and benefits payable</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12,927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13,349</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23"/>
        </w:trPr>
        <w:tc>
          <w:tcPr>
            <w:tcW w:w="6940" w:type="dxa"/>
            <w:vAlign w:val="bottom"/>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56,184</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64,090</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940" w:type="dxa"/>
            <w:vAlign w:val="bottom"/>
          </w:tcPr>
          <w:p>
            <w:pPr>
              <w:spacing w:after="0"/>
              <w:rPr>
                <w:sz w:val="20"/>
                <w:szCs w:val="20"/>
                <w:color w:val="auto"/>
              </w:rPr>
            </w:pPr>
            <w:r>
              <w:rPr>
                <w:rFonts w:ascii="Arial" w:cs="Arial" w:eastAsia="Arial" w:hAnsi="Arial"/>
                <w:sz w:val="18"/>
                <w:szCs w:val="18"/>
                <w:color w:val="auto"/>
              </w:rPr>
              <w:t>Other current liabilities consisted of the following (in thousands):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Successor</w:t>
            </w: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2022</w:t>
            </w:r>
          </w:p>
        </w:tc>
        <w:tc>
          <w:tcPr>
            <w:tcW w:w="300" w:type="dxa"/>
            <w:vAlign w:val="bottom"/>
          </w:tcPr>
          <w:p>
            <w:pPr>
              <w:spacing w:after="0"/>
              <w:rPr>
                <w:sz w:val="19"/>
                <w:szCs w:val="19"/>
                <w:color w:val="auto"/>
              </w:rPr>
            </w:pPr>
          </w:p>
        </w:tc>
        <w:tc>
          <w:tcPr>
            <w:tcW w:w="176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December 31, 2021</w:t>
            </w:r>
          </w:p>
        </w:tc>
        <w:tc>
          <w:tcPr>
            <w:tcW w:w="0" w:type="dxa"/>
            <w:vAlign w:val="bottom"/>
          </w:tcPr>
          <w:p>
            <w:pPr>
              <w:spacing w:after="0"/>
              <w:rPr>
                <w:sz w:val="1"/>
                <w:szCs w:val="1"/>
                <w:color w:val="auto"/>
              </w:rPr>
            </w:pPr>
          </w:p>
        </w:tc>
      </w:tr>
      <w:tr>
        <w:trPr>
          <w:trHeight w:val="22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Participation units liability, current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Current maturities of operating lease liability</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2,294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23"/>
        </w:trPr>
        <w:tc>
          <w:tcPr>
            <w:tcW w:w="6940" w:type="dxa"/>
            <w:vAlign w:val="bottom"/>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3,423</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5540"/>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5"/>
        </w:trPr>
        <w:tc>
          <w:tcPr>
            <w:tcW w:w="69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9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8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spacing w:after="0"/>
              <w:rPr>
                <w:sz w:val="20"/>
                <w:szCs w:val="20"/>
                <w:color w:val="auto"/>
              </w:rPr>
            </w:pPr>
            <w:r>
              <w:rPr>
                <w:rFonts w:ascii="Arial" w:cs="Arial" w:eastAsia="Arial" w:hAnsi="Arial"/>
                <w:sz w:val="18"/>
                <w:szCs w:val="18"/>
                <w:b w:val="1"/>
                <w:bCs w:val="1"/>
                <w:i w:val="1"/>
                <w:iCs w:val="1"/>
                <w:color w:val="auto"/>
              </w:rPr>
              <w:t>Other Noncurrent Liabilities</w:t>
            </w: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73"/>
        </w:trPr>
        <w:tc>
          <w:tcPr>
            <w:tcW w:w="6940" w:type="dxa"/>
            <w:vAlign w:val="bottom"/>
          </w:tcPr>
          <w:p>
            <w:pPr>
              <w:spacing w:after="0"/>
              <w:rPr>
                <w:sz w:val="20"/>
                <w:szCs w:val="20"/>
                <w:color w:val="auto"/>
              </w:rPr>
            </w:pPr>
            <w:r>
              <w:rPr>
                <w:rFonts w:ascii="Arial" w:cs="Arial" w:eastAsia="Arial" w:hAnsi="Arial"/>
                <w:sz w:val="18"/>
                <w:szCs w:val="18"/>
                <w:color w:val="auto"/>
              </w:rPr>
              <w:t>Other noncurrent liabilities consisted of the following (in thousands):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86"/>
        </w:trPr>
        <w:tc>
          <w:tcPr>
            <w:tcW w:w="6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Successor</w:t>
            </w:r>
          </w:p>
        </w:tc>
        <w:tc>
          <w:tcPr>
            <w:tcW w:w="1760" w:type="dxa"/>
            <w:vAlign w:val="bottom"/>
            <w:tcBorders>
              <w:bottom w:val="single" w:sz="8" w:color="auto"/>
            </w:tcBorders>
          </w:tcPr>
          <w:p>
            <w:pPr>
              <w:spacing w:after="0"/>
              <w:rPr>
                <w:sz w:val="24"/>
                <w:szCs w:val="24"/>
                <w:color w:val="auto"/>
              </w:rPr>
            </w:pPr>
          </w:p>
        </w:tc>
      </w:tr>
      <w:tr>
        <w:trPr>
          <w:trHeight w:val="223"/>
        </w:trPr>
        <w:tc>
          <w:tcPr>
            <w:tcW w:w="6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2022</w:t>
            </w:r>
          </w:p>
        </w:tc>
        <w:tc>
          <w:tcPr>
            <w:tcW w:w="300" w:type="dxa"/>
            <w:vAlign w:val="bottom"/>
          </w:tcPr>
          <w:p>
            <w:pPr>
              <w:spacing w:after="0"/>
              <w:rPr>
                <w:sz w:val="19"/>
                <w:szCs w:val="19"/>
                <w:color w:val="auto"/>
              </w:rPr>
            </w:pPr>
          </w:p>
        </w:tc>
        <w:tc>
          <w:tcPr>
            <w:tcW w:w="176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December 31, 2021</w:t>
            </w:r>
          </w:p>
        </w:tc>
      </w:tr>
      <w:tr>
        <w:trPr>
          <w:trHeight w:val="22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Participation units liability, non-current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w:t>
            </w: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liability, noncurrent</w:t>
            </w: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24,249</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10,647</w:t>
            </w:r>
          </w:p>
        </w:tc>
      </w:tr>
      <w:tr>
        <w:trPr>
          <w:trHeight w:val="248"/>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24,825</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12,674</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Tax Receivable Agreement</w:t>
      </w:r>
    </w:p>
    <w:p>
      <w:pPr>
        <w:spacing w:after="0" w:line="256"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auto"/>
        </w:rPr>
        <w:t>On October 15, 2021, we entered into a Tax Receivable Agreement ("TRA") with certain Opco Equity Holders. Pursuant to the TRA, among other things, holders of Opco common units may, subject to certain conditions, from and after April 16, 2022, exchange such Paired Interests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spacing w:after="0" w:line="181"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8"/>
          <w:szCs w:val="18"/>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88"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The TRA provides for the payment by us to exchanging holders of Opco common units of 85% of certain net income tax benefits, if any, that we realize (or in certain cases are deemed to realize) as a result of these increases in tax basis related to entering into the TRA, including tax benefits attributable to payments under the TRA. This payment obligation is an obligation of the Company and not of Opco.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Opco as a result of Opco having an election in effect under Section 754 of the Code for each taxable year in which an exchange of Opco common units for Class A common stock occurs and had we not entered into the TRA. Such change will be calculated under the TRA without regard to any transfers of Opco common units or distributions with respect to such Opco common units before the exchange under the Exchange Agreement to which Section 743(b) or 734(b) of the Code applies. As of September 30, 2022, 19,605,805 Opco common units were exchanged for Class A common stock. Refer to Note 13 regarding the contingency related to the TRA.</w:t>
      </w:r>
    </w:p>
    <w:p>
      <w:pPr>
        <w:spacing w:after="0" w:line="15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ICE Management and Technical Support</w:t>
      </w:r>
    </w:p>
    <w:p>
      <w:pPr>
        <w:spacing w:after="0" w:line="25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In December 2018, we entered into an intercompany services agreement with ICE to provide management and technical support services. For the three and nine months ended September 30, 2021, expenses of $0.5 million and $1.4 million, respectively, have been recorded in connection with this agreement and are reflected as “Related party expenses (affiliate in Predecessor periods)” in the statements of operations. Prior to the Business Combination, ICE also made various payroll distributions and payments to vendors on behalf of Opco and made unitary state income taxes on behalf of DACC Technologies, Inc., and Digital Asset Custody Company, Inc. (collectively with DACC Technologies, Inc., “DACC”). We recorded no expense during the three and nine months ended September 30, 2022 under this agreement.</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Upon consummation of the Business Combination, we entered into a Transition Services Agreement (“TSA”) with ICE, which superseded the intercompany services agreement pursuant to which ICE will provide insurance, digital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warehouse, data center, technical support, and other transition-related services in exchange for quarterly service fees to be paid by us. We recognized $0.3 million and $0.9 million of expense related to the TSA for the three and nine months ended September 30, 2022, respectively, which is reflected as “Related party expenses (affiliate in Predecessor periods)” in the statements of operations and “Due to related party (affiliate in Predecessor period)” in the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Triparty Agreement</w:t>
      </w:r>
    </w:p>
    <w:p>
      <w:pPr>
        <w:spacing w:after="0" w:line="26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The Triparty Agreement provides for ICE Futures U.S., Inc. ("IFUS") to list for trading one or more digital currency futures and/or options contracts, and for ICUS to serve as the clearing house to provide central counterparty and ancillary services for such contracts. The Triparty Agreement also governs our physically-delivered bitcoin futures and options contracts (“PDF Contracts”). Refer to Note 8 to our consolidated financial statements included in our Form 10-K for additional description of the Triparty Agreement. On July 21, 2022, we entered into an amendment to the Triparty Agreement, which specified certain marketing obligations of the Parties and revised the revenue allocation among the Parties to an equal rate as between Bakkt, on the one hand, and IFUS and ICUS, on the other hand. The Triparty Agreement does not currently have a material effect on the consolidated financial statements.</w:t>
      </w:r>
    </w:p>
    <w:p>
      <w:pPr>
        <w:spacing w:after="0" w:line="183"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6"/>
          <w:szCs w:val="16"/>
          <w:color w:val="auto"/>
        </w:rPr>
        <w:t>We recognized revenues related to the Triparty Agreement of less than $0.1 million for each of the three and nine months ended September 30, 2022, net of rebates and incentive payments (contra-revenue) of less than $0.1 million for the three and nine months ended September 30, 2022. We recognized revenues related to the Triparty Agreement of approximately $0.1 million and $0.2 million for the three and nine months ended September 30, 2021, net of rebates and incentive payments (contra-revenue) of $0.2 million and $0.6 million for the three and nine months ended September 30, 2021.</w:t>
      </w:r>
    </w:p>
    <w:p>
      <w:pPr>
        <w:spacing w:after="0" w:line="161"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6"/>
          <w:szCs w:val="16"/>
          <w:color w:val="auto"/>
        </w:rPr>
        <w:t>The Triparty Agreement also required Bakkt Trust to make, and, subject to certain limits, to replenish as needed a $35.4 million default resource contribution to ICUS, to be used by ICUS in accordance with the ICUS rules. As described in Note 5, the contribution requirement was reduced to $15.2 million in 2021. The contribution is included in the “Deposits with clearinghouse” noncurrent balance. Interest earned on the contribution, net of certain fees and costs, is paid to Bakkt Trust from ICUS. We did not earn any interest for the three and nine months ended September 30, 2022 and 2021.</w:t>
      </w:r>
    </w:p>
    <w:p>
      <w:pPr>
        <w:spacing w:after="0" w:line="16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Prior to the Business Combination, we also recognized a capital contribution for the cost of the trading and clearing services provided by IFUS and ICUS pursuant to the Contribution Agreement, which reduced revenue attributable to the Triparty Agreement by $0.2 million and $0.5 million for the three and nine months ended September 30, 2021, respectively. We did not recognize a material reduction in revenue related to this capital contribution for the three and nine months ended September 30, 2022.</w:t>
      </w:r>
    </w:p>
    <w:p>
      <w:pPr>
        <w:spacing w:after="0" w:line="194"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6"/>
          <w:szCs w:val="16"/>
          <w:color w:val="auto"/>
        </w:rPr>
        <w:t>As of September 30, 2022 and December 31, 2021, we had approximately $0.9 million and approximately $0.6 million, respectively, reflected as “Due to related party” in the balance sheets related to the TSA and Triparty Agreement. As of September 30, 2022, we had no amount recorded within “Accounts receivable, net” in the balance sheets related to the Triparty Agreement, and as of December 31, 2021, we had less than $0.1 million recorded.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Contractual Relationships with ICE</w:t>
      </w:r>
    </w:p>
    <w:p>
      <w:pPr>
        <w:spacing w:after="0" w:line="26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Prior to the withdrawal of Bakkt Clearing’s ICUS membership on May 20, 2020, Bakkt Clearing was required to hold shares of ICE stock for ICUS membership privileges. These shares were carried at cost basis and evaluated periodically for impairment. In connection with the withdrawal of Bakkt Clearing’s ICUS membership, these shares were remeasured at fair value, with unrealized gains and losses being reflected as “Other income (expense), net” in the statements of operations. In June 2021, we sold all of our shares of ICE stock. During the three and nine months ended September 30, 2021, we recorded a realized loss on the sale of shares of affiliate stock of approximately $0.1 million which is included in “Other expense, net”. We did not recognize a loss on the sale of shares of affiliate stock during the three and nine months ended September 30, 2022.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70"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As of September 30, 2022, there were 7,140,808 public warrants outstanding. Public warrants may only be exercised for a whole number of shares. No fractional shares will be issued upon exercise of the public warrant. Each warrant entitles its holders to purchase one share of Class A common stock at an exercise price of $11.50 per share. The public warrants became exercisable on November 15, 2021. The public warrants will expire on October 15, 2026, or earlier upon redemption or liquidation. We may redeem the outstanding warrants when various conditions are met, such as specific stock prices, as detailed in the specific warrant agreements. The warrants are recorded as a liability and reflected as “Warrant liability” in the balance sheets.</w:t>
      </w:r>
    </w:p>
    <w:p>
      <w:pPr>
        <w:spacing w:after="0" w:line="15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During the three and nine months ended September 30, 2022, we received less than $0.1 million in proceeds from the exercise of the public warrants. We recognized a gain from the change in fair value of the warrant liability during the three and nine months ended September 30, 2022, of $0.4 million and $13.1 million, respectively.</w:t>
      </w:r>
    </w:p>
    <w:p>
      <w:pPr>
        <w:spacing w:after="0" w:line="184" w:lineRule="exact"/>
        <w:rPr>
          <w:sz w:val="20"/>
          <w:szCs w:val="20"/>
          <w:color w:val="auto"/>
        </w:rPr>
      </w:pPr>
    </w:p>
    <w:p>
      <w:pPr>
        <w:ind w:right="9280" w:firstLine="8"/>
        <w:spacing w:after="0" w:line="542" w:lineRule="auto"/>
        <w:tabs>
          <w:tab w:leader="none" w:pos="3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Preferred Stock</w:t>
      </w:r>
    </w:p>
    <w:p>
      <w:pPr>
        <w:spacing w:after="0" w:line="1"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We are authorized to issue 1,000,000 shares of preferred stock with a par value of $0.0001 per share. The holders of a series of preferred stock shall be entitled only to such voting rights as shall expressly be granted thereto by the Certificate of Incorporation (including any certificate of designation relating to such series of preferred stock). As of September 30, 2022, no shares of preferred stock have been issued.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6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6"/>
          <w:szCs w:val="16"/>
          <w:color w:val="auto"/>
        </w:rPr>
        <w:t>We are authorized to issue 750,000,000 shares with a par value of $0.0001 per share. Each holder of Class A common stock is entitled to one vote for each share of Class A common stock held of record by such holder on all matters on which stockholders generally or holders of Class A common stock as a separate class are entitled to vote, including the election or removal of directors (whether voting separately as a class or together with one or more classes of our capital stock). As of September 30, 2022, there were 77,682,402 shares of Class A common stock issued and outstanding.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2"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7"/>
          <w:szCs w:val="17"/>
          <w:color w:val="auto"/>
        </w:rPr>
        <w:t>Subject to preferences that may be applicable to any outstanding preferred stock, the holders of shares of Class A common stock are entitled to receive ratably such dividends, if any, as may be declared from time to time by our Board out of funds legally available therefor.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66"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A common stock are entitled to share ratably in all assets remaining after payment of our debts and other liabilities, subject to prior distribution rights of preferred stock or any class or series of stock having a preference over the Class A common stock, then outstanding, if 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V Common Stock</w:t>
      </w:r>
    </w:p>
    <w:p>
      <w:pPr>
        <w:spacing w:after="0" w:line="2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We are authorized to issue 250,000,000 shares with par value $0.0001 per share. These shares have no economic value but entitle the holder to one vote per share. Each Opco common unit, when coupled with one share of our Class V common stock is referred to as a “Paired Interest.” Paired Interests may be exchanged for one share of our Class A common stock or a cash amount in accordance with the Third Amended and Restated Limited Liability Company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Agreement of Opco and the Amended and Restated Exchange Agreement. Holders of Paired Interests became eligible on April 16, 2022 under the Exchange Agreement, dated October 15, 2021, to exchange their Paired Interests for Class A common stock or, at our election, cash in lieu thereof. As of September 30, 2022, there were 186,352,843 shares of Class V common stock issued and outstanding.</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Since the expiration of the six-month lock-up period on April 16, 2022, holders of Paired Interests exchanged an aggregate of 19.6 million Paired Interests for our Class A common stock, and the Company did not elect to settle any such exchanges in cash.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Dividends shall not be declared or paid on the Class V common stock.</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52"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V common stock shall not be entitled to receive any of our assets.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w:t>
      </w:r>
    </w:p>
    <w:p>
      <w:pPr>
        <w:spacing w:after="0" w:line="2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In the event that any outstanding share of Class V common stock ceases to be held directly or indirectly by a holder of a Opco common units, such share will automatically be transferred to us and cancelled for no consideration. We will not issue additional shares of Class V common stock after the effectiveness of the Certificate of Incorporation other than in connection with the valid issuance or transfer of Opco common units in accordance with Opco’s Third Amended and Restated Limited Liability Company Agreement (the “LLC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66"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Bakkt Holdings, Inc. is the sole managing member of Opco and, as a result, consolidates the financial results of Opco. The Company reports a noncontrolling interest representing the economic interest in Opco held by the other members of Opco. Each Opco common unit, when coupled with one share of our Class V common stock is referred to as a “Paired Interest.” Paired Interests may be exchanged for one share of our Class A common stock or redeemed for a cash amount in accordance with the Third Amended and Restated Limited Liability Company Agreement of Opco and the Amended and Restated Exchange Agreement. In connection with any redemption or exchange, the Company will receive a corresponding number of Opco common units, increasing the Company's total ownership interest in Opco. Changes in our ownership interest in Opco while we retain a controlling interest in Opco will be accounted for as equity transactions. As such, future redemptions or direct exchanges of Opco common units by the noncontrolling members of Opco will result in a change in ownership and reduce the amount recorded as noncontrolling interest and increase additional paid-in capital.</w:t>
      </w:r>
    </w:p>
    <w:p>
      <w:pPr>
        <w:spacing w:after="0" w:line="17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table summarizes the ownership interest in Bakkt Opco Holdings, LLC as of September 30,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194945</wp:posOffset>
            </wp:positionV>
            <wp:extent cx="42087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right="40"/>
        <w:spacing w:after="0" w:line="243" w:lineRule="auto"/>
        <w:rPr>
          <w:sz w:val="20"/>
          <w:szCs w:val="20"/>
          <w:color w:val="auto"/>
        </w:rPr>
      </w:pPr>
      <w:r>
        <w:rPr>
          <w:rFonts w:ascii="Arial" w:cs="Arial" w:eastAsia="Arial" w:hAnsi="Arial"/>
          <w:sz w:val="18"/>
          <w:szCs w:val="18"/>
          <w:color w:val="auto"/>
        </w:rPr>
        <w:t>Opco common units held by Bakkt Holdings, Inc. (Class A Common Stock)</w:t>
      </w:r>
    </w:p>
    <w:p>
      <w:pPr>
        <w:ind w:left="20"/>
        <w:spacing w:after="0" w:line="245" w:lineRule="auto"/>
        <w:rPr>
          <w:sz w:val="20"/>
          <w:szCs w:val="20"/>
          <w:color w:val="auto"/>
        </w:rPr>
      </w:pPr>
      <w:r>
        <w:rPr>
          <w:rFonts w:ascii="Arial" w:cs="Arial" w:eastAsia="Arial" w:hAnsi="Arial"/>
          <w:sz w:val="18"/>
          <w:szCs w:val="18"/>
          <w:color w:val="auto"/>
        </w:rPr>
        <w:t>Opco common units held by noncontrolling interest holders (Class V Common Stock)</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Opco common units outstanding</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September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40" w:type="dxa"/>
            <w:vAlign w:val="bottom"/>
            <w:tcBorders>
              <w:top w:val="single" w:sz="8" w:color="auto"/>
            </w:tcBorders>
          </w:tcPr>
          <w:p>
            <w:pPr>
              <w:jc w:val="right"/>
              <w:ind w:right="650"/>
              <w:spacing w:after="0" w:line="177" w:lineRule="exact"/>
              <w:rPr>
                <w:sz w:val="20"/>
                <w:szCs w:val="20"/>
                <w:color w:val="auto"/>
              </w:rPr>
            </w:pPr>
            <w:r>
              <w:rPr>
                <w:rFonts w:ascii="Arial" w:cs="Arial" w:eastAsia="Arial" w:hAnsi="Arial"/>
                <w:sz w:val="18"/>
                <w:szCs w:val="18"/>
                <w:b w:val="1"/>
                <w:bCs w:val="1"/>
                <w:color w:val="auto"/>
              </w:rPr>
              <w:t>Opco</w:t>
            </w:r>
          </w:p>
        </w:tc>
        <w:tc>
          <w:tcPr>
            <w:tcW w:w="1520" w:type="dxa"/>
            <w:vAlign w:val="bottom"/>
            <w:tcBorders>
              <w:top w:val="single" w:sz="8" w:color="auto"/>
            </w:tcBorders>
          </w:tcPr>
          <w:p>
            <w:pPr>
              <w:spacing w:after="0"/>
              <w:rPr>
                <w:sz w:val="15"/>
                <w:szCs w:val="15"/>
                <w:color w:val="auto"/>
              </w:rPr>
            </w:pPr>
          </w:p>
        </w:tc>
      </w:tr>
      <w:tr>
        <w:trPr>
          <w:trHeight w:val="234"/>
        </w:trPr>
        <w:tc>
          <w:tcPr>
            <w:tcW w:w="1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Common Units</w:t>
            </w: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Ownership %</w:t>
            </w:r>
          </w:p>
        </w:tc>
      </w:tr>
      <w:tr>
        <w:trPr>
          <w:trHeight w:val="304"/>
        </w:trPr>
        <w:tc>
          <w:tcPr>
            <w:tcW w:w="1740" w:type="dxa"/>
            <w:vAlign w:val="bottom"/>
          </w:tcPr>
          <w:p>
            <w:pPr>
              <w:jc w:val="right"/>
              <w:ind w:right="70"/>
              <w:spacing w:after="0"/>
              <w:rPr>
                <w:sz w:val="20"/>
                <w:szCs w:val="20"/>
                <w:color w:val="auto"/>
              </w:rPr>
            </w:pPr>
            <w:r>
              <w:rPr>
                <w:rFonts w:ascii="Arial" w:cs="Arial" w:eastAsia="Arial" w:hAnsi="Arial"/>
                <w:sz w:val="18"/>
                <w:szCs w:val="18"/>
                <w:color w:val="auto"/>
              </w:rPr>
              <w:t>77,682,402</w:t>
            </w:r>
          </w:p>
        </w:tc>
        <w:tc>
          <w:tcPr>
            <w:tcW w:w="152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418"/>
        </w:trPr>
        <w:tc>
          <w:tcPr>
            <w:tcW w:w="1740" w:type="dxa"/>
            <w:vAlign w:val="bottom"/>
          </w:tcPr>
          <w:p>
            <w:pPr>
              <w:jc w:val="right"/>
              <w:ind w:right="70"/>
              <w:spacing w:after="0"/>
              <w:rPr>
                <w:sz w:val="20"/>
                <w:szCs w:val="20"/>
                <w:color w:val="auto"/>
              </w:rPr>
            </w:pPr>
            <w:r>
              <w:rPr>
                <w:rFonts w:ascii="Arial" w:cs="Arial" w:eastAsia="Arial" w:hAnsi="Arial"/>
                <w:sz w:val="18"/>
                <w:szCs w:val="18"/>
                <w:color w:val="auto"/>
              </w:rPr>
              <w:t>186,352,843</w:t>
            </w:r>
          </w:p>
        </w:tc>
        <w:tc>
          <w:tcPr>
            <w:tcW w:w="1520" w:type="dxa"/>
            <w:vAlign w:val="bottom"/>
          </w:tcPr>
          <w:p>
            <w:pPr>
              <w:jc w:val="right"/>
              <w:spacing w:after="0"/>
              <w:rPr>
                <w:sz w:val="20"/>
                <w:szCs w:val="20"/>
                <w:color w:val="auto"/>
              </w:rPr>
            </w:pPr>
            <w:r>
              <w:rPr>
                <w:rFonts w:ascii="Arial" w:cs="Arial" w:eastAsia="Arial" w:hAnsi="Arial"/>
                <w:sz w:val="18"/>
                <w:szCs w:val="18"/>
                <w:color w:val="auto"/>
              </w:rPr>
              <w:t>71 %</w:t>
            </w:r>
          </w:p>
        </w:tc>
      </w:tr>
      <w:tr>
        <w:trPr>
          <w:trHeight w:val="95"/>
        </w:trPr>
        <w:tc>
          <w:tcPr>
            <w:tcW w:w="17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r>
      <w:tr>
        <w:trPr>
          <w:trHeight w:val="223"/>
        </w:trPr>
        <w:tc>
          <w:tcPr>
            <w:tcW w:w="1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264,035,245</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-719455</wp:posOffset>
            </wp:positionV>
            <wp:extent cx="7132320" cy="265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-187960</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60" w:type="dxa"/>
            <w:vAlign w:val="bottom"/>
            <w:tcBorders>
              <w:top w:val="single" w:sz="8" w:color="auto"/>
            </w:tcBorders>
          </w:tcPr>
          <w:p>
            <w:pPr>
              <w:jc w:val="right"/>
              <w:ind w:right="670"/>
              <w:spacing w:after="0" w:line="177" w:lineRule="exact"/>
              <w:rPr>
                <w:sz w:val="20"/>
                <w:szCs w:val="20"/>
                <w:color w:val="auto"/>
              </w:rPr>
            </w:pPr>
            <w:r>
              <w:rPr>
                <w:rFonts w:ascii="Arial" w:cs="Arial" w:eastAsia="Arial" w:hAnsi="Arial"/>
                <w:sz w:val="18"/>
                <w:szCs w:val="18"/>
                <w:b w:val="1"/>
                <w:bCs w:val="1"/>
                <w:color w:val="auto"/>
              </w:rPr>
              <w:t>Opco</w:t>
            </w:r>
          </w:p>
        </w:tc>
        <w:tc>
          <w:tcPr>
            <w:tcW w:w="1500" w:type="dxa"/>
            <w:vAlign w:val="bottom"/>
            <w:tcBorders>
              <w:top w:val="single" w:sz="8" w:color="auto"/>
            </w:tcBorders>
          </w:tcPr>
          <w:p>
            <w:pPr>
              <w:spacing w:after="0"/>
              <w:rPr>
                <w:sz w:val="15"/>
                <w:szCs w:val="15"/>
                <w:color w:val="auto"/>
              </w:rPr>
            </w:pPr>
          </w:p>
        </w:tc>
      </w:tr>
      <w:tr>
        <w:trPr>
          <w:trHeight w:val="234"/>
        </w:trPr>
        <w:tc>
          <w:tcPr>
            <w:tcW w:w="1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Common Units</w:t>
            </w:r>
          </w:p>
        </w:tc>
        <w:tc>
          <w:tcPr>
            <w:tcW w:w="1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Ownership %</w:t>
            </w:r>
          </w:p>
        </w:tc>
      </w:tr>
      <w:tr>
        <w:trPr>
          <w:trHeight w:val="304"/>
        </w:trPr>
        <w:tc>
          <w:tcPr>
            <w:tcW w:w="1760" w:type="dxa"/>
            <w:vAlign w:val="bottom"/>
          </w:tcPr>
          <w:p>
            <w:pPr>
              <w:jc w:val="right"/>
              <w:ind w:right="90"/>
              <w:spacing w:after="0"/>
              <w:rPr>
                <w:sz w:val="20"/>
                <w:szCs w:val="20"/>
                <w:color w:val="auto"/>
              </w:rPr>
            </w:pPr>
            <w:r>
              <w:rPr>
                <w:rFonts w:ascii="Arial" w:cs="Arial" w:eastAsia="Arial" w:hAnsi="Arial"/>
                <w:sz w:val="18"/>
                <w:szCs w:val="18"/>
                <w:color w:val="auto"/>
              </w:rPr>
              <w:t>57,164,388</w:t>
            </w:r>
          </w:p>
        </w:tc>
        <w:tc>
          <w:tcPr>
            <w:tcW w:w="150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418"/>
        </w:trPr>
        <w:tc>
          <w:tcPr>
            <w:tcW w:w="1760" w:type="dxa"/>
            <w:vAlign w:val="bottom"/>
          </w:tcPr>
          <w:p>
            <w:pPr>
              <w:jc w:val="right"/>
              <w:ind w:right="90"/>
              <w:spacing w:after="0"/>
              <w:rPr>
                <w:sz w:val="20"/>
                <w:szCs w:val="20"/>
                <w:color w:val="auto"/>
              </w:rPr>
            </w:pPr>
            <w:r>
              <w:rPr>
                <w:rFonts w:ascii="Arial" w:cs="Arial" w:eastAsia="Arial" w:hAnsi="Arial"/>
                <w:sz w:val="18"/>
                <w:szCs w:val="18"/>
                <w:color w:val="auto"/>
              </w:rPr>
              <w:t>206,271,792</w:t>
            </w:r>
          </w:p>
        </w:tc>
        <w:tc>
          <w:tcPr>
            <w:tcW w:w="1500" w:type="dxa"/>
            <w:vAlign w:val="bottom"/>
          </w:tcPr>
          <w:p>
            <w:pPr>
              <w:jc w:val="right"/>
              <w:spacing w:after="0"/>
              <w:rPr>
                <w:sz w:val="20"/>
                <w:szCs w:val="20"/>
                <w:color w:val="auto"/>
              </w:rPr>
            </w:pPr>
            <w:r>
              <w:rPr>
                <w:rFonts w:ascii="Arial" w:cs="Arial" w:eastAsia="Arial" w:hAnsi="Arial"/>
                <w:sz w:val="18"/>
                <w:szCs w:val="18"/>
                <w:color w:val="auto"/>
              </w:rPr>
              <w:t>78 %</w:t>
            </w:r>
          </w:p>
        </w:tc>
      </w:tr>
      <w:tr>
        <w:trPr>
          <w:trHeight w:val="95"/>
        </w:trPr>
        <w:tc>
          <w:tcPr>
            <w:tcW w:w="17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r>
      <w:tr>
        <w:trPr>
          <w:trHeight w:val="223"/>
        </w:trPr>
        <w:tc>
          <w:tcPr>
            <w:tcW w:w="1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263,436,180</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17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4320" w:space="300"/>
            <w:col w:w="3260" w:space="100"/>
            <w:col w:w="3260"/>
          </w:cols>
          <w:pgMar w:left="320" w:top="11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weighted average ownership percentages for the applicable reporting periods are used to attribute net loss and other comprehensive loss to Bakkt Holdings, Inc. and the noncontrolling interest holders. The noncontrolling interest holders' weighted average ownership percentage for the three and nine months ended September 30, 2022 was 70.5% and 73.6%, respectively.</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The following table summarizes the effects of changes in ownership of Bakkt Opco Holdings, LLC on the Company's equity during the three and nine months ended September 30, 2022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Successor</w:t>
            </w:r>
          </w:p>
        </w:tc>
        <w:tc>
          <w:tcPr>
            <w:tcW w:w="1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2"/>
          </w:tcPr>
          <w:p>
            <w:pPr>
              <w:jc w:val="center"/>
              <w:ind w:right="360"/>
              <w:spacing w:after="0" w:line="169" w:lineRule="exact"/>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14"/>
                <w:szCs w:val="14"/>
                <w:color w:val="auto"/>
              </w:rPr>
            </w:pPr>
          </w:p>
        </w:tc>
        <w:tc>
          <w:tcPr>
            <w:tcW w:w="190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9"/>
        </w:trPr>
        <w:tc>
          <w:tcPr>
            <w:tcW w:w="6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 2022</w:t>
            </w:r>
          </w:p>
        </w:tc>
        <w:tc>
          <w:tcPr>
            <w:tcW w:w="300" w:type="dxa"/>
            <w:vAlign w:val="bottom"/>
          </w:tcPr>
          <w:p>
            <w:pPr>
              <w:spacing w:after="0"/>
              <w:rPr>
                <w:sz w:val="20"/>
                <w:szCs w:val="20"/>
                <w:color w:val="auto"/>
              </w:rPr>
            </w:pPr>
          </w:p>
        </w:tc>
        <w:tc>
          <w:tcPr>
            <w:tcW w:w="1900" w:type="dxa"/>
            <w:vAlign w:val="bottom"/>
          </w:tcPr>
          <w:p>
            <w:pPr>
              <w:jc w:val="right"/>
              <w:ind w:right="270"/>
              <w:spacing w:after="0"/>
              <w:rPr>
                <w:sz w:val="20"/>
                <w:szCs w:val="20"/>
                <w:color w:val="auto"/>
              </w:rPr>
            </w:pPr>
            <w:r>
              <w:rPr>
                <w:rFonts w:ascii="Arial" w:cs="Arial" w:eastAsia="Arial" w:hAnsi="Arial"/>
                <w:sz w:val="18"/>
                <w:szCs w:val="18"/>
                <w:b w:val="1"/>
                <w:bCs w:val="1"/>
                <w:color w:val="auto"/>
                <w:w w:val="90"/>
              </w:rPr>
              <w:t>September 30, 2022</w:t>
            </w:r>
          </w:p>
        </w:tc>
        <w:tc>
          <w:tcPr>
            <w:tcW w:w="0" w:type="dxa"/>
            <w:vAlign w:val="bottom"/>
          </w:tcPr>
          <w:p>
            <w:pPr>
              <w:spacing w:after="0"/>
              <w:rPr>
                <w:sz w:val="1"/>
                <w:szCs w:val="1"/>
                <w:color w:val="auto"/>
              </w:rPr>
            </w:pPr>
          </w:p>
        </w:tc>
      </w:tr>
      <w:tr>
        <w:trPr>
          <w:trHeight w:val="227"/>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Bakkt Holdings, Inc.</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(468,132)</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(479,157)</w:t>
            </w: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loss on foreign currency translation adjustment</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9"/>
        </w:trPr>
        <w:tc>
          <w:tcPr>
            <w:tcW w:w="6540" w:type="dxa"/>
            <w:vAlign w:val="bottom"/>
          </w:tcPr>
          <w:p>
            <w:pPr>
              <w:ind w:left="240"/>
              <w:spacing w:after="0"/>
              <w:rPr>
                <w:sz w:val="20"/>
                <w:szCs w:val="20"/>
                <w:color w:val="auto"/>
              </w:rPr>
            </w:pPr>
            <w:r>
              <w:rPr>
                <w:rFonts w:ascii="Arial" w:cs="Arial" w:eastAsia="Arial" w:hAnsi="Arial"/>
                <w:sz w:val="18"/>
                <w:szCs w:val="18"/>
                <w:color w:val="auto"/>
              </w:rPr>
              <w:t>Unrealized losses on available-for-sale securities</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57"/>
        </w:trPr>
        <w:tc>
          <w:tcPr>
            <w:tcW w:w="65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Transfers from noncontrolling interests:</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0"/>
              </w:rPr>
              <w:t>Increase in additional paid-in capital as a result of the exchange of Opco common units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170,149</w:t>
            </w: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65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Total effect of changes in ownership interest on equity attributable to Bakkt Holdings,</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(450,495)</w:t>
            </w:r>
          </w:p>
        </w:tc>
        <w:tc>
          <w:tcPr>
            <w:tcW w:w="16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(309,353)</w:t>
            </w:r>
          </w:p>
        </w:tc>
        <w:tc>
          <w:tcPr>
            <w:tcW w:w="0" w:type="dxa"/>
            <w:vAlign w:val="bottom"/>
          </w:tcPr>
          <w:p>
            <w:pPr>
              <w:spacing w:after="0"/>
              <w:rPr>
                <w:sz w:val="1"/>
                <w:szCs w:val="1"/>
                <w:color w:val="auto"/>
              </w:rPr>
            </w:pPr>
          </w:p>
        </w:tc>
      </w:tr>
      <w:tr>
        <w:trPr>
          <w:trHeight w:val="23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20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The following table summarizes redemptions of Opco common units activity during the three and nine months ended September 30, 2022. There were no exchanges prior to the expiration of the six-month lock-up period on April 16,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2660" w:type="dxa"/>
            <w:vAlign w:val="bottom"/>
            <w:tcBorders>
              <w:bottom w:val="single" w:sz="8" w:color="auto"/>
            </w:tcBorders>
            <w:gridSpan w:val="3"/>
          </w:tcPr>
          <w:p>
            <w:pPr>
              <w:ind w:left="1900"/>
              <w:spacing w:after="0"/>
              <w:rPr>
                <w:sz w:val="20"/>
                <w:szCs w:val="20"/>
                <w:color w:val="auto"/>
              </w:rPr>
            </w:pPr>
            <w:r>
              <w:rPr>
                <w:rFonts w:ascii="Arial" w:cs="Arial" w:eastAsia="Arial" w:hAnsi="Arial"/>
                <w:sz w:val="18"/>
                <w:szCs w:val="18"/>
                <w:b w:val="1"/>
                <w:bCs w:val="1"/>
                <w:color w:val="auto"/>
                <w:w w:val="81"/>
              </w:rPr>
              <w:t>Successor</w:t>
            </w:r>
          </w:p>
        </w:tc>
        <w:tc>
          <w:tcPr>
            <w:tcW w:w="1900" w:type="dxa"/>
            <w:vAlign w:val="bottom"/>
            <w:tcBorders>
              <w:bottom w:val="single" w:sz="8" w:color="auto"/>
            </w:tcBorders>
          </w:tcPr>
          <w:p>
            <w:pPr>
              <w:spacing w:after="0"/>
              <w:rPr>
                <w:sz w:val="20"/>
                <w:szCs w:val="20"/>
                <w:color w:val="auto"/>
              </w:rPr>
            </w:pPr>
          </w:p>
        </w:tc>
      </w:tr>
      <w:tr>
        <w:trPr>
          <w:trHeight w:val="178"/>
        </w:trPr>
        <w:tc>
          <w:tcPr>
            <w:tcW w:w="6540" w:type="dxa"/>
            <w:vAlign w:val="bottom"/>
          </w:tcPr>
          <w:p>
            <w:pPr>
              <w:spacing w:after="0"/>
              <w:rPr>
                <w:sz w:val="15"/>
                <w:szCs w:val="15"/>
                <w:color w:val="auto"/>
              </w:rPr>
            </w:pPr>
          </w:p>
        </w:tc>
        <w:tc>
          <w:tcPr>
            <w:tcW w:w="2660" w:type="dxa"/>
            <w:vAlign w:val="bottom"/>
            <w:gridSpan w:val="3"/>
          </w:tcPr>
          <w:p>
            <w:pPr>
              <w:jc w:val="center"/>
              <w:ind w:right="460"/>
              <w:spacing w:after="0" w:line="177" w:lineRule="exact"/>
              <w:rPr>
                <w:sz w:val="20"/>
                <w:szCs w:val="20"/>
                <w:color w:val="auto"/>
              </w:rPr>
            </w:pPr>
            <w:r>
              <w:rPr>
                <w:rFonts w:ascii="Arial" w:cs="Arial" w:eastAsia="Arial" w:hAnsi="Arial"/>
                <w:sz w:val="18"/>
                <w:szCs w:val="18"/>
                <w:b w:val="1"/>
                <w:bCs w:val="1"/>
                <w:color w:val="auto"/>
                <w:w w:val="92"/>
              </w:rPr>
              <w:t>Three Months Ended</w:t>
            </w:r>
          </w:p>
        </w:tc>
        <w:tc>
          <w:tcPr>
            <w:tcW w:w="1900" w:type="dxa"/>
            <w:vAlign w:val="bottom"/>
          </w:tcPr>
          <w:p>
            <w:pPr>
              <w:jc w:val="right"/>
              <w:ind w:right="250"/>
              <w:spacing w:after="0" w:line="177" w:lineRule="exact"/>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6540" w:type="dxa"/>
            <w:vAlign w:val="bottom"/>
          </w:tcPr>
          <w:p>
            <w:pPr>
              <w:spacing w:after="0"/>
              <w:rPr>
                <w:sz w:val="20"/>
                <w:szCs w:val="20"/>
                <w:color w:val="auto"/>
              </w:rPr>
            </w:pPr>
          </w:p>
        </w:tc>
        <w:tc>
          <w:tcPr>
            <w:tcW w:w="26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9"/>
              </w:rPr>
              <w:t>September 30, 2022</w:t>
            </w:r>
          </w:p>
        </w:tc>
        <w:tc>
          <w:tcPr>
            <w:tcW w:w="1900" w:type="dxa"/>
            <w:vAlign w:val="bottom"/>
          </w:tcPr>
          <w:p>
            <w:pPr>
              <w:jc w:val="right"/>
              <w:ind w:right="270"/>
              <w:spacing w:after="0"/>
              <w:rPr>
                <w:sz w:val="20"/>
                <w:szCs w:val="20"/>
                <w:color w:val="auto"/>
              </w:rPr>
            </w:pPr>
            <w:r>
              <w:rPr>
                <w:rFonts w:ascii="Arial" w:cs="Arial" w:eastAsia="Arial" w:hAnsi="Arial"/>
                <w:sz w:val="18"/>
                <w:szCs w:val="18"/>
                <w:b w:val="1"/>
                <w:bCs w:val="1"/>
                <w:color w:val="auto"/>
                <w:w w:val="90"/>
              </w:rPr>
              <w:t>September 30, 2022</w:t>
            </w:r>
          </w:p>
        </w:tc>
      </w:tr>
      <w:tr>
        <w:trPr>
          <w:trHeight w:val="209"/>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Exchanges of Opco common units:</w:t>
            </w:r>
          </w:p>
        </w:tc>
        <w:tc>
          <w:tcPr>
            <w:tcW w:w="2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Number of Opco common units exchanged by noncontrolling interest holders</w:t>
            </w:r>
          </w:p>
        </w:tc>
        <w:tc>
          <w:tcPr>
            <w:tcW w:w="2200" w:type="dxa"/>
            <w:vAlign w:val="bottom"/>
          </w:tcPr>
          <w:p>
            <w:pPr>
              <w:jc w:val="right"/>
              <w:spacing w:after="0"/>
              <w:rPr>
                <w:sz w:val="20"/>
                <w:szCs w:val="20"/>
                <w:color w:val="auto"/>
              </w:rPr>
            </w:pPr>
            <w:r>
              <w:rPr>
                <w:rFonts w:ascii="Arial" w:cs="Arial" w:eastAsia="Arial" w:hAnsi="Arial"/>
                <w:sz w:val="18"/>
                <w:szCs w:val="18"/>
                <w:color w:val="auto"/>
              </w:rPr>
              <w:t>2,051,166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19,605,805</w:t>
            </w:r>
          </w:p>
        </w:tc>
      </w:t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Opco common units received by Bakkt Holdings, Inc.</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2,051,166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19,605,805</w:t>
            </w:r>
          </w:p>
        </w:tc>
      </w:tr>
      <w:tr>
        <w:trPr>
          <w:trHeight w:val="270"/>
        </w:trPr>
        <w:tc>
          <w:tcPr>
            <w:tcW w:w="65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Class A common stock:</w:t>
            </w:r>
          </w:p>
        </w:tc>
        <w:tc>
          <w:tcPr>
            <w:tcW w:w="2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188"/>
        </w:trPr>
        <w:tc>
          <w:tcPr>
            <w:tcW w:w="6540" w:type="dxa"/>
            <w:vAlign w:val="bottom"/>
          </w:tcPr>
          <w:p>
            <w:pPr>
              <w:ind w:left="20"/>
              <w:spacing w:after="0" w:line="189" w:lineRule="exact"/>
              <w:rPr>
                <w:sz w:val="20"/>
                <w:szCs w:val="20"/>
                <w:color w:val="auto"/>
              </w:rPr>
            </w:pPr>
            <w:r>
              <w:rPr>
                <w:rFonts w:ascii="Arial" w:cs="Arial" w:eastAsia="Arial" w:hAnsi="Arial"/>
                <w:sz w:val="18"/>
                <w:szCs w:val="18"/>
                <w:color w:val="auto"/>
                <w:w w:val="92"/>
              </w:rPr>
              <w:t>Shares of Class A common stock issued in connection with exchanges of Opco common</w:t>
            </w:r>
          </w:p>
        </w:tc>
        <w:tc>
          <w:tcPr>
            <w:tcW w:w="2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units</w:t>
            </w:r>
          </w:p>
        </w:tc>
        <w:tc>
          <w:tcPr>
            <w:tcW w:w="2200" w:type="dxa"/>
            <w:vAlign w:val="bottom"/>
          </w:tcPr>
          <w:p>
            <w:pPr>
              <w:jc w:val="right"/>
              <w:spacing w:after="0"/>
              <w:rPr>
                <w:sz w:val="20"/>
                <w:szCs w:val="20"/>
                <w:color w:val="auto"/>
              </w:rPr>
            </w:pPr>
            <w:r>
              <w:rPr>
                <w:rFonts w:ascii="Arial" w:cs="Arial" w:eastAsia="Arial" w:hAnsi="Arial"/>
                <w:sz w:val="18"/>
                <w:szCs w:val="18"/>
                <w:color w:val="auto"/>
              </w:rPr>
              <w:t>2,051,166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19,605,805</w:t>
            </w:r>
          </w:p>
        </w:tc>
      </w:tr>
      <w:tr>
        <w:trPr>
          <w:trHeight w:val="270"/>
        </w:trPr>
        <w:tc>
          <w:tcPr>
            <w:tcW w:w="654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Cancellation of Class V common stock:</w:t>
            </w:r>
          </w:p>
        </w:tc>
        <w:tc>
          <w:tcPr>
            <w:tcW w:w="2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of Class V common stock surrendered and canceled</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2,051,166</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19,605,805</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 Equity</w:t>
      </w:r>
    </w:p>
    <w:p>
      <w:pPr>
        <w:spacing w:after="0" w:line="270" w:lineRule="exact"/>
        <w:rPr>
          <w:sz w:val="20"/>
          <w:szCs w:val="20"/>
          <w:color w:val="auto"/>
        </w:rPr>
      </w:pPr>
    </w:p>
    <w:p>
      <w:pPr>
        <w:ind w:firstLine="648"/>
        <w:spacing w:after="0" w:line="308" w:lineRule="auto"/>
        <w:rPr>
          <w:sz w:val="20"/>
          <w:szCs w:val="20"/>
          <w:color w:val="auto"/>
        </w:rPr>
      </w:pPr>
      <w:r>
        <w:rPr>
          <w:rFonts w:ascii="Arial" w:cs="Arial" w:eastAsia="Arial" w:hAnsi="Arial"/>
          <w:sz w:val="18"/>
          <w:szCs w:val="18"/>
          <w:color w:val="auto"/>
        </w:rPr>
        <w:t>Prior to the Business Combination, Opco had three classes of voting units – Class A, Class B and Class C voting units – and incentive units granted under the Opco Incentive Equity Plan (the “Opco Plan”).</w:t>
      </w:r>
    </w:p>
    <w:p>
      <w:pPr>
        <w:spacing w:after="0" w:line="184" w:lineRule="exact"/>
        <w:rPr>
          <w:sz w:val="20"/>
          <w:szCs w:val="20"/>
          <w:color w:val="auto"/>
        </w:rPr>
      </w:pPr>
    </w:p>
    <w:p>
      <w:pPr>
        <w:ind w:firstLine="648"/>
        <w:spacing w:after="0" w:line="308" w:lineRule="auto"/>
        <w:rPr>
          <w:sz w:val="20"/>
          <w:szCs w:val="20"/>
          <w:color w:val="auto"/>
        </w:rPr>
      </w:pPr>
      <w:r>
        <w:rPr>
          <w:rFonts w:ascii="Arial" w:cs="Arial" w:eastAsia="Arial" w:hAnsi="Arial"/>
          <w:sz w:val="18"/>
          <w:szCs w:val="18"/>
          <w:color w:val="auto"/>
        </w:rPr>
        <w:t>In connection with the Business Combination, the Opco equity holders converted 400,000,000 Opco Class A voting units, 192,453,454 Opco Class B voting units, and 270,270,270 Opco Class C voting units to 189,933,286 shares of</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Class V common stock on a pro rata basis. Additionally, we issued 17,473,362 shares of Class V common stock related to the outstanding Opco incentive units.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Class B Warrant</w:t>
      </w:r>
    </w:p>
    <w:p>
      <w:pPr>
        <w:spacing w:after="0" w:line="239"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On February 19, 2020, Opco issued a warrant to a strategic partner to purchase 15,000,000 of Opco’s Class B voting units (“Class B Warrant”), at an exercise price of $1.00 per unit, exercisable upon issuance, that expires 3 years from issuance.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6, 2021, the strategic partner elected to net exercise its Class B Warrant in exchange for 9,953,454 of Class B voting units.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Class C Warrant</w:t>
      </w:r>
    </w:p>
    <w:p>
      <w:pPr>
        <w:spacing w:after="0" w:line="266"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8"/>
          <w:szCs w:val="18"/>
          <w:color w:val="auto"/>
        </w:rPr>
        <w:t>In May, 2020, Opco issued a warrant to a minority investor to purchase 3,603,600 of Opco’s Class C voting units (“Class C Warrant”), at an exercise price of $1.11 per unit. Refer to Note 10 to our consolidated financial statements included in our Form 10-K where the Class C Warrant is described in detail.</w:t>
      </w:r>
    </w:p>
    <w:p>
      <w:pPr>
        <w:spacing w:after="0" w:line="17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In connection with the Business Combination, the modified warrant units automatically converted into the right to purchase 793,352 Paired Interests in Opco at an exercise price of $5.04 per Paired Interest. As of September 30, 2022, 172,055 modified warrant units have vested but have not been exercised, and the remaining 621,297 warrant units have not vested or been exercised. As of September 30, 2021, no warrant units had vested or been exercised. No expenses were recorded during the three and nine months ended September 30, 2022 and 2021, since the service conditions were not probable of being met in those periods.</w:t>
      </w:r>
    </w:p>
    <w:p>
      <w:pPr>
        <w:spacing w:after="0" w:line="191" w:lineRule="exact"/>
        <w:rPr>
          <w:sz w:val="20"/>
          <w:szCs w:val="20"/>
          <w:color w:val="auto"/>
        </w:rPr>
      </w:pPr>
    </w:p>
    <w:p>
      <w:pPr>
        <w:ind w:right="7560" w:firstLine="8"/>
        <w:spacing w:after="0" w:line="542" w:lineRule="auto"/>
        <w:tabs>
          <w:tab w:leader="none" w:pos="319"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and Unit-Based Compensation 2021 Incentive Plan</w:t>
      </w:r>
    </w:p>
    <w:p>
      <w:pPr>
        <w:spacing w:after="0" w:line="1"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Our 2021 Omnibus Incentive Plan (the “2021 Incentive Plan”) became effective on the Closing Date with the approval of VIH’s shareholders and the Board of Directors. The 2021 Incentive Plan allows us to make equity and equity-based incentive awards to employees, non-employee directors and consultants. There are 25,816,946 shares of Class A common stock reserved for issuance under the 2021 Incentive Plan which can be granted as stock options, stock appreciation rights, restricted shares, restricted stock units (RSUs), performance stock units (PSUs), dividend equivalent rights and other share-based awards. No award may vest earlier than the first anniversary of the date of grant, except under limited conditions.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66"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auto"/>
        </w:rPr>
        <w:t>During the three and nine months ended September 30, 2022, we granted 869,589 and 10,162,061 RSUs, respectively, to employees and directors of Bakkt and Bakkt Trust. During the three and nine months ended September 30, 2022, we granted 225,000 and 5,116,984 PSUs, respectively, which represents 100% of the target award. The majority of these grants were related to initial employment agreements for executives, which were approved by the Compensation Committee of the Board of Directors. We recorded $28.9 million of share-based compensation expense for the nine months ended September 30, 2022, which is included in “Compensation and benefits” in the statements of operations.</w:t>
      </w:r>
    </w:p>
    <w:p>
      <w:pPr>
        <w:spacing w:after="0" w:line="18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8"/>
          <w:szCs w:val="18"/>
          <w:color w:val="auto"/>
        </w:rPr>
        <w:t>Unrecognized compensation expense as of September 30, 2022 was $44.8 million for the RSUs and PSUs. The unrecognized compensation expense will be recognized over a weighted-average period of 2.33 years.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 and PSU Activity</w:t>
      </w:r>
    </w:p>
    <w:p>
      <w:pPr>
        <w:spacing w:after="0" w:line="26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8"/>
          <w:szCs w:val="18"/>
          <w:color w:val="auto"/>
        </w:rPr>
        <w:t>The following tables summarize RSU and PSU activity under the 2021 Incentive Plan for the nine months ended September 30, 2022 (in thousands, except per unit data):</w:t>
      </w:r>
    </w:p>
    <w:p>
      <w:pPr>
        <w:spacing w:after="0" w:line="20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Successor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20" w:type="dxa"/>
            <w:vAlign w:val="bottom"/>
            <w:tcBorders>
              <w:top w:val="single" w:sz="8" w:color="auto"/>
            </w:tcBorders>
          </w:tcPr>
          <w:p>
            <w:pPr>
              <w:spacing w:after="0"/>
              <w:rPr>
                <w:sz w:val="14"/>
                <w:szCs w:val="14"/>
                <w:color w:val="auto"/>
              </w:rPr>
            </w:pPr>
          </w:p>
        </w:tc>
        <w:tc>
          <w:tcPr>
            <w:tcW w:w="242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9"/>
              </w:rPr>
              <w:t>Weighted Average</w:t>
            </w:r>
          </w:p>
        </w:tc>
        <w:tc>
          <w:tcPr>
            <w:tcW w:w="178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4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20" w:type="dxa"/>
            <w:vAlign w:val="bottom"/>
          </w:tcPr>
          <w:p>
            <w:pPr>
              <w:spacing w:after="0"/>
              <w:rPr>
                <w:sz w:val="15"/>
                <w:szCs w:val="15"/>
                <w:color w:val="auto"/>
              </w:rPr>
            </w:pPr>
          </w:p>
        </w:tc>
        <w:tc>
          <w:tcPr>
            <w:tcW w:w="24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Number of RSUs and</w:t>
            </w:r>
          </w:p>
        </w:tc>
        <w:tc>
          <w:tcPr>
            <w:tcW w:w="17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1780" w:type="dxa"/>
            <w:vAlign w:val="bottom"/>
            <w:gridSpan w:val="2"/>
            <w:vMerge w:val="continue"/>
          </w:tcPr>
          <w:p>
            <w:pPr>
              <w:spacing w:after="0"/>
              <w:rPr>
                <w:sz w:val="15"/>
                <w:szCs w:val="15"/>
                <w:color w:val="auto"/>
              </w:rPr>
            </w:pPr>
          </w:p>
        </w:tc>
        <w:tc>
          <w:tcPr>
            <w:tcW w:w="17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1"/>
              </w:rPr>
              <w:t>Aggregate Intrinsic</w:t>
            </w:r>
          </w:p>
        </w:tc>
        <w:tc>
          <w:tcPr>
            <w:tcW w:w="0" w:type="dxa"/>
            <w:vAlign w:val="bottom"/>
          </w:tcPr>
          <w:p>
            <w:pPr>
              <w:spacing w:after="0"/>
              <w:rPr>
                <w:sz w:val="1"/>
                <w:szCs w:val="1"/>
                <w:color w:val="auto"/>
              </w:rPr>
            </w:pPr>
          </w:p>
        </w:tc>
      </w:tr>
      <w:tr>
        <w:trPr>
          <w:trHeight w:val="175"/>
        </w:trPr>
        <w:tc>
          <w:tcPr>
            <w:tcW w:w="342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17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Contractual Term</w:t>
            </w:r>
          </w:p>
        </w:tc>
        <w:tc>
          <w:tcPr>
            <w:tcW w:w="17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6"/>
              </w:rPr>
              <w:t>Grant Date Fair</w:t>
            </w:r>
          </w:p>
        </w:tc>
        <w:tc>
          <w:tcPr>
            <w:tcW w:w="1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2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RSUs and PSUs</w:t>
            </w:r>
          </w:p>
        </w:tc>
        <w:tc>
          <w:tcPr>
            <w:tcW w:w="24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PSUs</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124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91"/>
              </w:rPr>
              <w:t>Value</w:t>
            </w:r>
          </w:p>
        </w:tc>
        <w:tc>
          <w:tcPr>
            <w:tcW w:w="5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2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2,142</w:t>
            </w:r>
          </w:p>
        </w:tc>
        <w:tc>
          <w:tcPr>
            <w:tcW w:w="17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9.18</w:t>
            </w: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Granted</w:t>
            </w:r>
          </w:p>
        </w:tc>
        <w:tc>
          <w:tcPr>
            <w:tcW w:w="2420" w:type="dxa"/>
            <w:vAlign w:val="bottom"/>
          </w:tcPr>
          <w:p>
            <w:pPr>
              <w:jc w:val="right"/>
              <w:ind w:right="110"/>
              <w:spacing w:after="0"/>
              <w:rPr>
                <w:sz w:val="20"/>
                <w:szCs w:val="20"/>
                <w:color w:val="auto"/>
              </w:rPr>
            </w:pPr>
            <w:r>
              <w:rPr>
                <w:rFonts w:ascii="Arial" w:cs="Arial" w:eastAsia="Arial" w:hAnsi="Arial"/>
                <w:sz w:val="18"/>
                <w:szCs w:val="18"/>
                <w:color w:val="auto"/>
              </w:rPr>
              <w:t>15,279</w:t>
            </w:r>
          </w:p>
        </w:tc>
        <w:tc>
          <w:tcPr>
            <w:tcW w:w="1740" w:type="dxa"/>
            <w:vAlign w:val="bottom"/>
          </w:tcPr>
          <w:p>
            <w:pPr>
              <w:spacing w:after="0"/>
              <w:rPr>
                <w:sz w:val="19"/>
                <w:szCs w:val="19"/>
                <w:color w:val="auto"/>
              </w:rPr>
            </w:pPr>
          </w:p>
        </w:tc>
        <w:tc>
          <w:tcPr>
            <w:tcW w:w="124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3.95</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60,322</w:t>
            </w: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(1,040)</w:t>
            </w:r>
          </w:p>
        </w:tc>
        <w:tc>
          <w:tcPr>
            <w:tcW w:w="17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20"/>
              <w:spacing w:after="0"/>
              <w:rPr>
                <w:sz w:val="20"/>
                <w:szCs w:val="20"/>
                <w:color w:val="auto"/>
              </w:rPr>
            </w:pPr>
            <w:r>
              <w:rPr>
                <w:rFonts w:ascii="Arial" w:cs="Arial" w:eastAsia="Arial" w:hAnsi="Arial"/>
                <w:sz w:val="18"/>
                <w:szCs w:val="18"/>
                <w:color w:val="auto"/>
              </w:rPr>
              <w:t>Outstanding as of September 30, 2022</w:t>
            </w:r>
          </w:p>
        </w:tc>
        <w:tc>
          <w:tcPr>
            <w:tcW w:w="2420" w:type="dxa"/>
            <w:vAlign w:val="bottom"/>
          </w:tcPr>
          <w:p>
            <w:pPr>
              <w:jc w:val="right"/>
              <w:ind w:right="110"/>
              <w:spacing w:after="0"/>
              <w:rPr>
                <w:sz w:val="20"/>
                <w:szCs w:val="20"/>
                <w:color w:val="auto"/>
              </w:rPr>
            </w:pPr>
            <w:r>
              <w:rPr>
                <w:rFonts w:ascii="Arial" w:cs="Arial" w:eastAsia="Arial" w:hAnsi="Arial"/>
                <w:sz w:val="18"/>
                <w:szCs w:val="18"/>
                <w:color w:val="auto"/>
              </w:rPr>
              <w:t>16,381</w:t>
            </w:r>
          </w:p>
        </w:tc>
        <w:tc>
          <w:tcPr>
            <w:tcW w:w="1740" w:type="dxa"/>
            <w:vAlign w:val="bottom"/>
          </w:tcPr>
          <w:p>
            <w:pPr>
              <w:jc w:val="right"/>
              <w:spacing w:after="0"/>
              <w:rPr>
                <w:sz w:val="20"/>
                <w:szCs w:val="20"/>
                <w:color w:val="auto"/>
              </w:rPr>
            </w:pPr>
            <w:r>
              <w:rPr>
                <w:rFonts w:ascii="Arial" w:cs="Arial" w:eastAsia="Arial" w:hAnsi="Arial"/>
                <w:sz w:val="18"/>
                <w:szCs w:val="18"/>
                <w:color w:val="auto"/>
              </w:rPr>
              <w:t>2.33</w:t>
            </w:r>
          </w:p>
        </w:tc>
        <w:tc>
          <w:tcPr>
            <w:tcW w:w="124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4.22</w:t>
            </w:r>
          </w:p>
        </w:tc>
        <w:tc>
          <w:tcPr>
            <w:tcW w:w="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as of September 30, 2022</w:t>
            </w:r>
          </w:p>
        </w:tc>
        <w:tc>
          <w:tcPr>
            <w:tcW w:w="2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1,757</w:t>
            </w:r>
          </w:p>
        </w:tc>
        <w:tc>
          <w:tcPr>
            <w:tcW w:w="17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During the nine months ended September 30, 2022, we recorded $1.7 million of share-based compensation expense related to the accelerated vesting for certain employees. The expense was partially offset by the reversal for forfeitures of $0.3 million during the nine months ended September 30, 2022, primarily comprised of $0.2 million related to an executive resignation.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RSUs and PSUs is based on the closing price of our common stock on the grant date.</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Performance stock units provide an opportunity for the recipient to receive a number of shares of our common stock based on our performance during fiscal year 2022, 2023 and 2024, as measured against objective performance goals as determined by the Board. The actual number of units earned may range from 0% to 150% of the target number of units depending upon achievement of the performance goals. PSUs vest in three equal annual installments, subject to a catch-up provision over the three annual performance targets. Upon vesting, each performance stock unit equals one share of common stock of the Company. We accrue compensation expense for the PSUs based on our assessment of the probable outcome of the performance conditions.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Opco Plan</w:t>
      </w:r>
    </w:p>
    <w:p>
      <w:pPr>
        <w:spacing w:after="0" w:line="21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Preferred incentive units and common incentive units (collectively, “incentive units”) represent an ownership interest in Opco and are entitled to receive distributions from Opco, subject to certain vesting conditions. Participation units, issued directly by Opco to Opco Plan participants, do not represent an ownership interest in Opco but rather provide Opco Plan participants the contractual right to participate in the value of Opco, if any through a cash payment upon the occurrence of certain events following vesting of the participation units. Refer to Note 11 to our consolidated financial statements included in our Form 10-K where the modifications to the Opco Plan are described in detail.</w:t>
      </w:r>
    </w:p>
    <w:p>
      <w:pPr>
        <w:spacing w:after="0" w:line="195"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6"/>
          <w:szCs w:val="16"/>
          <w:color w:val="auto"/>
        </w:rPr>
        <w:t>Upon consummation of the Business Combination, the 76,475,000 outstanding preferred incentive units and 23,219,745 outstanding common incentive units were converted into 17,473,362 Successor common incentive units, and the 10,811,502 outstanding participation units were converted into 1,197,250 Successor participation units. Contemporaneously with the conversion, approximately one-third of the awards in the Opco Plan vested. In November 2021, we made total payments of $5.2 million to settle the vested participation units. The second and third one-third tranches will generally vest on the one-year and two-year anniversary date of the closing, respectively, although under the terms of the Opco Plan, employees who are terminated without cause after the Closing Date will vest in the unvested portion of their awards immediately upon their termination date.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Unit-Based Compensation Expense</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Unit-based compensation expense for the nine months ended September 30, 2022, was as follows (in thousands):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9"/>
              </w:rPr>
              <w:t>Statement of</w:t>
            </w:r>
          </w:p>
        </w:tc>
        <w:tc>
          <w:tcPr>
            <w:tcW w:w="1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5"/>
              </w:rPr>
              <w:t>Compensation</w:t>
            </w:r>
          </w:p>
        </w:tc>
        <w:tc>
          <w:tcPr>
            <w:tcW w:w="184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0"/>
              </w:rPr>
              <w:t>Operations and</w:t>
            </w:r>
          </w:p>
        </w:tc>
        <w:tc>
          <w:tcPr>
            <w:tcW w:w="176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Balance Sheet</w:t>
            </w:r>
          </w:p>
        </w:tc>
        <w:tc>
          <w:tcPr>
            <w:tcW w:w="0" w:type="dxa"/>
            <w:vAlign w:val="bottom"/>
          </w:tcPr>
          <w:p>
            <w:pPr>
              <w:spacing w:after="0"/>
              <w:rPr>
                <w:sz w:val="1"/>
                <w:szCs w:val="1"/>
                <w:color w:val="auto"/>
              </w:rPr>
            </w:pPr>
          </w:p>
        </w:tc>
      </w:tr>
      <w:tr>
        <w:trPr>
          <w:trHeight w:val="180"/>
        </w:trPr>
        <w:tc>
          <w:tcPr>
            <w:tcW w:w="5940" w:type="dxa"/>
            <w:vAlign w:val="bottom"/>
            <w:vMerge w:val="restart"/>
          </w:tcPr>
          <w:p>
            <w:pPr>
              <w:ind w:left="2520"/>
              <w:spacing w:after="0"/>
              <w:rPr>
                <w:sz w:val="20"/>
                <w:szCs w:val="20"/>
                <w:color w:val="auto"/>
              </w:rPr>
            </w:pPr>
            <w:r>
              <w:rPr>
                <w:rFonts w:ascii="Arial" w:cs="Arial" w:eastAsia="Arial" w:hAnsi="Arial"/>
                <w:sz w:val="18"/>
                <w:szCs w:val="18"/>
                <w:b w:val="1"/>
                <w:bCs w:val="1"/>
                <w:color w:val="auto"/>
              </w:rPr>
              <w:t>Type of unit</w:t>
            </w: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8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6"/>
              </w:rPr>
              <w:t>Comprehensive Loss</w:t>
            </w: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Expense</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Classification</w:t>
            </w:r>
          </w:p>
        </w:tc>
        <w:tc>
          <w:tcPr>
            <w:tcW w:w="17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Classification</w:t>
            </w:r>
          </w:p>
        </w:tc>
        <w:tc>
          <w:tcPr>
            <w:tcW w:w="0" w:type="dxa"/>
            <w:vAlign w:val="bottom"/>
          </w:tcPr>
          <w:p>
            <w:pPr>
              <w:spacing w:after="0"/>
              <w:rPr>
                <w:sz w:val="1"/>
                <w:szCs w:val="1"/>
                <w:color w:val="auto"/>
              </w:rPr>
            </w:pPr>
          </w:p>
        </w:tc>
      </w:tr>
      <w:tr>
        <w:trPr>
          <w:trHeight w:val="169"/>
        </w:trPr>
        <w:tc>
          <w:tcPr>
            <w:tcW w:w="5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840" w:type="dxa"/>
            <w:vAlign w:val="bottom"/>
            <w:shd w:val="clear" w:color="auto" w:fill="CCEEFF"/>
          </w:tcPr>
          <w:p>
            <w:pPr>
              <w:ind w:left="120"/>
              <w:spacing w:after="0" w:line="169" w:lineRule="exact"/>
              <w:rPr>
                <w:sz w:val="20"/>
                <w:szCs w:val="20"/>
                <w:color w:val="auto"/>
              </w:rPr>
            </w:pPr>
            <w:r>
              <w:rPr>
                <w:rFonts w:ascii="Arial" w:cs="Arial" w:eastAsia="Arial" w:hAnsi="Arial"/>
                <w:sz w:val="18"/>
                <w:szCs w:val="18"/>
                <w:color w:val="auto"/>
              </w:rPr>
              <w:t>Compensation and</w:t>
            </w:r>
          </w:p>
        </w:tc>
        <w:tc>
          <w:tcPr>
            <w:tcW w:w="1760" w:type="dxa"/>
            <w:vAlign w:val="bottom"/>
            <w:shd w:val="clear" w:color="auto" w:fill="CCEEFF"/>
          </w:tcPr>
          <w:p>
            <w:pPr>
              <w:ind w:left="80"/>
              <w:spacing w:after="0" w:line="169" w:lineRule="exact"/>
              <w:rPr>
                <w:sz w:val="20"/>
                <w:szCs w:val="20"/>
                <w:color w:val="auto"/>
              </w:rPr>
            </w:pPr>
            <w:r>
              <w:rPr>
                <w:rFonts w:ascii="Arial" w:cs="Arial" w:eastAsia="Arial" w:hAnsi="Arial"/>
                <w:sz w:val="18"/>
                <w:szCs w:val="18"/>
                <w:color w:val="auto"/>
              </w:rPr>
              <w:t>Noncontrolling</w:t>
            </w: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incentive unit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1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benefits</w:t>
            </w:r>
          </w:p>
        </w:tc>
        <w:tc>
          <w:tcPr>
            <w:tcW w:w="1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w:t>
            </w:r>
          </w:p>
        </w:tc>
        <w:tc>
          <w:tcPr>
            <w:tcW w:w="0" w:type="dxa"/>
            <w:vAlign w:val="bottom"/>
          </w:tcPr>
          <w:p>
            <w:pPr>
              <w:spacing w:after="0"/>
              <w:rPr>
                <w:sz w:val="1"/>
                <w:szCs w:val="1"/>
                <w:color w:val="auto"/>
              </w:rPr>
            </w:pPr>
          </w:p>
        </w:tc>
      </w:tr>
      <w:tr>
        <w:trPr>
          <w:trHeight w:val="176"/>
        </w:trPr>
        <w:tc>
          <w:tcPr>
            <w:tcW w:w="5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40" w:type="dxa"/>
            <w:vAlign w:val="bottom"/>
          </w:tcPr>
          <w:p>
            <w:pPr>
              <w:ind w:left="120"/>
              <w:spacing w:after="0" w:line="176" w:lineRule="exact"/>
              <w:rPr>
                <w:sz w:val="20"/>
                <w:szCs w:val="20"/>
                <w:color w:val="auto"/>
              </w:rPr>
            </w:pPr>
            <w:r>
              <w:rPr>
                <w:rFonts w:ascii="Arial" w:cs="Arial" w:eastAsia="Arial" w:hAnsi="Arial"/>
                <w:sz w:val="18"/>
                <w:szCs w:val="18"/>
                <w:color w:val="auto"/>
              </w:rPr>
              <w:t>Compensation and</w:t>
            </w:r>
          </w:p>
        </w:tc>
        <w:tc>
          <w:tcPr>
            <w:tcW w:w="1760" w:type="dxa"/>
            <w:vAlign w:val="bottom"/>
          </w:tcPr>
          <w:p>
            <w:pPr>
              <w:ind w:left="80"/>
              <w:spacing w:after="0" w:line="176" w:lineRule="exact"/>
              <w:rPr>
                <w:sz w:val="20"/>
                <w:szCs w:val="20"/>
                <w:color w:val="auto"/>
              </w:rPr>
            </w:pPr>
            <w:r>
              <w:rPr>
                <w:rFonts w:ascii="Arial" w:cs="Arial" w:eastAsia="Arial" w:hAnsi="Arial"/>
                <w:sz w:val="18"/>
                <w:szCs w:val="18"/>
                <w:color w:val="auto"/>
              </w:rPr>
              <w:t>Other noncurrent</w:t>
            </w:r>
          </w:p>
        </w:tc>
        <w:tc>
          <w:tcPr>
            <w:tcW w:w="0" w:type="dxa"/>
            <w:vAlign w:val="bottom"/>
          </w:tcPr>
          <w:p>
            <w:pPr>
              <w:spacing w:after="0"/>
              <w:rPr>
                <w:sz w:val="1"/>
                <w:szCs w:val="1"/>
                <w:color w:val="auto"/>
              </w:rPr>
            </w:pPr>
          </w:p>
        </w:tc>
      </w:tr>
      <w:tr>
        <w:trPr>
          <w:trHeight w:val="243"/>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Participation unit</w:t>
            </w: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w:t>
            </w:r>
          </w:p>
        </w:tc>
        <w:tc>
          <w:tcPr>
            <w:tcW w:w="1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benefits</w:t>
            </w:r>
          </w:p>
        </w:tc>
        <w:tc>
          <w:tcPr>
            <w:tcW w:w="17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8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Unit-based compensation expense for the nine months ended September 30, 2021, was as follows (in thousands):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Predecessor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89"/>
              </w:rPr>
              <w:t>Statement of</w:t>
            </w:r>
          </w:p>
        </w:tc>
        <w:tc>
          <w:tcPr>
            <w:tcW w:w="1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5"/>
              </w:rPr>
              <w:t>Compensation</w:t>
            </w:r>
          </w:p>
        </w:tc>
        <w:tc>
          <w:tcPr>
            <w:tcW w:w="18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0"/>
              </w:rPr>
              <w:t>Operations and</w:t>
            </w:r>
          </w:p>
        </w:tc>
        <w:tc>
          <w:tcPr>
            <w:tcW w:w="176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Balance Sheet</w:t>
            </w:r>
          </w:p>
        </w:tc>
        <w:tc>
          <w:tcPr>
            <w:tcW w:w="0" w:type="dxa"/>
            <w:vAlign w:val="bottom"/>
          </w:tcPr>
          <w:p>
            <w:pPr>
              <w:spacing w:after="0"/>
              <w:rPr>
                <w:sz w:val="1"/>
                <w:szCs w:val="1"/>
                <w:color w:val="auto"/>
              </w:rPr>
            </w:pPr>
          </w:p>
        </w:tc>
      </w:tr>
      <w:tr>
        <w:trPr>
          <w:trHeight w:val="175"/>
        </w:trPr>
        <w:tc>
          <w:tcPr>
            <w:tcW w:w="5940" w:type="dxa"/>
            <w:vAlign w:val="bottom"/>
            <w:vMerge w:val="restart"/>
          </w:tcPr>
          <w:p>
            <w:pPr>
              <w:ind w:left="2520"/>
              <w:spacing w:after="0"/>
              <w:rPr>
                <w:sz w:val="20"/>
                <w:szCs w:val="20"/>
                <w:color w:val="auto"/>
              </w:rPr>
            </w:pPr>
            <w:r>
              <w:rPr>
                <w:rFonts w:ascii="Arial" w:cs="Arial" w:eastAsia="Arial" w:hAnsi="Arial"/>
                <w:sz w:val="18"/>
                <w:szCs w:val="18"/>
                <w:b w:val="1"/>
                <w:bCs w:val="1"/>
                <w:color w:val="auto"/>
              </w:rPr>
              <w:t>Type of unit</w:t>
            </w: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6"/>
              </w:rPr>
              <w:t>Comprehensive Loss</w:t>
            </w: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Expense</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Classification</w:t>
            </w:r>
          </w:p>
        </w:tc>
        <w:tc>
          <w:tcPr>
            <w:tcW w:w="17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Classification</w:t>
            </w:r>
          </w:p>
        </w:tc>
        <w:tc>
          <w:tcPr>
            <w:tcW w:w="0" w:type="dxa"/>
            <w:vAlign w:val="bottom"/>
          </w:tcPr>
          <w:p>
            <w:pPr>
              <w:spacing w:after="0"/>
              <w:rPr>
                <w:sz w:val="1"/>
                <w:szCs w:val="1"/>
                <w:color w:val="auto"/>
              </w:rPr>
            </w:pPr>
          </w:p>
        </w:tc>
      </w:tr>
      <w:tr>
        <w:trPr>
          <w:trHeight w:val="182"/>
        </w:trPr>
        <w:tc>
          <w:tcPr>
            <w:tcW w:w="5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84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rPr>
              <w:t>Compensation and</w:t>
            </w: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incentive unit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benefits</w:t>
            </w:r>
          </w:p>
        </w:tc>
        <w:tc>
          <w:tcPr>
            <w:tcW w:w="1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Mezzanine equity</w:t>
            </w:r>
          </w:p>
        </w:tc>
        <w:tc>
          <w:tcPr>
            <w:tcW w:w="0" w:type="dxa"/>
            <w:vAlign w:val="bottom"/>
          </w:tcPr>
          <w:p>
            <w:pPr>
              <w:spacing w:after="0"/>
              <w:rPr>
                <w:sz w:val="1"/>
                <w:szCs w:val="1"/>
                <w:color w:val="auto"/>
              </w:rPr>
            </w:pPr>
          </w:p>
        </w:tc>
      </w:tr>
      <w:tr>
        <w:trPr>
          <w:trHeight w:val="188"/>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40" w:type="dxa"/>
            <w:vAlign w:val="bottom"/>
          </w:tcPr>
          <w:p>
            <w:pPr>
              <w:ind w:left="120"/>
              <w:spacing w:after="0" w:line="189" w:lineRule="exact"/>
              <w:rPr>
                <w:sz w:val="20"/>
                <w:szCs w:val="20"/>
                <w:color w:val="auto"/>
              </w:rPr>
            </w:pPr>
            <w:r>
              <w:rPr>
                <w:rFonts w:ascii="Arial" w:cs="Arial" w:eastAsia="Arial" w:hAnsi="Arial"/>
                <w:sz w:val="18"/>
                <w:szCs w:val="18"/>
                <w:color w:val="auto"/>
              </w:rPr>
              <w:t>Compensation and</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Common incentive unit</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w:t>
            </w:r>
          </w:p>
        </w:tc>
        <w:tc>
          <w:tcPr>
            <w:tcW w:w="1840" w:type="dxa"/>
            <w:vAlign w:val="bottom"/>
          </w:tcPr>
          <w:p>
            <w:pPr>
              <w:ind w:left="120"/>
              <w:spacing w:after="0"/>
              <w:rPr>
                <w:sz w:val="20"/>
                <w:szCs w:val="20"/>
                <w:color w:val="auto"/>
              </w:rPr>
            </w:pPr>
            <w:r>
              <w:rPr>
                <w:rFonts w:ascii="Arial" w:cs="Arial" w:eastAsia="Arial" w:hAnsi="Arial"/>
                <w:sz w:val="18"/>
                <w:szCs w:val="18"/>
                <w:color w:val="auto"/>
              </w:rPr>
              <w:t>benefits</w:t>
            </w:r>
          </w:p>
        </w:tc>
        <w:tc>
          <w:tcPr>
            <w:tcW w:w="1760" w:type="dxa"/>
            <w:vAlign w:val="bottom"/>
          </w:tcPr>
          <w:p>
            <w:pPr>
              <w:ind w:left="80"/>
              <w:spacing w:after="0"/>
              <w:rPr>
                <w:sz w:val="20"/>
                <w:szCs w:val="20"/>
                <w:color w:val="auto"/>
              </w:rPr>
            </w:pPr>
            <w:r>
              <w:rPr>
                <w:rFonts w:ascii="Arial" w:cs="Arial" w:eastAsia="Arial" w:hAnsi="Arial"/>
                <w:sz w:val="18"/>
                <w:szCs w:val="18"/>
                <w:color w:val="auto"/>
              </w:rPr>
              <w:t>Mezzanine equity</w:t>
            </w:r>
          </w:p>
        </w:tc>
        <w:tc>
          <w:tcPr>
            <w:tcW w:w="0" w:type="dxa"/>
            <w:vAlign w:val="bottom"/>
          </w:tcPr>
          <w:p>
            <w:pPr>
              <w:spacing w:after="0"/>
              <w:rPr>
                <w:sz w:val="1"/>
                <w:szCs w:val="1"/>
                <w:color w:val="auto"/>
              </w:rPr>
            </w:pPr>
          </w:p>
        </w:tc>
      </w:tr>
      <w:tr>
        <w:trPr>
          <w:trHeight w:val="188"/>
        </w:trPr>
        <w:tc>
          <w:tcPr>
            <w:tcW w:w="5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8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Compensation and</w:t>
            </w:r>
          </w:p>
        </w:tc>
        <w:tc>
          <w:tcPr>
            <w:tcW w:w="176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Other noncurrent</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Participation unit</w:t>
            </w: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benefits</w:t>
            </w:r>
          </w:p>
        </w:tc>
        <w:tc>
          <w:tcPr>
            <w:tcW w:w="1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3,116</w:t>
            </w:r>
          </w:p>
        </w:tc>
        <w:tc>
          <w:tcPr>
            <w:tcW w:w="18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20" w:firstLine="648"/>
        <w:spacing w:after="0" w:line="377" w:lineRule="auto"/>
        <w:rPr>
          <w:sz w:val="20"/>
          <w:szCs w:val="20"/>
          <w:color w:val="auto"/>
        </w:rPr>
      </w:pPr>
      <w:r>
        <w:rPr>
          <w:rFonts w:ascii="Arial" w:cs="Arial" w:eastAsia="Arial" w:hAnsi="Arial"/>
          <w:sz w:val="16"/>
          <w:szCs w:val="16"/>
          <w:color w:val="auto"/>
        </w:rPr>
        <w:t>Unrecognized compensation expense as of September 30, 2022 was approximately $2.0 million and less than $0.1 million for common incentive units and participation units, respectively. The unrecognized compensation expense will be recognized over a weighted-average period of 1.04 years.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Activity</w:t>
      </w:r>
    </w:p>
    <w:p>
      <w:pPr>
        <w:spacing w:after="0" w:line="26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8"/>
          <w:szCs w:val="18"/>
          <w:color w:val="auto"/>
        </w:rPr>
        <w:t>The following tables summarize common incentive unit activity under the Opco Plan for the nine months ended September 30, 2022 (in thousands, except per unit data):</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Successor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20" w:type="dxa"/>
            <w:vAlign w:val="bottom"/>
            <w:tcBorders>
              <w:top w:val="single" w:sz="8" w:color="auto"/>
            </w:tcBorders>
          </w:tcPr>
          <w:p>
            <w:pPr>
              <w:spacing w:after="0"/>
              <w:rPr>
                <w:sz w:val="14"/>
                <w:szCs w:val="14"/>
                <w:color w:val="auto"/>
              </w:rPr>
            </w:pPr>
          </w:p>
        </w:tc>
        <w:tc>
          <w:tcPr>
            <w:tcW w:w="236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9"/>
              </w:rPr>
              <w:t>Weighted Average</w:t>
            </w:r>
          </w:p>
        </w:tc>
        <w:tc>
          <w:tcPr>
            <w:tcW w:w="1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vMerge w:val="restart"/>
          </w:tcPr>
          <w:p>
            <w:pPr>
              <w:jc w:val="center"/>
              <w:ind w:right="10"/>
              <w:spacing w:after="0"/>
              <w:rPr>
                <w:sz w:val="20"/>
                <w:szCs w:val="20"/>
                <w:color w:val="auto"/>
              </w:rPr>
            </w:pPr>
            <w:r>
              <w:rPr>
                <w:rFonts w:ascii="Arial" w:cs="Arial" w:eastAsia="Arial" w:hAnsi="Arial"/>
                <w:sz w:val="18"/>
                <w:szCs w:val="18"/>
                <w:b w:val="1"/>
                <w:bCs w:val="1"/>
                <w:color w:val="auto"/>
                <w:w w:val="89"/>
              </w:rPr>
              <w:t>Weighted Average</w:t>
            </w: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23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Number of Common</w:t>
            </w:r>
          </w:p>
        </w:tc>
        <w:tc>
          <w:tcPr>
            <w:tcW w:w="1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76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0"/>
              </w:rPr>
              <w:t>Aggregate Intrinsic</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2360" w:type="dxa"/>
            <w:vAlign w:val="bottom"/>
            <w:vMerge w:val="continue"/>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Contractual Term</w:t>
            </w:r>
          </w:p>
        </w:tc>
        <w:tc>
          <w:tcPr>
            <w:tcW w:w="120" w:type="dxa"/>
            <w:vAlign w:val="bottom"/>
          </w:tcPr>
          <w:p>
            <w:pPr>
              <w:spacing w:after="0"/>
              <w:rPr>
                <w:sz w:val="15"/>
                <w:szCs w:val="15"/>
                <w:color w:val="auto"/>
              </w:rPr>
            </w:pPr>
          </w:p>
        </w:tc>
        <w:tc>
          <w:tcPr>
            <w:tcW w:w="154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5"/>
              </w:rPr>
              <w:t>Grant Date Fair</w:t>
            </w:r>
          </w:p>
        </w:tc>
        <w:tc>
          <w:tcPr>
            <w:tcW w:w="17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1240"/>
              <w:spacing w:after="0"/>
              <w:rPr>
                <w:sz w:val="20"/>
                <w:szCs w:val="20"/>
                <w:color w:val="auto"/>
              </w:rPr>
            </w:pPr>
            <w:r>
              <w:rPr>
                <w:rFonts w:ascii="Arial" w:cs="Arial" w:eastAsia="Arial" w:hAnsi="Arial"/>
                <w:sz w:val="18"/>
                <w:szCs w:val="18"/>
                <w:b w:val="1"/>
                <w:bCs w:val="1"/>
                <w:color w:val="auto"/>
              </w:rPr>
              <w:t>Common Incentive Units</w:t>
            </w:r>
          </w:p>
        </w:tc>
        <w:tc>
          <w:tcPr>
            <w:tcW w:w="2360" w:type="dxa"/>
            <w:vAlign w:val="bottom"/>
          </w:tcPr>
          <w:p>
            <w:pPr>
              <w:jc w:val="right"/>
              <w:ind w:right="250"/>
              <w:spacing w:after="0"/>
              <w:rPr>
                <w:sz w:val="20"/>
                <w:szCs w:val="20"/>
                <w:color w:val="auto"/>
              </w:rPr>
            </w:pPr>
            <w:r>
              <w:rPr>
                <w:rFonts w:ascii="Arial" w:cs="Arial" w:eastAsia="Arial" w:hAnsi="Arial"/>
                <w:sz w:val="18"/>
                <w:szCs w:val="18"/>
                <w:b w:val="1"/>
                <w:bCs w:val="1"/>
                <w:color w:val="auto"/>
              </w:rPr>
              <w:t>Incentive Units</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120" w:type="dxa"/>
            <w:vAlign w:val="bottom"/>
          </w:tcPr>
          <w:p>
            <w:pPr>
              <w:spacing w:after="0"/>
              <w:rPr>
                <w:sz w:val="21"/>
                <w:szCs w:val="21"/>
                <w:color w:val="auto"/>
              </w:rPr>
            </w:pPr>
          </w:p>
        </w:tc>
        <w:tc>
          <w:tcPr>
            <w:tcW w:w="15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400" w:type="dxa"/>
            <w:vAlign w:val="bottom"/>
          </w:tcPr>
          <w:p>
            <w:pPr>
              <w:spacing w:after="0"/>
              <w:rPr>
                <w:sz w:val="21"/>
                <w:szCs w:val="21"/>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23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16,339</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40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Granted</w:t>
            </w:r>
          </w:p>
        </w:tc>
        <w:tc>
          <w:tcPr>
            <w:tcW w:w="2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Exchanged</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(7,041)</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2022</w:t>
            </w:r>
          </w:p>
        </w:tc>
        <w:tc>
          <w:tcPr>
            <w:tcW w:w="2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8,985</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Vested as of September 30, 2022</w:t>
            </w:r>
          </w:p>
        </w:tc>
        <w:tc>
          <w:tcPr>
            <w:tcW w:w="2360" w:type="dxa"/>
            <w:vAlign w:val="bottom"/>
          </w:tcPr>
          <w:p>
            <w:pPr>
              <w:jc w:val="right"/>
              <w:ind w:right="50"/>
              <w:spacing w:after="0"/>
              <w:rPr>
                <w:sz w:val="20"/>
                <w:szCs w:val="20"/>
                <w:color w:val="auto"/>
              </w:rPr>
            </w:pPr>
            <w:r>
              <w:rPr>
                <w:rFonts w:ascii="Arial" w:cs="Arial" w:eastAsia="Arial" w:hAnsi="Arial"/>
                <w:sz w:val="18"/>
                <w:szCs w:val="18"/>
                <w:color w:val="auto"/>
              </w:rPr>
              <w:t>11,533</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94,049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7"/>
        </w:trPr>
        <w:tc>
          <w:tcPr>
            <w:tcW w:w="3820" w:type="dxa"/>
            <w:vAlign w:val="bottom"/>
          </w:tcPr>
          <w:p>
            <w:pPr>
              <w:spacing w:after="0"/>
              <w:rPr>
                <w:sz w:val="24"/>
                <w:szCs w:val="24"/>
                <w:color w:val="auto"/>
              </w:rPr>
            </w:pPr>
          </w:p>
        </w:tc>
        <w:tc>
          <w:tcPr>
            <w:tcW w:w="2360" w:type="dxa"/>
            <w:vAlign w:val="bottom"/>
          </w:tcPr>
          <w:p>
            <w:pPr>
              <w:jc w:val="right"/>
              <w:ind w:right="370"/>
              <w:spacing w:after="0"/>
              <w:rPr>
                <w:sz w:val="20"/>
                <w:szCs w:val="20"/>
                <w:color w:val="auto"/>
              </w:rPr>
            </w:pPr>
            <w:r>
              <w:rPr>
                <w:rFonts w:ascii="Arial" w:cs="Arial" w:eastAsia="Arial" w:hAnsi="Arial"/>
                <w:sz w:val="18"/>
                <w:szCs w:val="18"/>
                <w:color w:val="auto"/>
              </w:rPr>
              <w:t>25</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820" w:type="dxa"/>
            <w:vAlign w:val="bottom"/>
            <w:tcBorders>
              <w:bottom w:val="single" w:sz="8" w:color="9A9A9A"/>
            </w:tcBorders>
          </w:tcPr>
          <w:p>
            <w:pPr>
              <w:spacing w:after="0"/>
              <w:rPr>
                <w:sz w:val="7"/>
                <w:szCs w:val="7"/>
                <w:color w:val="auto"/>
              </w:rPr>
            </w:pPr>
          </w:p>
        </w:tc>
        <w:tc>
          <w:tcPr>
            <w:tcW w:w="236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summarize preferred incentive unit and common incentive unit activity under the Opco Plan for the nine months ended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(in thousands, except per unit data):</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Predecessor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20" w:type="dxa"/>
            <w:vAlign w:val="bottom"/>
            <w:tcBorders>
              <w:top w:val="single" w:sz="8" w:color="auto"/>
            </w:tcBorders>
          </w:tcPr>
          <w:p>
            <w:pPr>
              <w:spacing w:after="0"/>
              <w:rPr>
                <w:sz w:val="14"/>
                <w:szCs w:val="14"/>
                <w:color w:val="auto"/>
              </w:rPr>
            </w:pPr>
          </w:p>
        </w:tc>
        <w:tc>
          <w:tcPr>
            <w:tcW w:w="234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9"/>
              </w:rPr>
              <w:t>Weighted Average</w:t>
            </w:r>
          </w:p>
        </w:tc>
        <w:tc>
          <w:tcPr>
            <w:tcW w:w="1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vMerge w:val="restart"/>
          </w:tcPr>
          <w:p>
            <w:pPr>
              <w:ind w:left="1240"/>
              <w:spacing w:after="0"/>
              <w:rPr>
                <w:sz w:val="20"/>
                <w:szCs w:val="20"/>
                <w:color w:val="auto"/>
              </w:rPr>
            </w:pPr>
            <w:r>
              <w:rPr>
                <w:rFonts w:ascii="Arial" w:cs="Arial" w:eastAsia="Arial" w:hAnsi="Arial"/>
                <w:sz w:val="18"/>
                <w:szCs w:val="18"/>
                <w:b w:val="1"/>
                <w:bCs w:val="1"/>
                <w:color w:val="auto"/>
              </w:rPr>
              <w:t>Preferred Incentive Units</w:t>
            </w:r>
          </w:p>
        </w:tc>
        <w:tc>
          <w:tcPr>
            <w:tcW w:w="23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Number of Preferred</w:t>
            </w:r>
          </w:p>
        </w:tc>
        <w:tc>
          <w:tcPr>
            <w:tcW w:w="16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3"/>
              </w:rPr>
              <w:t>Contractual Term</w:t>
            </w:r>
          </w:p>
        </w:tc>
        <w:tc>
          <w:tcPr>
            <w:tcW w:w="120" w:type="dxa"/>
            <w:vAlign w:val="bottom"/>
          </w:tcPr>
          <w:p>
            <w:pPr>
              <w:spacing w:after="0"/>
              <w:rPr>
                <w:sz w:val="16"/>
                <w:szCs w:val="16"/>
                <w:color w:val="auto"/>
              </w:rPr>
            </w:pPr>
          </w:p>
        </w:tc>
        <w:tc>
          <w:tcPr>
            <w:tcW w:w="15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5"/>
              </w:rPr>
              <w:t>Grant Date Fair</w:t>
            </w:r>
          </w:p>
        </w:tc>
        <w:tc>
          <w:tcPr>
            <w:tcW w:w="174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0"/>
              </w:rPr>
              <w:t>Aggregate Intrinsic</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vMerge w:val="continue"/>
          </w:tcPr>
          <w:p>
            <w:pPr>
              <w:spacing w:after="0"/>
              <w:rPr>
                <w:sz w:val="19"/>
                <w:szCs w:val="19"/>
                <w:color w:val="auto"/>
              </w:rPr>
            </w:pPr>
          </w:p>
        </w:tc>
        <w:tc>
          <w:tcPr>
            <w:tcW w:w="2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Incentive Units</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2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76,475</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88,711</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Granted</w:t>
            </w:r>
          </w:p>
        </w:tc>
        <w:tc>
          <w:tcPr>
            <w:tcW w:w="2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Outstanding as of September 30, 2021</w:t>
            </w:r>
          </w:p>
        </w:tc>
        <w:tc>
          <w:tcPr>
            <w:tcW w:w="2340" w:type="dxa"/>
            <w:vAlign w:val="bottom"/>
          </w:tcPr>
          <w:p>
            <w:pPr>
              <w:jc w:val="right"/>
              <w:ind w:right="30"/>
              <w:spacing w:after="0"/>
              <w:rPr>
                <w:sz w:val="20"/>
                <w:szCs w:val="20"/>
                <w:color w:val="auto"/>
              </w:rPr>
            </w:pPr>
            <w:r>
              <w:rPr>
                <w:rFonts w:ascii="Arial" w:cs="Arial" w:eastAsia="Arial" w:hAnsi="Arial"/>
                <w:sz w:val="18"/>
                <w:szCs w:val="18"/>
                <w:color w:val="auto"/>
              </w:rPr>
              <w:t>76,475</w:t>
            </w:r>
          </w:p>
        </w:tc>
        <w:tc>
          <w:tcPr>
            <w:tcW w:w="164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0.42</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141,058</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as of September 30, 2021</w:t>
            </w:r>
          </w:p>
        </w:tc>
        <w:tc>
          <w:tcPr>
            <w:tcW w:w="2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10"/>
        </w:trPr>
        <w:tc>
          <w:tcPr>
            <w:tcW w:w="38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Predecessor</w:t>
            </w:r>
          </w:p>
        </w:tc>
        <w:tc>
          <w:tcPr>
            <w:tcW w:w="1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4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9"/>
              </w:rPr>
              <w:t>Weighted Average</w:t>
            </w:r>
          </w:p>
        </w:tc>
        <w:tc>
          <w:tcPr>
            <w:tcW w:w="120" w:type="dxa"/>
            <w:vAlign w:val="bottom"/>
          </w:tcPr>
          <w:p>
            <w:pPr>
              <w:spacing w:after="0"/>
              <w:rPr>
                <w:sz w:val="14"/>
                <w:szCs w:val="14"/>
                <w:color w:val="auto"/>
              </w:rPr>
            </w:pPr>
          </w:p>
        </w:tc>
        <w:tc>
          <w:tcPr>
            <w:tcW w:w="15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9"/>
              </w:rPr>
              <w:t>Weighted Average</w:t>
            </w: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2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Number of Common</w:t>
            </w:r>
          </w:p>
        </w:tc>
        <w:tc>
          <w:tcPr>
            <w:tcW w:w="1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7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1"/>
              </w:rPr>
              <w:t>Aggregate Intrinsic</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2340" w:type="dxa"/>
            <w:vAlign w:val="bottom"/>
            <w:vMerge w:val="continue"/>
          </w:tcPr>
          <w:p>
            <w:pPr>
              <w:spacing w:after="0"/>
              <w:rPr>
                <w:sz w:val="15"/>
                <w:szCs w:val="15"/>
                <w:color w:val="auto"/>
              </w:rPr>
            </w:pPr>
          </w:p>
        </w:tc>
        <w:tc>
          <w:tcPr>
            <w:tcW w:w="164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2"/>
              </w:rPr>
              <w:t>Contractual Term</w:t>
            </w:r>
          </w:p>
        </w:tc>
        <w:tc>
          <w:tcPr>
            <w:tcW w:w="120" w:type="dxa"/>
            <w:vAlign w:val="bottom"/>
          </w:tcPr>
          <w:p>
            <w:pPr>
              <w:spacing w:after="0"/>
              <w:rPr>
                <w:sz w:val="15"/>
                <w:szCs w:val="15"/>
                <w:color w:val="auto"/>
              </w:rPr>
            </w:pPr>
          </w:p>
        </w:tc>
        <w:tc>
          <w:tcPr>
            <w:tcW w:w="15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5"/>
              </w:rPr>
              <w:t>Grant Date Fair</w:t>
            </w:r>
          </w:p>
        </w:tc>
        <w:tc>
          <w:tcPr>
            <w:tcW w:w="1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Common Incentive Units</w:t>
            </w:r>
          </w:p>
        </w:tc>
        <w:tc>
          <w:tcPr>
            <w:tcW w:w="2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Incentive Units</w:t>
            </w:r>
          </w:p>
        </w:tc>
        <w:tc>
          <w:tcPr>
            <w:tcW w:w="16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(years)</w:t>
            </w: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2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26,833</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25,760</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Granted</w:t>
            </w:r>
          </w:p>
        </w:tc>
        <w:tc>
          <w:tcPr>
            <w:tcW w:w="2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Outstanding as of September 30, 2021</w:t>
            </w:r>
          </w:p>
        </w:tc>
        <w:tc>
          <w:tcPr>
            <w:tcW w:w="2340" w:type="dxa"/>
            <w:vAlign w:val="bottom"/>
          </w:tcPr>
          <w:p>
            <w:pPr>
              <w:jc w:val="right"/>
              <w:ind w:right="50"/>
              <w:spacing w:after="0"/>
              <w:rPr>
                <w:sz w:val="20"/>
                <w:szCs w:val="20"/>
                <w:color w:val="auto"/>
              </w:rPr>
            </w:pPr>
            <w:r>
              <w:rPr>
                <w:rFonts w:ascii="Arial" w:cs="Arial" w:eastAsia="Arial" w:hAnsi="Arial"/>
                <w:sz w:val="18"/>
                <w:szCs w:val="18"/>
                <w:color w:val="auto"/>
              </w:rPr>
              <w:t>26,833</w:t>
            </w:r>
          </w:p>
        </w:tc>
        <w:tc>
          <w:tcPr>
            <w:tcW w:w="164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0.43</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25,760</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as of September 30, 2021</w:t>
            </w:r>
          </w:p>
        </w:tc>
        <w:tc>
          <w:tcPr>
            <w:tcW w:w="2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There were no participation units granted during the three and nine months ended September 30, 2022. There were less than 0.1 million participation units granted during the nine months ended September 30, 2021. As of September 30, 2022 and December 31, 2021, the total number of participation units outstanding were 0.5 million and 0.7 million, respectively. The fair value of the participation units as of September 30, 2022 and December 31, 2021 was 1.2 million and 4.1 million, respectively. Participation units are settled in cash and the balance is recorded within other current liabilities and other noncurrent liabilities as described in Note 5.</w:t>
      </w:r>
    </w:p>
    <w:p>
      <w:pPr>
        <w:spacing w:after="0" w:line="178"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The outstanding units under the Opco Plan were issued prior to the Business Combination and the plan was frozen upon execution of the merger agreement. No future units can be granted under this plan.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Fair Value</w:t>
      </w:r>
    </w:p>
    <w:p>
      <w:pPr>
        <w:spacing w:after="0" w:line="2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The fair value of incentive and participation units granted is calculated through a Monte Carlo simulation based on various outcomes. Opco determined that a Monte Carlo simulation was an appropriate estimation model because of the market conditions associated with the vesting of the units. The determination of the fair value of the units is affected by Opco’s stock price and certain assumptions such as Opco’s expected stock price volatility over the term of the units, risk-free interest rates, and expected dividends, which are determined as follows:</w:t>
      </w:r>
    </w:p>
    <w:p>
      <w:pPr>
        <w:spacing w:after="0" w:line="19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Expected term – The expected term represents the period that a unit is expected to be outstanding.</w:t>
      </w:r>
    </w:p>
    <w:p>
      <w:pPr>
        <w:spacing w:after="0" w:line="252" w:lineRule="exact"/>
        <w:rPr>
          <w:rFonts w:ascii="Arial" w:cs="Arial" w:eastAsia="Arial" w:hAnsi="Arial"/>
          <w:sz w:val="18"/>
          <w:szCs w:val="18"/>
          <w:color w:val="auto"/>
        </w:rPr>
      </w:pPr>
    </w:p>
    <w:p>
      <w:pPr>
        <w:ind w:left="660" w:right="20" w:hanging="328"/>
        <w:spacing w:after="0" w:line="324"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Volatility – Opco has limited historical data available to derive its own stock price volatility. As such, Opco estimates stock price volatility based on the average historic price volatility of comparable public industry peers.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line="324" w:lineRule="auto"/>
        <w:tabs>
          <w:tab w:leader="none" w:pos="6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Risk-free interest rate – The risk-free rate is based on the U.S. Treasury yield curve in effect on the grant date for securities with similar expected terms to the term of Opco’s incentive units.</w:t>
      </w:r>
    </w:p>
    <w:p>
      <w:pPr>
        <w:spacing w:after="0" w:line="156" w:lineRule="exact"/>
        <w:rPr>
          <w:rFonts w:ascii="Arial" w:cs="Arial" w:eastAsia="Arial" w:hAnsi="Arial"/>
          <w:sz w:val="18"/>
          <w:szCs w:val="18"/>
          <w:color w:val="auto"/>
        </w:rPr>
      </w:pPr>
    </w:p>
    <w:p>
      <w:pPr>
        <w:ind w:left="660" w:hanging="328"/>
        <w:spacing w:after="0" w:line="324" w:lineRule="auto"/>
        <w:tabs>
          <w:tab w:leader="none" w:pos="6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Expected dividends – Expected dividends is assumed to be zero as Opco has not paid and does not expect to pay cash dividends or non-liquidating distributions.</w:t>
      </w:r>
    </w:p>
    <w:p>
      <w:pPr>
        <w:spacing w:after="0" w:line="156" w:lineRule="exact"/>
        <w:rPr>
          <w:rFonts w:ascii="Arial" w:cs="Arial" w:eastAsia="Arial" w:hAnsi="Arial"/>
          <w:sz w:val="18"/>
          <w:szCs w:val="18"/>
          <w:color w:val="auto"/>
        </w:rPr>
      </w:pPr>
    </w:p>
    <w:p>
      <w:pPr>
        <w:ind w:left="660" w:hanging="328"/>
        <w:spacing w:after="0" w:line="324" w:lineRule="auto"/>
        <w:tabs>
          <w:tab w:leader="none" w:pos="6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Discount for lack of marketability – an estimated two-year time to exit Predecessor awards and the six-month lock-up restriction on Successor awards is reflected as a discount for lack of marketability estimated using the Finnerty model.</w:t>
      </w:r>
    </w:p>
    <w:p>
      <w:pPr>
        <w:spacing w:after="0" w:line="152"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Basic earnings per share is based on the weighted average number of shares of Class A common stock issued and outstanding during the Successor period. Diluted earnings per share is based on the weighted average number shares of Class A common stock issued and outstanding and the effect of all dilutive common stock equivalents and potentially dilutive share-based awards outstanding during the Successor period. For the Successor period, there is no difference in the number of shares used to calculate basic and diluted shares outstanding due to our net loss position. The potentially dilutive securities that would be anti-dilutive due to our net loss are not included in the calculation of diluted net loss per share attributable to controlling interest.</w:t>
      </w:r>
    </w:p>
    <w:p>
      <w:pPr>
        <w:spacing w:after="0" w:line="19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The following is a reconciliation of the denominators of the basic and diluted per share computations for net loss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Successor</w:t>
            </w:r>
          </w:p>
        </w:tc>
        <w:tc>
          <w:tcPr>
            <w:tcW w:w="220" w:type="dxa"/>
            <w:vAlign w:val="bottom"/>
          </w:tcPr>
          <w:p>
            <w:pPr>
              <w:spacing w:after="0"/>
              <w:rPr>
                <w:sz w:val="20"/>
                <w:szCs w:val="20"/>
                <w:color w:val="auto"/>
              </w:rPr>
            </w:pPr>
          </w:p>
        </w:tc>
        <w:tc>
          <w:tcPr>
            <w:tcW w:w="2040" w:type="dxa"/>
            <w:vAlign w:val="bottom"/>
          </w:tcPr>
          <w:p>
            <w:pPr>
              <w:jc w:val="center"/>
              <w:ind w:right="130"/>
              <w:spacing w:after="0"/>
              <w:rPr>
                <w:sz w:val="20"/>
                <w:szCs w:val="20"/>
                <w:color w:val="auto"/>
              </w:rPr>
            </w:pPr>
            <w:r>
              <w:rPr>
                <w:rFonts w:ascii="Arial" w:cs="Arial" w:eastAsia="Arial" w:hAnsi="Arial"/>
                <w:sz w:val="18"/>
                <w:szCs w:val="18"/>
                <w:b w:val="1"/>
                <w:bCs w:val="1"/>
                <w:color w:val="auto"/>
                <w:w w:val="81"/>
              </w:rPr>
              <w:t>Successor</w:t>
            </w:r>
          </w:p>
        </w:tc>
      </w:tr>
      <w:tr>
        <w:trPr>
          <w:trHeight w:val="169"/>
        </w:trPr>
        <w:tc>
          <w:tcPr>
            <w:tcW w:w="66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91"/>
              </w:rPr>
              <w:t>Nine Months Ended</w:t>
            </w:r>
          </w:p>
        </w:tc>
      </w:tr>
      <w:tr>
        <w:trPr>
          <w:trHeight w:val="236"/>
        </w:trPr>
        <w:tc>
          <w:tcPr>
            <w:tcW w:w="6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 2022</w:t>
            </w:r>
          </w:p>
        </w:tc>
        <w:tc>
          <w:tcPr>
            <w:tcW w:w="220" w:type="dxa"/>
            <w:vAlign w:val="bottom"/>
          </w:tcPr>
          <w:p>
            <w:pPr>
              <w:spacing w:after="0"/>
              <w:rPr>
                <w:sz w:val="20"/>
                <w:szCs w:val="20"/>
                <w:color w:val="auto"/>
              </w:rPr>
            </w:pPr>
          </w:p>
        </w:tc>
        <w:tc>
          <w:tcPr>
            <w:tcW w:w="20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September 30, 2022</w:t>
            </w:r>
          </w:p>
        </w:tc>
      </w:tr>
      <w:tr>
        <w:trPr>
          <w:trHeight w:val="211"/>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Net Loss per share:</w:t>
            </w:r>
          </w:p>
        </w:tc>
        <w:tc>
          <w:tcPr>
            <w:tcW w:w="22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r>
      <w:tr>
        <w:trPr>
          <w:trHeight w:val="234"/>
        </w:trPr>
        <w:tc>
          <w:tcPr>
            <w:tcW w:w="6600" w:type="dxa"/>
            <w:vAlign w:val="bottom"/>
          </w:tcPr>
          <w:p>
            <w:pPr>
              <w:ind w:left="140"/>
              <w:spacing w:after="0"/>
              <w:rPr>
                <w:sz w:val="20"/>
                <w:szCs w:val="20"/>
                <w:color w:val="auto"/>
              </w:rPr>
            </w:pPr>
            <w:r>
              <w:rPr>
                <w:rFonts w:ascii="Arial" w:cs="Arial" w:eastAsia="Arial" w:hAnsi="Arial"/>
                <w:sz w:val="18"/>
                <w:szCs w:val="18"/>
                <w:b w:val="1"/>
                <w:bCs w:val="1"/>
                <w:color w:val="auto"/>
              </w:rPr>
              <w:t>Numerator – basic and diluted:</w:t>
            </w: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30"/>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(1,592,548)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(1,663,509)</w:t>
            </w:r>
          </w:p>
        </w:tc>
      </w:tr>
      <w:tr>
        <w:trPr>
          <w:trHeight w:val="230"/>
        </w:trPr>
        <w:tc>
          <w:tcPr>
            <w:tcW w:w="6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Net loss attributable to noncontrolling interest</w:t>
            </w: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(1,124,416)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(1,184,352)</w:t>
            </w:r>
          </w:p>
        </w:tc>
      </w:tr>
      <w:tr>
        <w:trPr>
          <w:trHeight w:val="223"/>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Bakkt Holdings, Inc. – basic</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(479,157)</w:t>
            </w:r>
          </w:p>
        </w:tc>
      </w:tr>
      <w:tr>
        <w:trPr>
          <w:trHeight w:val="230"/>
        </w:trPr>
        <w:tc>
          <w:tcPr>
            <w:tcW w:w="6600" w:type="dxa"/>
            <w:vAlign w:val="bottom"/>
          </w:tcPr>
          <w:p>
            <w:pPr>
              <w:ind w:left="360"/>
              <w:spacing w:after="0"/>
              <w:rPr>
                <w:sz w:val="20"/>
                <w:szCs w:val="20"/>
                <w:color w:val="auto"/>
              </w:rPr>
            </w:pPr>
            <w:r>
              <w:rPr>
                <w:rFonts w:ascii="Arial" w:cs="Arial" w:eastAsia="Arial" w:hAnsi="Arial"/>
                <w:sz w:val="18"/>
                <w:szCs w:val="18"/>
                <w:color w:val="auto"/>
              </w:rPr>
              <w:t>Net loss and tax effect attributable to noncontrolling interests</w:t>
            </w:r>
          </w:p>
        </w:tc>
        <w:tc>
          <w:tcPr>
            <w:tcW w:w="220" w:type="dxa"/>
            <w:vAlign w:val="bottom"/>
          </w:tcPr>
          <w:p>
            <w:pPr>
              <w:spacing w:after="0"/>
              <w:rPr>
                <w:sz w:val="19"/>
                <w:szCs w:val="19"/>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 attributable to Bakkt Holdings, Inc. – diluted</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(468,132)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(479,157)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30"/>
        </w:trPr>
        <w:tc>
          <w:tcPr>
            <w:tcW w:w="66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Denominator – basic and diluted:</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0"/>
        </w:trPr>
        <w:tc>
          <w:tcPr>
            <w:tcW w:w="6600" w:type="dxa"/>
            <w:vAlign w:val="bottom"/>
          </w:tcPr>
          <w:p>
            <w:pPr>
              <w:ind w:left="360"/>
              <w:spacing w:after="0"/>
              <w:rPr>
                <w:sz w:val="20"/>
                <w:szCs w:val="20"/>
                <w:color w:val="auto"/>
              </w:rPr>
            </w:pPr>
            <w:r>
              <w:rPr>
                <w:rFonts w:ascii="Arial" w:cs="Arial" w:eastAsia="Arial" w:hAnsi="Arial"/>
                <w:sz w:val="18"/>
                <w:szCs w:val="18"/>
                <w:color w:val="auto"/>
              </w:rPr>
              <w:t>Weighted average shares outstanding – basic</w:t>
            </w: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76,591,676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68,408,530</w:t>
            </w:r>
          </w:p>
        </w:tc>
      </w:tr>
      <w:tr>
        <w:trPr>
          <w:trHeight w:val="270"/>
        </w:trPr>
        <w:tc>
          <w:tcPr>
            <w:tcW w:w="6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r>
      <w:tr>
        <w:trPr>
          <w:trHeight w:val="230"/>
        </w:trPr>
        <w:tc>
          <w:tcPr>
            <w:tcW w:w="6600" w:type="dxa"/>
            <w:vAlign w:val="bottom"/>
          </w:tcPr>
          <w:p>
            <w:pPr>
              <w:ind w:left="360"/>
              <w:spacing w:after="0"/>
              <w:rPr>
                <w:sz w:val="20"/>
                <w:szCs w:val="20"/>
                <w:color w:val="auto"/>
              </w:rPr>
            </w:pPr>
            <w:r>
              <w:rPr>
                <w:rFonts w:ascii="Arial" w:cs="Arial" w:eastAsia="Arial" w:hAnsi="Arial"/>
                <w:sz w:val="18"/>
                <w:szCs w:val="18"/>
                <w:color w:val="auto"/>
              </w:rPr>
              <w:t>Weighted average shares outstanding – diluted</w:t>
            </w:r>
          </w:p>
        </w:tc>
        <w:tc>
          <w:tcPr>
            <w:tcW w:w="2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76,591,676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68,408,530</w:t>
            </w:r>
          </w:p>
        </w:tc>
      </w:tr>
      <w:tr>
        <w:trPr>
          <w:trHeight w:val="270"/>
        </w:trPr>
        <w:tc>
          <w:tcPr>
            <w:tcW w:w="6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r>
      <w:tr>
        <w:trPr>
          <w:trHeight w:val="229"/>
        </w:trPr>
        <w:tc>
          <w:tcPr>
            <w:tcW w:w="6600" w:type="dxa"/>
            <w:vAlign w:val="bottom"/>
          </w:tcPr>
          <w:p>
            <w:pPr>
              <w:ind w:left="360"/>
              <w:spacing w:after="0"/>
              <w:rPr>
                <w:sz w:val="20"/>
                <w:szCs w:val="20"/>
                <w:color w:val="auto"/>
              </w:rPr>
            </w:pPr>
            <w:r>
              <w:rPr>
                <w:rFonts w:ascii="Arial" w:cs="Arial" w:eastAsia="Arial" w:hAnsi="Arial"/>
                <w:sz w:val="18"/>
                <w:szCs w:val="18"/>
                <w:color w:val="auto"/>
              </w:rPr>
              <w:t>Net loss per share – 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per share – diluted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bl>
    <w:p>
      <w:pPr>
        <w:spacing w:after="0" w:line="31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Potential common shares issuable to employees or directors upon exercise or conversion of shares under our share-based and unit-based compensation plans and upon exercise of warrants are excluded from the computation of diluted earnings per common share when the effect would be anti-dilutive.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total potential common shares excluded from diluted loss per common share as their effect would be anti-</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dilutive: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Successor</w:t>
            </w:r>
          </w:p>
        </w:tc>
      </w:tr>
      <w:tr>
        <w:trPr>
          <w:trHeight w:val="169"/>
        </w:trPr>
        <w:tc>
          <w:tcPr>
            <w:tcW w:w="9680" w:type="dxa"/>
            <w:vAlign w:val="bottom"/>
          </w:tcPr>
          <w:p>
            <w:pPr>
              <w:spacing w:after="0"/>
              <w:rPr>
                <w:sz w:val="14"/>
                <w:szCs w:val="14"/>
                <w:color w:val="auto"/>
              </w:rPr>
            </w:pPr>
          </w:p>
        </w:tc>
        <w:tc>
          <w:tcPr>
            <w:tcW w:w="15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8"/>
              </w:rPr>
              <w:t>As of</w:t>
            </w:r>
          </w:p>
        </w:tc>
      </w:tr>
      <w:tr>
        <w:trPr>
          <w:trHeight w:val="239"/>
        </w:trPr>
        <w:tc>
          <w:tcPr>
            <w:tcW w:w="96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September 30, 2022</w:t>
            </w:r>
          </w:p>
        </w:tc>
      </w:tr>
      <w:tr>
        <w:trPr>
          <w:trHeight w:val="227"/>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and PSUs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14,624,007</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Public warrants</w:t>
            </w:r>
          </w:p>
        </w:tc>
        <w:tc>
          <w:tcPr>
            <w:tcW w:w="1560" w:type="dxa"/>
            <w:vAlign w:val="bottom"/>
          </w:tcPr>
          <w:p>
            <w:pPr>
              <w:jc w:val="right"/>
              <w:spacing w:after="0"/>
              <w:rPr>
                <w:sz w:val="20"/>
                <w:szCs w:val="20"/>
                <w:color w:val="auto"/>
              </w:rPr>
            </w:pPr>
            <w:r>
              <w:rPr>
                <w:rFonts w:ascii="Arial" w:cs="Arial" w:eastAsia="Arial" w:hAnsi="Arial"/>
                <w:sz w:val="18"/>
                <w:szCs w:val="18"/>
                <w:color w:val="auto"/>
              </w:rPr>
              <w:t>7,140,808</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Opco warrants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793,352</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Opco unvested incentive units</w:t>
            </w:r>
          </w:p>
        </w:tc>
        <w:tc>
          <w:tcPr>
            <w:tcW w:w="1560" w:type="dxa"/>
            <w:vAlign w:val="bottom"/>
          </w:tcPr>
          <w:p>
            <w:pPr>
              <w:jc w:val="right"/>
              <w:spacing w:after="0"/>
              <w:rPr>
                <w:sz w:val="20"/>
                <w:szCs w:val="20"/>
                <w:color w:val="auto"/>
              </w:rPr>
            </w:pPr>
            <w:r>
              <w:rPr>
                <w:rFonts w:ascii="Arial" w:cs="Arial" w:eastAsia="Arial" w:hAnsi="Arial"/>
                <w:sz w:val="18"/>
                <w:szCs w:val="18"/>
                <w:color w:val="auto"/>
              </w:rPr>
              <w:t>4,492,674</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Opco common units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181,860,169</w:t>
            </w:r>
          </w:p>
        </w:tc>
      </w:tr>
      <w:tr>
        <w:trPr>
          <w:trHeight w:val="223"/>
        </w:trPr>
        <w:tc>
          <w:tcPr>
            <w:tcW w:w="9680" w:type="dxa"/>
            <w:vAlign w:val="bottom"/>
          </w:tcPr>
          <w:p>
            <w:pPr>
              <w:ind w:left="2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208,911,010</w:t>
            </w:r>
          </w:p>
        </w:tc>
      </w:tr>
      <w:tr>
        <w:trPr>
          <w:trHeight w:val="21"/>
        </w:trPr>
        <w:tc>
          <w:tcPr>
            <w:tcW w:w="9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Capital Requirements</w:t>
      </w:r>
    </w:p>
    <w:p>
      <w:pPr>
        <w:spacing w:after="0" w:line="252" w:lineRule="exact"/>
        <w:rPr>
          <w:sz w:val="20"/>
          <w:szCs w:val="20"/>
          <w:color w:val="auto"/>
        </w:rPr>
      </w:pPr>
    </w:p>
    <w:p>
      <w:pPr>
        <w:jc w:val="both"/>
        <w:ind w:firstLine="648"/>
        <w:spacing w:after="0" w:line="325" w:lineRule="auto"/>
        <w:rPr>
          <w:sz w:val="20"/>
          <w:szCs w:val="20"/>
          <w:color w:val="auto"/>
        </w:rPr>
      </w:pPr>
      <w:r>
        <w:rPr>
          <w:rFonts w:ascii="Arial" w:cs="Arial" w:eastAsia="Arial" w:hAnsi="Arial"/>
          <w:sz w:val="17"/>
          <w:szCs w:val="17"/>
          <w:b w:val="1"/>
          <w:bCs w:val="1"/>
          <w:color w:val="auto"/>
        </w:rPr>
        <w:t xml:space="preserve">Bakkt Trust </w:t>
      </w:r>
      <w:r>
        <w:rPr>
          <w:rFonts w:ascii="Arial" w:cs="Arial" w:eastAsia="Arial" w:hAnsi="Arial"/>
          <w:sz w:val="17"/>
          <w:szCs w:val="17"/>
          <w:color w:val="auto"/>
        </w:rPr>
        <w:t>is subject to certain regulatory capital requirements imposed by the New York State Department of Financial Services ("NYDFS").</w:t>
      </w:r>
      <w:r>
        <w:rPr>
          <w:rFonts w:ascii="Arial" w:cs="Arial" w:eastAsia="Arial" w:hAnsi="Arial"/>
          <w:sz w:val="17"/>
          <w:szCs w:val="17"/>
          <w:b w:val="1"/>
          <w:bCs w:val="1"/>
          <w:color w:val="auto"/>
        </w:rPr>
        <w:t xml:space="preserve"> </w:t>
      </w:r>
      <w:r>
        <w:rPr>
          <w:rFonts w:ascii="Arial" w:cs="Arial" w:eastAsia="Arial" w:hAnsi="Arial"/>
          <w:sz w:val="17"/>
          <w:szCs w:val="17"/>
          <w:color w:val="auto"/>
        </w:rPr>
        <w:t>These capital requirements require Bakkt Trust to maintain positive net worth at the greater of $15.0 million or the sum of the required percentage established for transmitted assets, cold wallet, and hot wallet custody assets. As of September 30, 2022 and 2021, Bakkt Trust had determined that $16.5 million, respectively should be set aside to satisfy these, which is reflected as “Restricted cash” in the balance sheets.</w:t>
      </w:r>
    </w:p>
    <w:p>
      <w:pPr>
        <w:spacing w:after="0" w:line="1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8"/>
          <w:szCs w:val="18"/>
          <w:b w:val="1"/>
          <w:bCs w:val="1"/>
          <w:color w:val="auto"/>
        </w:rPr>
        <w:t xml:space="preserve">Bakkt Clearing </w:t>
      </w:r>
      <w:r>
        <w:rPr>
          <w:rFonts w:ascii="Arial" w:cs="Arial" w:eastAsia="Arial" w:hAnsi="Arial"/>
          <w:sz w:val="18"/>
          <w:szCs w:val="18"/>
          <w:color w:val="auto"/>
        </w:rPr>
        <w:t>was registered as a futures commission merchant (“FCM”) with the Commodity Futures Trading Commission (“CFTC”) and was</w:t>
      </w:r>
      <w:r>
        <w:rPr>
          <w:rFonts w:ascii="Arial" w:cs="Arial" w:eastAsia="Arial" w:hAnsi="Arial"/>
          <w:sz w:val="18"/>
          <w:szCs w:val="18"/>
          <w:b w:val="1"/>
          <w:bCs w:val="1"/>
          <w:color w:val="auto"/>
        </w:rPr>
        <w:t xml:space="preserve"> </w:t>
      </w:r>
      <w:r>
        <w:rPr>
          <w:rFonts w:ascii="Arial" w:cs="Arial" w:eastAsia="Arial" w:hAnsi="Arial"/>
          <w:sz w:val="18"/>
          <w:szCs w:val="18"/>
          <w:color w:val="auto"/>
        </w:rPr>
        <w:t>a member of the National Futures Association (“NFA”). Bakkt Clearing was subject to CFTC Regulation 1.17, and the NFA capital requirements. Under these requirements, it was generally required to maintain “adjusted net capital” equivalent to the greater of $1.0 million or the sum of 8 percent of customer and noncustomer risk maintenance margin requirements on all positions, as defined. On May 20, 2022, we withdrew Bakkt Clearing's registration in the CFTC and membership in the NFA, which was effective on June 20, 2022. Accordingly, as of September 30, 2022 Bakkt Clearing no longer was required to maintain capital under the rules described above.</w:t>
      </w:r>
    </w:p>
    <w:p>
      <w:pPr>
        <w:spacing w:after="0" w:line="19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b w:val="1"/>
          <w:bCs w:val="1"/>
          <w:color w:val="auto"/>
        </w:rPr>
        <w:t xml:space="preserve">Bakkt Marketplace, LLC ("Bakkt Marketplace") </w:t>
      </w:r>
      <w:r>
        <w:rPr>
          <w:rFonts w:ascii="Arial" w:cs="Arial" w:eastAsia="Arial" w:hAnsi="Arial"/>
          <w:sz w:val="18"/>
          <w:szCs w:val="18"/>
          <w:color w:val="auto"/>
        </w:rPr>
        <w:t>is required to maintain tangible net worth of a minimum amount due to several states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adopting the Model Money Transmission Modernization Act. Tangible net worth as defined by regulatory bodies is the aggregate assets of a licensee excluding all intangible assets, less liabilities. In addition to the tangible net worth requirement, Bakkt Marketplace is also required to maintain tangible member's equity of a minimum amount, plus the amount of customer funds held in transit since it holds a number of money transmitter licenses </w:t>
      </w:r>
      <w:r>
        <w:rPr>
          <w:rFonts w:ascii="Arial" w:cs="Arial" w:eastAsia="Arial" w:hAnsi="Arial"/>
          <w:sz w:val="18"/>
          <w:szCs w:val="18"/>
          <w:color w:val="0C0C0C"/>
        </w:rPr>
        <w:t>and has a</w:t>
      </w:r>
      <w:r>
        <w:rPr>
          <w:rFonts w:ascii="Arial" w:cs="Arial" w:eastAsia="Arial" w:hAnsi="Arial"/>
          <w:sz w:val="18"/>
          <w:szCs w:val="18"/>
          <w:color w:val="auto"/>
        </w:rPr>
        <w:t xml:space="preserve"> </w:t>
      </w:r>
      <w:r>
        <w:rPr>
          <w:rFonts w:ascii="Arial" w:cs="Arial" w:eastAsia="Arial" w:hAnsi="Arial"/>
          <w:sz w:val="18"/>
          <w:szCs w:val="18"/>
          <w:color w:val="0C0C0C"/>
        </w:rPr>
        <w:t xml:space="preserve">virtual currency license (or “BitLicense”) from the NYDFS, which subjects it to NYDFS’ oversight with respect to such business activities conducted in New York State and with New York residents. </w:t>
      </w:r>
      <w:r>
        <w:rPr>
          <w:rFonts w:ascii="Arial" w:cs="Arial" w:eastAsia="Arial" w:hAnsi="Arial"/>
          <w:sz w:val="18"/>
          <w:szCs w:val="18"/>
          <w:color w:val="000000"/>
        </w:rPr>
        <w:t>Tangible member's equity means member's equity minus intangible assets and as of September 30, 2022 and</w:t>
      </w:r>
      <w:r>
        <w:rPr>
          <w:rFonts w:ascii="Arial" w:cs="Arial" w:eastAsia="Arial" w:hAnsi="Arial"/>
          <w:sz w:val="18"/>
          <w:szCs w:val="18"/>
          <w:color w:val="0C0C0C"/>
        </w:rPr>
        <w:t xml:space="preserve"> </w:t>
      </w:r>
      <w:r>
        <w:rPr>
          <w:rFonts w:ascii="Arial" w:cs="Arial" w:eastAsia="Arial" w:hAnsi="Arial"/>
          <w:sz w:val="18"/>
          <w:szCs w:val="18"/>
          <w:color w:val="000000"/>
        </w:rPr>
        <w:t>December 31, 2021, tangible net worth and tangible member's equity amounted to approximately $5.7 million and approximately $11.0 million, respectively.</w:t>
      </w:r>
    </w:p>
    <w:p>
      <w:pPr>
        <w:spacing w:after="0" w:line="19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The minimum capital requirements to which our subsidiaries are subject may restrict their ability to transfer cash. We may also be required to transfer cash to our subsidiaries such that they may continue to meet these minimum capital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We sponsor a 401(k) defined contribution plan covering all eligible U.S. employees. Both Company and employee contributions to the 401(k) plan are discretionary. For the three and nine months ended September 30, 2022, we recorded approximately $0.8 million and $2.1 million, respectively, of expenses related to the 401(k) plan within "compensation and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benefits" on the consolidated statement of operations. For the three and nine months ended September 30, 2021, we recorded approximately $0.6 million and $1.6 million, respectively, of expenses related to the 401(k) plan.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The Company is party to a TRA with certain Opco Equity Holders. As of September 30, 2022, the Company has not recorded a liability under the TRA related to the income tax benefits originating from the exchanges of Opco common units as it is not probable that the Company will realize such tax benefits. To the extent the Company is able to realize the income tax benefits associated with the exchanges of Paired Interest subject to the TRA, the TRA payable would range from zero to $9.6 million at September 30, 2022.</w:t>
      </w:r>
    </w:p>
    <w:p>
      <w:pPr>
        <w:spacing w:after="0" w:line="194"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6"/>
          <w:szCs w:val="16"/>
          <w:color w:val="auto"/>
        </w:rPr>
        <w:t>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condensed consolidated statement of operations and comprehensive loss at that time.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66"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7"/>
          <w:szCs w:val="17"/>
          <w:color w:val="auto"/>
        </w:rPr>
        <w:t>As described above, in October 2021, we completed our Business Combination with VPC Impact Acquisition Holdings (“VIH”), pursuant to which VIH changed its name to Bakkt Holdings, Inc. and the current directors and officers of the Company replaced the directors and officers in place prior to the Business Combination. On April 21, 2022, a putative class action complaint was filed against Bakkt Holdings, Inc. and certain of its directors and officers prior to the Business Combination in the U.S. District Court for the Eastern District of New York on behalf of certain purchasers of securities of VIH and/or purchasers of Bakkt Class A common stock issued in connection with the Business Combination. On August 3, 2022, the Court appointed lead plaintiffs and lead counsel and on October 18, 2022, lead plaintiffs filed an amended complaint (the "Amended Complaint"). The complaint alleges that VIH made false or misleading statements and omissions of purportedly material fact, in violation of federal securities laws, in connection with disclosures relating to certain of VIH’s financial statements, accounting, and internal controls. The complaint alleges that the false or misleading statements and omissions were contained in the registration statement and Prospectus/Proxy filed in connection with the Business Combination and in other SEC filings made by VIH. The complaint alleges that VIH traded at artificially inflated prices as a result of the allegedly misleading statements and omissions. Plaintiff seeks certification of a class of purchasers of (1) VIH/Bakkt’s publicly traded securities between March 31, 2021 and November 19, 2021, both dates inclusive and/or (2) Bakkt’s publicly traded securities pursuant and/or traceable to the Registration Statement. The complaint seeks damages, as well as fees and costs. Bakkt intends to vigorously defend against the allegations. The Amended Complaint names as defendants only one current director, and no current officers, of Bakkt.</w:t>
      </w:r>
    </w:p>
    <w:p>
      <w:pPr>
        <w:spacing w:after="0" w:line="17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Other legal and regulatory proceedings have arisen and may arise in the ordinary course of business. However, we do not believe that the resolution of these matters will have a material adverse effect on our financial position, results of operations or cash flows. However, future results could be materially and adversely affected by new developments relating to the legal proceedings and claims.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Purchasing Card Facility</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We, through our loyalty business, had a purchasing card facility with a bank that we utilized for redemption purchases made from merchant partners as part of our loyalty redemption platform. Expenditures made using the purchasing card facility were payable monthly, were not subject to formula-based restrictions and did not bear interest if amounts outstanding were paid when due and in full. Among other covenants, the purchasing card facility required us to maintain a month-end cash balance of $40.0 million. In January 2021, the purchasing card facility was extended to April 15, 2022 in order to facilitate a long-term agreement on more favorable terms to us. Bakkt Holdings, Inc. served as the guarantor on behalf of our subsidiary under the commercial purchasing card facility. In April 2022, we further extended the maturity date of the purchasing card facility to August 12, 2022, to transition over to the purchasing card facility with Bank</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of America described below. The maturity date of the purchasing card facility was further extended as of August 12, 2022 to January 13, 2023. During September 2022, we paid off the majority of the remaining balance of the purchasing card facility. The purchasing card facility was closed during October 2022.</w:t>
      </w:r>
    </w:p>
    <w:p>
      <w:pPr>
        <w:spacing w:after="0" w:line="188"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On April 7, 2022, we entered into a corporate card services agreement with Bank of America to provide a new purchasing card facility. Total borrowing capacity under the facility is $35 million and there is no defined maturity date. Expenditures made using the purchasing card facility are payable 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as collateral along with the accounts receivable of our subsidiary, within the loyalty business. Bakkt Holdings, Inc. serves as the guarantor on behalf of our subsidiary under the commercial purchasing card facility. We began using the purchasing card facility in August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252" w:lineRule="exact"/>
        <w:rPr>
          <w:sz w:val="20"/>
          <w:szCs w:val="20"/>
          <w:color w:val="auto"/>
        </w:rPr>
      </w:pPr>
    </w:p>
    <w:p>
      <w:pPr>
        <w:jc w:val="both"/>
        <w:ind w:firstLine="648"/>
        <w:spacing w:after="0" w:line="395" w:lineRule="auto"/>
        <w:rPr>
          <w:sz w:val="20"/>
          <w:szCs w:val="20"/>
          <w:color w:val="auto"/>
        </w:rPr>
      </w:pPr>
      <w:r>
        <w:rPr>
          <w:rFonts w:ascii="Arial" w:cs="Arial" w:eastAsia="Arial" w:hAnsi="Arial"/>
          <w:sz w:val="16"/>
          <w:szCs w:val="16"/>
          <w:color w:val="auto"/>
        </w:rPr>
        <w:t>In December 2021, we entered into a four-year cloud computing arrangement which includes minimum contractual payments due to the third-party provider. As of September 30, 2022, our outstanding purchase obligations consist of the following future minimum commitments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9"/>
              </w:rPr>
              <w:t>Payments Due by Period</w:t>
            </w:r>
          </w:p>
        </w:tc>
        <w:tc>
          <w:tcPr>
            <w:tcW w:w="1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35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6"/>
              </w:rPr>
              <w:t>Less than 1 year</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1-3 years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3-5 years</w:t>
            </w:r>
          </w:p>
        </w:tc>
        <w:tc>
          <w:tcPr>
            <w:tcW w:w="19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More than 5 years</w:t>
            </w: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7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As a result of the Business Combination, the Company acquired a controlling interest in Opco, which is treated as a partnership for U.S. federal income tax purposes, and in most applicable state and local income tax jurisdictions. As a partnership, Opco is not itself subject to U.S. federal and certain state and local income taxes. Any taxable income or loss generated by Opco is passed through to and included in the taxable income or loss of its partners, including the Company following the Business Combination, on a pro rata basis. The Company's U.S. federal and state income tax benefit (expense) primarily relates to the Company’s allocable share of any taxable income or loss of Opco following the Business Combination. Opco’s wholly owned corporate subsidiaries that are consolidated for U.S. GAAP purposes but separately taxed for federal, state, and foreign income tax purposes as corporations are generating federal, state, and foreign income tax expense.</w:t>
      </w:r>
    </w:p>
    <w:p>
      <w:pPr>
        <w:spacing w:after="0" w:line="17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Our effective tax rates of 0.0% and 0.5% for the three and nine months ending September 30, 2022, respectively, differ from statutory rates primarily due to the loss allocated to noncontrolling interest that is not taxed to the Company and the non-deductible expenses related to fair value gains and losses related to the changes in our warrant liability and nondeductible compensation.</w:t>
      </w:r>
    </w:p>
    <w:p>
      <w:pPr>
        <w:spacing w:after="0" w:line="18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Our effective tax rates of (0.0)% and (0.2)% for the three and nine months ending September 30, 2021, respectively, differ from statutory rates primarily due to the impact of losses in which no tax benefit is expected to be recognized. The income tax expense during the period related to our operations in Canada.</w:t>
      </w:r>
    </w:p>
    <w:p>
      <w:pPr>
        <w:spacing w:after="0" w:line="175"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6"/>
          <w:szCs w:val="16"/>
          <w:color w:val="auto"/>
        </w:rPr>
        <w:t>Deferred tax assets are reduced by a valuation allowance if, based on the weight of available evidence, it is more likely than not that some portion or all of the deferred tax assets will not be realized. Our realizability of our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We assessed that certain of its deferred tax assets were not more likely than not to be realized.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it cannot conclude “more-likely-than-not” to be realized upon ultimate settlement. We had no unrecognized tax benefits or related interest and penalties accrued for the three and nine ended September 30, 2022 and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Financial assets and liabilities that are measured at fair value on a recurring basis are classified entirely as Level 1 as follows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Successor</w:t>
            </w:r>
          </w:p>
        </w:tc>
        <w:tc>
          <w:tcPr>
            <w:tcW w:w="10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w w:val="98"/>
              </w:rPr>
              <w:t>As of September 30, 2022</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53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debt securities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113,867</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113,867</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Safeguarding asset for cryptoassets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119,359</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119,359</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233,226</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113,867</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119,359</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Safeguarding obligations for cryptoassets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119,359</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119,359</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 liability—public warrants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123,643</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4,284</w:t>
            </w:r>
          </w:p>
        </w:tc>
        <w:tc>
          <w:tcPr>
            <w:tcW w:w="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119,359</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left="670"/>
              <w:spacing w:after="0"/>
              <w:rPr>
                <w:sz w:val="20"/>
                <w:szCs w:val="20"/>
                <w:color w:val="auto"/>
              </w:rPr>
            </w:pPr>
            <w:r>
              <w:rPr>
                <w:rFonts w:ascii="Arial" w:cs="Arial" w:eastAsia="Arial" w:hAnsi="Arial"/>
                <w:sz w:val="18"/>
                <w:szCs w:val="18"/>
                <w:b w:val="1"/>
                <w:bCs w:val="1"/>
                <w:color w:val="auto"/>
                <w:w w:val="81"/>
              </w:rPr>
              <w:t>Successor</w:t>
            </w:r>
          </w:p>
        </w:tc>
        <w:tc>
          <w:tcPr>
            <w:tcW w:w="1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3"/>
          </w:tcPr>
          <w:p>
            <w:pPr>
              <w:jc w:val="center"/>
              <w:ind w:right="490"/>
              <w:spacing w:after="0"/>
              <w:rPr>
                <w:sz w:val="20"/>
                <w:szCs w:val="20"/>
                <w:color w:val="auto"/>
              </w:rPr>
            </w:pPr>
            <w:r>
              <w:rPr>
                <w:rFonts w:ascii="Arial" w:cs="Arial" w:eastAsia="Arial" w:hAnsi="Arial"/>
                <w:sz w:val="18"/>
                <w:szCs w:val="18"/>
                <w:b w:val="1"/>
                <w:bCs w:val="1"/>
                <w:color w:val="auto"/>
                <w:w w:val="89"/>
              </w:rPr>
              <w:t>As of December 31, 2021</w:t>
            </w: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Level 2</w:t>
            </w: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53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 liability—public warrants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17,424</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17,424</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17,424</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17,424</w:t>
            </w:r>
          </w:p>
        </w:tc>
        <w:tc>
          <w:tcPr>
            <w:tcW w:w="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 $</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We classify our investments in debt securities as available-for-sale investments. Debt securities consist of U.S. Treasury debt securities. These investments are held in the custody of a major financial institution. As of September 30, 2022, the Company’s investment in marketable securities – available-for-sale was determined to be a level 1 investment and is recorded in the consolidated balance sheet at fair value.</w:t>
      </w:r>
    </w:p>
    <w:p>
      <w:pPr>
        <w:spacing w:after="0" w:line="157"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The fair value of the safeguarding obligations for cryptoassets and the corresponding safeguarding asset for cryptoassets were determined using prices available in the market we determine to be the principal market as of September 30, 2022.</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public warrant liability is valued based on quoted prices in active markets and is classified within Level 1.</w:t>
      </w:r>
    </w:p>
    <w:p>
      <w:pPr>
        <w:spacing w:after="0" w:line="26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8"/>
          <w:szCs w:val="18"/>
          <w:color w:val="auto"/>
        </w:rPr>
        <w:t>Certain of our assets and liabilities are measured at fair value on a non-recurring basis. For the three and nine months ended September 30, 2022, we remeasured our goodwill and indefinite-lived intangible assets at fair value, as described in Note 4.</w:t>
      </w:r>
    </w:p>
    <w:p>
      <w:pPr>
        <w:spacing w:after="0" w:line="18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receivables, unbilled accounts receivables, due from related party, deposits with clearinghouse, due to related party, accounts payable and accrued liabilities, and operating lease obligations approximate their fair values due to their short-term nature. The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balance of deposits with clearinghouse not invested in U.S. government securities are in the form of cash, and therefore approximate fair value.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w:t>
      </w:r>
    </w:p>
    <w:p>
      <w:pPr>
        <w:spacing w:after="0" w:line="25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Company leases real estate for office space under operating leases and office equipment under finance leases. As of September 30, 2022, we do not have any active finance leases. We consider a lease to have commenced on the date when we are granted access to the leased asset. Several of these leases include escalation clauses for adjusting rentals.</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During the nine months ended September 30, 2022, we entered into a new real estate lease for office space in New York, New York, that commenced on January 31, 2022. The lease has a term of 94 months and the total fixed lease payments over the term of the lease are $7.3 million. On April 25, 2022, we signed a lease agreement for call center office space in Alpharetta, Georgia. On May 12, 2022, we executed our option to lease additional space for the Alpharetta call center. The call center lease commenced on June 3, 2022. The lease has a term of 47 months and total fixed lease payments over the term of the lease are approximately $5.9 million.</w:t>
      </w:r>
    </w:p>
    <w:p>
      <w:pPr>
        <w:spacing w:after="0" w:line="18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Our real estate leases have remaining lease terms as of September 30, 2022 ranging from 7 months to 120 months, with one of our leases containing an option to extend the term for a period of 5 years exercisable by us, which we are not reasonably certain of exercising at commencement. None of our leases contain an option to terminate the lease without cause at the option of either party during the lease term. Certain equipment leases contain options to purchase the asset at the fair market value, available with the Company.</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Certain of our real estate leasing agreements include terms requiring us to reimburse the lessor for its share of real estate taxes, insurance, operating costs and utilities which we account for as variable lease costs when incurred since we have elected to not separate lease and non-lease components, and hence are not included in the measurement of lease liability. There are no restrictions or covenants imposed by any of the leases, and none of our leases contain material residual value guarantees.</w:t>
      </w:r>
    </w:p>
    <w:p>
      <w:pPr>
        <w:spacing w:after="0" w:line="19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discount rates for all of our leases are based on our estimated incremental borrowing rate since the rates implicit in the leases were not determinable. Our incremental borrowing rate is based on management’s estimate of the rate of interest we would have to pay to borrow on a fully collateralized basis over a similar term an amount equal to the lease payments in a similar economic environment.</w:t>
      </w:r>
    </w:p>
    <w:p>
      <w:pPr>
        <w:spacing w:after="0" w:line="175"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We have elected the practical expedient under which lease components would not be separated from the non-lease components for all our classes of underlying assets. Accordingly, each lease component and the non-lease components related to the lease component are accounted for as a single lease component. The weighted average remaining lease term for our operating leases was approximately 96 months, and the weighted average discount rate for our operating leases was 5.0%. We were not party to any short-term leases during the periods presented.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17. Safeguarding Obligations For Cryptoassets</w:t>
      </w:r>
    </w:p>
    <w:p>
      <w:pPr>
        <w:spacing w:after="0" w:line="229"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We provide bitcoin and ether custody services for our consumer platform users and for standalone custody customers. We do not own cryptoassets held in a custodial capacity on behalf of our customers. We hold the cryptographic key information on behalf of our custodial customers. We also maintain the internal recordkeeping of those assets and are obligated to safeguard the assets and protect them from loss or theft.</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As of September 30, 2022, we have a safeguarding obligation for cryptoassets of approximately $119.4 million. The safeguarding liability, and corresponding safeguarding asset for cryptoassets on the balance sheet, are measured at the fair value of the cryptoassets held for our customers. We are not aware of any actual or possible safeguarding loss events as of September 30, 2022. Therefore, the safeguarding obligation for cryptoassets and the related safeguarding asset for cryptoassets are recorded at the same amount.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are  responsible  for  holding  the  following  cryptoassets  on  behalf  of  our  customers  as  of  September  30,  2022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Successor</w:t>
            </w:r>
          </w:p>
        </w:tc>
      </w:tr>
      <w:tr>
        <w:trPr>
          <w:trHeight w:val="223"/>
        </w:trPr>
        <w:tc>
          <w:tcPr>
            <w:tcW w:w="9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September 30, 2022</w:t>
            </w:r>
          </w:p>
        </w:tc>
      </w:tr>
      <w:tr>
        <w:trPr>
          <w:trHeight w:val="223"/>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Bitcoin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119,290</w:t>
            </w:r>
          </w:p>
        </w:tc>
      </w:tr>
      <w:tr>
        <w:trPr>
          <w:trHeight w:val="229"/>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Ether</w:t>
            </w: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48"/>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Safeguarding obligations for cryptoassets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119,359</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r>
      <w:tr>
        <w:trPr>
          <w:trHeight w:val="248"/>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Safeguarding asset for cryptoassets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119,359</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231F20"/>
        </w:rPr>
        <w:t>Investment in Debt Securities</w:t>
      </w:r>
    </w:p>
    <w:p>
      <w:pPr>
        <w:spacing w:after="0" w:line="2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8"/>
          <w:szCs w:val="18"/>
          <w:color w:val="auto"/>
        </w:rPr>
        <w:t>We have investments in certain debt securities, which we record at fair value and present as Available-for-sale securities in the Consolidated Balance Sheet.</w:t>
      </w:r>
    </w:p>
    <w:p>
      <w:pPr>
        <w:spacing w:after="0" w:line="184"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7"/>
          <w:szCs w:val="17"/>
          <w:color w:val="auto"/>
        </w:rPr>
        <w:t>Unrealized gains and temporary losses, net of related taxes, are included in accumulated other comprehensive income (loss) (AOCI). Upon realization, those amounts are reclassified from AOCI to earnings. The amortization of premiums and discounts on the investments are included in our results of operations. Realized gains and losses are calculated based on the specific identification method. We classify our investments as current or noncurrent based on the nature of the investments and their availability for use in current operations.</w:t>
      </w:r>
    </w:p>
    <w:p>
      <w:pPr>
        <w:spacing w:after="0" w:line="1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The cost basis and fair value of available-for-sale debt securities with unrealized gains and losses included in AOCI in the Consolidated Statement of Financial Position were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81"/>
              </w:rPr>
              <w:t>Successor</w:t>
            </w: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Available-for-sale securities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89"/>
              </w:rPr>
              <w:t>September 30, 2022</w:t>
            </w:r>
          </w:p>
        </w:tc>
        <w:tc>
          <w:tcPr>
            <w:tcW w:w="8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2021</w:t>
            </w: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ind w:left="120"/>
              <w:spacing w:after="0" w:line="169" w:lineRule="exact"/>
              <w:rPr>
                <w:sz w:val="20"/>
                <w:szCs w:val="20"/>
                <w:color w:val="auto"/>
              </w:rPr>
            </w:pPr>
            <w:r>
              <w:rPr>
                <w:rFonts w:ascii="Arial" w:cs="Arial" w:eastAsia="Arial" w:hAnsi="Arial"/>
                <w:sz w:val="18"/>
                <w:szCs w:val="18"/>
                <w:b w:val="1"/>
                <w:bCs w:val="1"/>
                <w:color w:val="auto"/>
              </w:rPr>
              <w:t>Cost</w:t>
            </w:r>
          </w:p>
        </w:tc>
        <w:tc>
          <w:tcPr>
            <w:tcW w:w="280" w:type="dxa"/>
            <w:vAlign w:val="bottom"/>
          </w:tcPr>
          <w:p>
            <w:pPr>
              <w:spacing w:after="0"/>
              <w:rPr>
                <w:sz w:val="14"/>
                <w:szCs w:val="14"/>
                <w:color w:val="auto"/>
              </w:rPr>
            </w:pPr>
          </w:p>
        </w:tc>
        <w:tc>
          <w:tcPr>
            <w:tcW w:w="1080" w:type="dxa"/>
            <w:vAlign w:val="bottom"/>
          </w:tcPr>
          <w:p>
            <w:pPr>
              <w:jc w:val="right"/>
              <w:ind w:right="110"/>
              <w:spacing w:after="0" w:line="169" w:lineRule="exact"/>
              <w:rPr>
                <w:sz w:val="20"/>
                <w:szCs w:val="20"/>
                <w:color w:val="auto"/>
              </w:rPr>
            </w:pPr>
            <w:r>
              <w:rPr>
                <w:rFonts w:ascii="Arial" w:cs="Arial" w:eastAsia="Arial" w:hAnsi="Arial"/>
                <w:sz w:val="18"/>
                <w:szCs w:val="18"/>
                <w:b w:val="1"/>
                <w:bCs w:val="1"/>
                <w:color w:val="auto"/>
                <w:w w:val="94"/>
              </w:rPr>
              <w:t>Unrealized</w:t>
            </w:r>
          </w:p>
        </w:tc>
        <w:tc>
          <w:tcPr>
            <w:tcW w:w="360" w:type="dxa"/>
            <w:vAlign w:val="bottom"/>
          </w:tcPr>
          <w:p>
            <w:pPr>
              <w:spacing w:after="0"/>
              <w:rPr>
                <w:sz w:val="14"/>
                <w:szCs w:val="14"/>
                <w:color w:val="auto"/>
              </w:rPr>
            </w:pPr>
          </w:p>
        </w:tc>
        <w:tc>
          <w:tcPr>
            <w:tcW w:w="86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Fair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ind w:left="40"/>
              <w:spacing w:after="0" w:line="169" w:lineRule="exact"/>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4"/>
                <w:szCs w:val="14"/>
                <w:color w:val="auto"/>
              </w:rPr>
            </w:pPr>
          </w:p>
        </w:tc>
        <w:tc>
          <w:tcPr>
            <w:tcW w:w="820" w:type="dxa"/>
            <w:vAlign w:val="bottom"/>
          </w:tcPr>
          <w:p>
            <w:pPr>
              <w:jc w:val="right"/>
              <w:ind w:right="30"/>
              <w:spacing w:after="0" w:line="169" w:lineRule="exact"/>
              <w:rPr>
                <w:sz w:val="20"/>
                <w:szCs w:val="20"/>
                <w:color w:val="auto"/>
              </w:rPr>
            </w:pPr>
            <w:r>
              <w:rPr>
                <w:rFonts w:ascii="Arial" w:cs="Arial" w:eastAsia="Arial" w:hAnsi="Arial"/>
                <w:sz w:val="18"/>
                <w:szCs w:val="18"/>
                <w:b w:val="1"/>
                <w:bCs w:val="1"/>
                <w:color w:val="auto"/>
              </w:rPr>
              <w:t>Fair</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Basis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Net Losses</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Value</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Basis</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Net Losses</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Value</w:t>
            </w:r>
          </w:p>
        </w:tc>
        <w:tc>
          <w:tcPr>
            <w:tcW w:w="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Government debt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bonds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114,046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113,867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7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available-for-sale securities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114,046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113,867</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3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ind w:left="460"/>
              <w:spacing w:after="0"/>
              <w:rPr>
                <w:sz w:val="20"/>
                <w:szCs w:val="20"/>
                <w:color w:val="auto"/>
              </w:rPr>
            </w:pPr>
            <w:r>
              <w:rPr>
                <w:rFonts w:ascii="Arial" w:cs="Arial" w:eastAsia="Arial" w:hAnsi="Arial"/>
                <w:sz w:val="18"/>
                <w:szCs w:val="18"/>
                <w:b w:val="1"/>
                <w:bCs w:val="1"/>
                <w:color w:val="auto"/>
              </w:rPr>
              <w:t>Successor</w:t>
            </w: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2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Available-for-sale securities in an unrealized loss position</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w w:val="96"/>
              </w:rPr>
              <w:t>September 30, 2022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December 31, 2021</w:t>
            </w:r>
          </w:p>
        </w:tc>
        <w:tc>
          <w:tcPr>
            <w:tcW w:w="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30"/>
              <w:spacing w:after="0" w:line="169" w:lineRule="exact"/>
              <w:rPr>
                <w:sz w:val="20"/>
                <w:szCs w:val="20"/>
                <w:color w:val="auto"/>
              </w:rPr>
            </w:pPr>
            <w:r>
              <w:rPr>
                <w:rFonts w:ascii="Arial" w:cs="Arial" w:eastAsia="Arial" w:hAnsi="Arial"/>
                <w:sz w:val="18"/>
                <w:szCs w:val="18"/>
                <w:b w:val="1"/>
                <w:bCs w:val="1"/>
                <w:color w:val="auto"/>
                <w:w w:val="96"/>
              </w:rPr>
              <w:t>Unrealized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70"/>
              <w:spacing w:after="0" w:line="169" w:lineRule="exact"/>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243"/>
        </w:trPr>
        <w:tc>
          <w:tcPr>
            <w:tcW w:w="3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Government debt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Fair Value</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1"/>
              </w:rPr>
              <w:t>Net Losses</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83"/>
              </w:rPr>
              <w:t>Net Losses</w:t>
            </w:r>
          </w:p>
        </w:tc>
        <w:tc>
          <w:tcPr>
            <w:tcW w:w="0" w:type="dxa"/>
            <w:vAlign w:val="bottom"/>
          </w:tcPr>
          <w:p>
            <w:pPr>
              <w:spacing w:after="0"/>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bonds: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460"/>
              <w:spacing w:after="0" w:line="230" w:lineRule="exact"/>
              <w:rPr>
                <w:sz w:val="20"/>
                <w:szCs w:val="20"/>
                <w:color w:val="auto"/>
              </w:rPr>
            </w:pPr>
            <w:r>
              <w:rPr>
                <w:rFonts w:ascii="Arial" w:cs="Arial" w:eastAsia="Arial" w:hAnsi="Arial"/>
                <w:sz w:val="18"/>
                <w:szCs w:val="18"/>
                <w:color w:val="auto"/>
              </w:rPr>
              <w:t xml:space="preserve">Less than 12 months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39,539</w:t>
            </w:r>
          </w:p>
        </w:tc>
        <w:tc>
          <w:tcPr>
            <w:tcW w:w="1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 xml:space="preserve">12 months or more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74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gridSpan w:val="2"/>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available-for-sale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39,539</w:t>
            </w:r>
          </w:p>
        </w:tc>
        <w:tc>
          <w:tcPr>
            <w:tcW w:w="1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120" w:hanging="94"/>
        <w:spacing w:after="0"/>
        <w:tabs>
          <w:tab w:leader="none" w:pos="1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Indicates the length of time that individual securities have been in a continuous unrealized loss position.</w:t>
      </w:r>
    </w:p>
    <w:p>
      <w:pPr>
        <w:spacing w:after="0" w:line="296"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The unrealized losses on our investments in government debt securities relate to changes in interest rates since time of purchase. We do not intend to sell the investments, and it is not likely that we will be required to sell the</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investments before recovery of their respective amortized cost basis. In addition, there were no credit losses on these investments as of September 30, 2022.</w:t>
      </w:r>
    </w:p>
    <w:p>
      <w:pPr>
        <w:spacing w:after="0" w:line="28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cost basis and fair value of available-for-sale debt securities at September 30, 2022, by contractual maturity, are shown below (in thousands). Expected maturities may differ from contractual maturities because borrowers may have the right to prepay and creditors may have the right to call obligations.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8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280" w:type="dxa"/>
            <w:vAlign w:val="bottom"/>
            <w:tcBorders>
              <w:top w:val="single" w:sz="8" w:color="auto"/>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September 30, 2022</w:t>
            </w:r>
          </w:p>
        </w:tc>
      </w:tr>
      <w:tr>
        <w:trPr>
          <w:trHeight w:val="223"/>
        </w:trPr>
        <w:tc>
          <w:tcPr>
            <w:tcW w:w="88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8"/>
              </w:rPr>
              <w:t>Cost Basis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Fair Value</w:t>
            </w:r>
          </w:p>
        </w:tc>
      </w:tr>
      <w:tr>
        <w:trPr>
          <w:trHeight w:val="223"/>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114,046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113,867</w:t>
            </w:r>
          </w:p>
        </w:tc>
      </w:tr>
      <w:tr>
        <w:trPr>
          <w:trHeight w:val="230"/>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securities - available-for-sale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114,046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113,867</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b w:val="1"/>
          <w:bCs w:val="1"/>
          <w:color w:val="231F20"/>
        </w:rPr>
        <w:t>Subsequent Events</w:t>
      </w:r>
    </w:p>
    <w:p>
      <w:pPr>
        <w:spacing w:after="0" w:line="25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We have evaluated subsequent events and transactions to determine whether events or transactions met the definition of a subsequent event for purpose of recognition or disclosure in these financial statements.</w:t>
      </w:r>
    </w:p>
    <w:p>
      <w:pPr>
        <w:spacing w:after="0" w:line="15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On November 2, we entered into a definitive agreement with Apex Fintech Solutions, Inc. ("AFS") whereby we agreed to acquire all of the membership interests of Apex Crypto, LLC ("Apex"), a financial technology company with an integrated crypto trading platform, for consideration consisting of an initial purchase price of $55.0 million in cash, up to an additional $45.0 million in shares of our Class A common stock that may be earned if Apex achieves certain profitability growth targets for the fourth quarter of 2022, and up to an additional $100.0 million in shares of our Class A common stock depending on Apex's achievement of certain financial targets through 2025. The transaction, which is subject to regulatory approvals, is expected to close in the first half of 2023. Under the terms of the transaction, Bakkt and AFS, among other things, will enter into a commercial agreement that memorializes the continued relationship and provision of Bakkt crypto solutions to AFS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7"/>
          <w:szCs w:val="17"/>
          <w:i w:val="1"/>
          <w:iCs w:val="1"/>
          <w:color w:val="231F20"/>
        </w:rPr>
        <w:t>The following discussion and analysis of financial condition and results of operations should be read together with the accompanying consolidated financial statements and related notes thereto included elsewhere in this Quarterly Report on Form 10-Q for the quarter ended September 30, 2022 and in our Annual Report on Form 10-K for the fiscal year ended December 31, 2021, which is incorporated herein by reference. References in this section to “we,” “us,” “our,” “Bakkt” or the “Company” and like terms refer to (i) Bakkt Opco Holdings, LLC and its subsidiaries (the “Predecessor”) for the three and nine months ended September 30, 2021 (referred to herein as a "Predecessor Periods") and (ii) Bakkt Holdings, Inc. and its subsidiaries (the “Successor”) for the three and nine months ended September 30, 2022 (the “Successor Periods”), unless the context otherwise requires. Some of the information contained in this discussion and analysis or set forth elsewhere in this document,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Factors that could cause or contribute to such differences include, but are not limited to, those factors discussed above in “Cautionary Statement Regarding Forward-Looking Statements” and “Item 1A.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7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Bakkt’s vision is to connect the digital economy. Our platform, which operates at the intersection of cryptoassets (“crypto”), loyalty and rewards, and payments, is uniquely positioned to enable consumers, brands, and financial institutions to better manage, transact with and monetize those assets in new ways.</w:t>
      </w:r>
    </w:p>
    <w:p>
      <w:pPr>
        <w:spacing w:after="0" w:line="17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We believe we are well positioned to provide innovative, multi-faceted product solutions and grow with the evolving digital assets market. Our institutional grade technology platform is at the center of everything we do. It is secure and regulated, born out of our heritage with our former parent company, Intercontinental Exchange, Inc. (“ICE”) (NYSE: ICE). Through these elements, we provide, or are working to provide, products and services in four key areas:</w:t>
      </w:r>
    </w:p>
    <w:p>
      <w:pPr>
        <w:spacing w:after="0" w:line="17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Enabling Crypto Services. Our platform provides consumers, businesses and institutions easy access to crypto buy and sell capabilities. We enable</w:t>
      </w:r>
    </w:p>
    <w:p>
      <w:pPr>
        <w:spacing w:after="0" w:line="72" w:lineRule="exact"/>
        <w:rPr>
          <w:rFonts w:ascii="Arial" w:cs="Arial" w:eastAsia="Arial" w:hAnsi="Arial"/>
          <w:sz w:val="16"/>
          <w:szCs w:val="16"/>
          <w:color w:val="auto"/>
        </w:rPr>
      </w:pPr>
    </w:p>
    <w:p>
      <w:pPr>
        <w:jc w:val="both"/>
        <w:ind w:left="660"/>
        <w:spacing w:after="0" w:line="303" w:lineRule="auto"/>
        <w:rPr>
          <w:rFonts w:ascii="Arial" w:cs="Arial" w:eastAsia="Arial" w:hAnsi="Arial"/>
          <w:sz w:val="16"/>
          <w:szCs w:val="16"/>
          <w:color w:val="auto"/>
        </w:rPr>
      </w:pPr>
      <w:r>
        <w:rPr>
          <w:rFonts w:ascii="Arial" w:cs="Arial" w:eastAsia="Arial" w:hAnsi="Arial"/>
          <w:sz w:val="18"/>
          <w:szCs w:val="18"/>
          <w:color w:val="auto"/>
        </w:rPr>
        <w:t>businesses – particularly those not native to the crypto space, such as platform partners, financial institutions and wallet providers – to provide their customers with the ability to transact in crypto directly in their trusted environments. Our platform provides secure, regulated and institutional-grade infrastructure in a simple, intuitive digital experience.</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Fueling Crypto Rewards. We are in the process of enabling merchants of all sizes to offer loyalty and rewards to their customers in the form of</w:t>
      </w:r>
    </w:p>
    <w:p>
      <w:pPr>
        <w:spacing w:after="0" w:line="72" w:lineRule="exact"/>
        <w:rPr>
          <w:rFonts w:ascii="Arial" w:cs="Arial" w:eastAsia="Arial" w:hAnsi="Arial"/>
          <w:sz w:val="16"/>
          <w:szCs w:val="16"/>
          <w:color w:val="auto"/>
        </w:rPr>
      </w:pPr>
    </w:p>
    <w:p>
      <w:pPr>
        <w:jc w:val="both"/>
        <w:ind w:left="660"/>
        <w:spacing w:after="0" w:line="328" w:lineRule="auto"/>
        <w:rPr>
          <w:rFonts w:ascii="Arial" w:cs="Arial" w:eastAsia="Arial" w:hAnsi="Arial"/>
          <w:sz w:val="16"/>
          <w:szCs w:val="16"/>
          <w:color w:val="auto"/>
        </w:rPr>
      </w:pPr>
      <w:r>
        <w:rPr>
          <w:rFonts w:ascii="Arial" w:cs="Arial" w:eastAsia="Arial" w:hAnsi="Arial"/>
          <w:sz w:val="17"/>
          <w:szCs w:val="17"/>
          <w:color w:val="auto"/>
        </w:rPr>
        <w:t>crypto – either by earning crypto rewards, or by redeeming existing reward currencies, such as points or miles, into crypto. We believe this capability will enhance merchants’ existing loyalty programs and enable merchants to attract younger, affluent, digital-native audiences and to increase loyalty with existing customers by offering the potential to increase the long-term value of their rewards.</w:t>
      </w:r>
    </w:p>
    <w:p>
      <w:pPr>
        <w:spacing w:after="0" w:line="170" w:lineRule="exact"/>
        <w:rPr>
          <w:rFonts w:ascii="Arial" w:cs="Arial" w:eastAsia="Arial" w:hAnsi="Arial"/>
          <w:sz w:val="16"/>
          <w:szCs w:val="16"/>
          <w:color w:val="auto"/>
        </w:rPr>
      </w:pPr>
    </w:p>
    <w:p>
      <w:pPr>
        <w:jc w:val="both"/>
        <w:ind w:left="660" w:right="20" w:hanging="328"/>
        <w:spacing w:after="0" w:line="325"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Paying with Digital Assets. We enable consumers to make everyday purchases using their existing rewards points or new assets like crypto. Our solution enables assets to be easily converted at checkout, making merchant integrations simple, fast, and flexible and facilitating settlement in fiat</w:t>
      </w:r>
    </w:p>
    <w:p>
      <w:pPr>
        <w:spacing w:after="0" w:line="1" w:lineRule="exact"/>
        <w:rPr>
          <w:rFonts w:ascii="Arial" w:cs="Arial" w:eastAsia="Arial" w:hAnsi="Arial"/>
          <w:sz w:val="16"/>
          <w:szCs w:val="16"/>
          <w:color w:val="auto"/>
        </w:rPr>
      </w:pPr>
    </w:p>
    <w:p>
      <w:pPr>
        <w:ind w:left="660"/>
        <w:spacing w:after="0" w:line="308" w:lineRule="auto"/>
        <w:rPr>
          <w:rFonts w:ascii="Arial" w:cs="Arial" w:eastAsia="Arial" w:hAnsi="Arial"/>
          <w:sz w:val="16"/>
          <w:szCs w:val="16"/>
          <w:color w:val="auto"/>
        </w:rPr>
      </w:pPr>
      <w:r>
        <w:rPr>
          <w:rFonts w:ascii="Arial" w:cs="Arial" w:eastAsia="Arial" w:hAnsi="Arial"/>
          <w:sz w:val="18"/>
          <w:szCs w:val="18"/>
          <w:color w:val="auto"/>
        </w:rPr>
        <w:t>currency. Our payment capabilities also extend to enable companies to disburse payments in crypto (for instance, to gig economy or marketplace participants such as freelancers, content providers, and delivery workers).</w:t>
      </w:r>
    </w:p>
    <w:p>
      <w:pPr>
        <w:spacing w:after="0" w:line="184" w:lineRule="exact"/>
        <w:rPr>
          <w:rFonts w:ascii="Arial" w:cs="Arial" w:eastAsia="Arial" w:hAnsi="Arial"/>
          <w:sz w:val="16"/>
          <w:szCs w:val="16"/>
          <w:color w:val="auto"/>
        </w:rPr>
      </w:pPr>
    </w:p>
    <w:p>
      <w:pPr>
        <w:jc w:val="both"/>
        <w:ind w:left="660" w:hanging="328"/>
        <w:spacing w:after="0" w:line="325"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Powering Loyalty. We offer a full spectrum of content that retailers and financial institutions can make available to their customers when redeeming loyalty currencies, driving consumer loyalty and engagement. Our redemption solutions span a variety of rewards categories including</w:t>
      </w:r>
    </w:p>
    <w:p>
      <w:pPr>
        <w:spacing w:after="0" w:line="1" w:lineRule="exact"/>
        <w:rPr>
          <w:rFonts w:ascii="Arial" w:cs="Arial" w:eastAsia="Arial" w:hAnsi="Arial"/>
          <w:sz w:val="16"/>
          <w:szCs w:val="16"/>
          <w:color w:val="auto"/>
        </w:rPr>
      </w:pPr>
    </w:p>
    <w:p>
      <w:pPr>
        <w:jc w:val="both"/>
        <w:ind w:left="660"/>
        <w:spacing w:after="0" w:line="303" w:lineRule="auto"/>
        <w:rPr>
          <w:rFonts w:ascii="Arial" w:cs="Arial" w:eastAsia="Arial" w:hAnsi="Arial"/>
          <w:sz w:val="16"/>
          <w:szCs w:val="16"/>
          <w:color w:val="auto"/>
        </w:rPr>
      </w:pPr>
      <w:r>
        <w:rPr>
          <w:rFonts w:ascii="Arial" w:cs="Arial" w:eastAsia="Arial" w:hAnsi="Arial"/>
          <w:sz w:val="18"/>
          <w:szCs w:val="18"/>
          <w:color w:val="auto"/>
        </w:rPr>
        <w:t>merchandise (such as Apple products and services), gift cards, digital experiences and charitable giving. Our travel solution offers a retail e-commerce booking platform with a powerful search capability, as well as live-agent booking and servicing. Our platform provides a unified shopping experience that is configurable for companies and their programs. Capabilities include a mobile-first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660"/>
        <w:spacing w:after="0" w:line="303" w:lineRule="auto"/>
        <w:rPr>
          <w:sz w:val="20"/>
          <w:szCs w:val="20"/>
          <w:color w:val="auto"/>
        </w:rPr>
      </w:pPr>
      <w:r>
        <w:rPr>
          <w:rFonts w:ascii="Arial" w:cs="Arial" w:eastAsia="Arial" w:hAnsi="Arial"/>
          <w:sz w:val="18"/>
          <w:szCs w:val="18"/>
          <w:color w:val="auto"/>
        </w:rPr>
        <w:t>user experience, a multi-tier construct to accommodate loyalty tiers, comprehensive fraud protection capabilities and a split-tender payments platform to accept both points and credit cards as a form of payment. We recognize that businesses want to offer consumers choice, innovation and a frictionless experience, and our platform was constructed with this in mind.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Platform</w:t>
      </w:r>
    </w:p>
    <w:p>
      <w:pPr>
        <w:spacing w:after="0" w:line="25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231F20"/>
        </w:rPr>
        <w:t>Our platform is built to operate at the intersection of cryptoassets, loyalty and payments, and offers partners the flexibility to choose some or all of our capabilities, and the manner in which these capabilities are enabled for consumers, based on their needs and objectives. Some partners may choose to enable our capabilities directly in their experience, while others may want a “ready-to-go” storefront and leverage capabilities such as our consumer app. Our core platform and infrastructure are built to provide integrations for crypto buy/sell trading, loyalty redemption, payments and exchange, and supports these use cases regardless of where the consumer experience lives. Our institutional-grade platform, born out of ICE, supports "know your customer" ("KYC"), anti-money laundering ("AML"), and other anti-fraud measures to combat financial crime.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Recent Developments</w:t>
      </w:r>
    </w:p>
    <w:p>
      <w:pPr>
        <w:spacing w:after="0" w:line="266"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On November 2, 2022, we entered into a definitive agreement with Apex Fintech Solutions, Inc. ("AFS") whereby we agreed to acquire all of the membership interests of Apex Crypto, LLC ("Apex"), a financial technology company with an integrated crypto trading platform, for consideration consisting of an initial purchase price of $55.0 million in cash, up to $45.0 million in shares of our Class A common stock that may be earned if Apex achieves certain profitability growth targets for the fourth quarter of 2022, and up to an additional $100.0 million in shares of our Class A common stock depending on Apex's achievement of certain financial targets through 2025. The transaction, which is subject to regulatory approvals, is expected to close in the first half of 2023. Under the terms of the transaction, Bakkt and AFS will, among other things, enter into a commercial agreement that memorializes the continued relationship and provision of Bakkt crypto solutions to AFS's clients. This acquisition is expected to provide immediate scale and meaningful transaction volume from Apex's active partner base. We expect to leverage Apex's proprietary trading platform and existing relationships with liquidity providers to provide a wider range of assets and competitive pricing to our customers. Furthermore, on November 2, 2022, Bakkt and certain parties related to the seller entered into a Stockholders' Agreement whereby such counterparties agreed to certain lock-up, standstill, and short sale restrictions.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Factors Affecting Our Performance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Attractiveness of Platform</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231F20"/>
        </w:rPr>
        <w:t>We primarily generate revenue when users of our platform buy, sell, convert, spend and send digital assets through the platform, and our success depends in part on transaction volume. Business growth will come from growing users and the transaction fees associated with users buying, selling, converting and spending with digital assets, and the margin earned in connection with consumer purchases and the sale of cryptoassets. We will look to grow our base of active and transacting users to grow these revenue streams.</w:t>
      </w:r>
    </w:p>
    <w:p>
      <w:pPr>
        <w:spacing w:after="0" w:line="17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231F20"/>
        </w:rPr>
        <w:t>In addition, growing partners on our platform increases our ability to grow revenue streams. To date, management has been focused on building through partners within a business-to-business-to-consumer (“B2B2C”) model. Our goal is to provide these partners opportunities to leverage our capabilities either through their existing environment or by leveraging our platform. Expanding the platform capabilities leveraged by our partner set, as well as expanding with new partners, will be key to our business and revenue growth. We expect that revenues related to loyalty redemption transactions, cryptoasset trades, subscriptions and services will be significant drivers of our business. The risks and uncertainties related to each such revenue generating activity are largely the same. Specifically, to the extent we are unable to grow our partner base and/or organically grow our active and transacting user base (who buy, sell, convert and spend with digital assets, and from whom we can earn the margin paid in connection with consumer purchases and sale of cryptoassets), or to the extent the cost of</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17" w:lineRule="auto"/>
        <w:rPr>
          <w:sz w:val="20"/>
          <w:szCs w:val="20"/>
          <w:color w:val="auto"/>
        </w:rPr>
      </w:pPr>
      <w:r>
        <w:rPr>
          <w:rFonts w:ascii="Arial" w:cs="Arial" w:eastAsia="Arial" w:hAnsi="Arial"/>
          <w:sz w:val="17"/>
          <w:szCs w:val="17"/>
          <w:color w:val="231F20"/>
        </w:rPr>
        <w:t>such growth (including our average customer acquisition cost) is greater than we anticipate, the corresponding growth of our business may occur more slowly than we expect, or may not occur at all. Our ability to execute on our business plan is dependent on successfully executing on several key components of our business, principally including: (i) the technological success of our platform; (ii) the integration of our platform with the platforms of our partners; (iii) growth in the number and diversity of the loyalty brands, associated merchants and retailers, and cryptocurrencies and other digital assets that we support; and (iv) our resulting ability to create a network effect with growth in active and transacting users.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Regulations in U.S. Markets</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We are subject to many complex, uncertain and overlapping local, state and federal laws, rules, regulations, policies and legal interpretations (collectively, “laws and regulations”)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spacing w:after="0" w:line="195"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6"/>
          <w:szCs w:val="16"/>
          <w:color w:val="231F20"/>
        </w:rPr>
        <w:t>We are seeking to bring trust and transparency to digital assets. We will progressively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spacing w:after="0" w:line="140"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8"/>
          <w:szCs w:val="18"/>
          <w:color w:val="231F20"/>
        </w:rPr>
        <w:t>We continue to work with regulators to address the emerging global landscape for digital assets. As investment continues, the intersection of technology and finance will require ongoing engagement as new applications emerge. Digital assets and distributed ledger technology have significant, positive potential with proper collaboration between industry and regulators.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COVID-19 Impacts</w:t>
      </w:r>
    </w:p>
    <w:p>
      <w:pPr>
        <w:spacing w:after="0" w:line="266"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6"/>
          <w:szCs w:val="16"/>
          <w:color w:val="231F20"/>
        </w:rPr>
        <w:t>In March 2020, the World Health Organization declared the COVID-19 outbreak a global pandemic. The COVID-19 pandemic has adversely affected global economic activity and, in 2020, contributed to significant declines and volatility in financial markets. The COVID-19 pandemic had an impact on our business during the year ended December 31, 2020, primarily in that it (i) decreased revenue from our loyalty and travel businesses, and (ii) impacted our ability to expand our relationships with existing loyalty partners, and to conclude relationships with new loyalty partners, whose businesses similarly have been adversely affected by the pandemic. During 2021, our business operations started to recover from the impacts of the pandemic. Our business operations have continued to recover in 2022 from the impacts of the pandemic, including revenue from the loyalty and travel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Business Combination</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On October 15, 2021, Bakkt (f/k/a VPC Impact Acquisition Holdings, a Cayman Islands exempted company (“VIH”)) and VIH completed the Business Combination contemplated by the Merger Agreement. Pursuant to the Merger Agreement, VIH acquired a majority voting interest in Bakkt Opco Holdings, LLC (“Opco”) through a series of mergers, with Opco becoming a direct subsidiary of VIH. In connection with the completion of the Business Combination, VIH changed its jurisdiction of incorporation from the Cayman Islands to the State of Delaware and changed its name to “Bakkt Holdings, Inc.”</w:t>
      </w:r>
    </w:p>
    <w:p>
      <w:pPr>
        <w:spacing w:after="0" w:line="19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The Business Combination resulted in Bakkt continuing as the surviving entity and being organized as an umbrella partnership corporation, or “up-C,” structure in which substantially all our assets and business are held by Opco and its subsidiaries, with the existing owners of Opco being considered as noncontrolling interests in the consolidated financial statements.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6"/>
          <w:szCs w:val="16"/>
          <w:color w:val="auto"/>
        </w:rPr>
        <w:t>Upon completion of the Business Combination, VIH was deemed the accounting acquirer and Opco the accounting acquiree. Under the acquisition method of accounting, VIH’s assets and liabilities retained their carrying values and the assets and liabilities associated with Opco were recorded at their fair values measured as of the acquisition date. The excess of the purchase price over the estimated fair values of the net assets acquired was recorded as goodwill. In connection with the Business Combination, all outstanding membership interests and rights to acquire membership interests in Opco were exchanged for an aggregate of 208,200,000 Opco common units and an equal number of newly issued shares of our Class V common stock, par value $0.0001 per share (“Class V common stock”), which are non-economic, voting shares of the Company, of which 186,352,843 are outstanding and 793,352 reserved for issuance upon the exercise of a warrant agreement. Each Opco common unit, when coupled with one share of our Class V common stock is referred to as a “Paired Interest.” Paired Interests may be exchanged for one share of our Class A common stock or a cash amount in accordance with the Third Amended and Restated Limited Liability Company Agreement of Opco and the Amended and Restated Exchange Agreement between the Company and certain holders of Bakkt Common Units, dated as of October 15, 2021. Following the Closing, the Company owned approximately 20.3% of the Opco common units and with the remaining Opco common units being owned by the equity owners of Opco prior to the Merger. Holders of Paired Interests became entitled to exchange their Paired Interests in accordance with the Exchange Agreement in the second quarter of 2022. As of November 1, 2022, exchanges and forfeitures had resulted in the Company’s ownership of Opco common units increasing to 30.3%.</w:t>
      </w:r>
    </w:p>
    <w:p>
      <w:pPr>
        <w:spacing w:after="0" w:line="18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8"/>
          <w:szCs w:val="18"/>
          <w:color w:val="231F20"/>
        </w:rPr>
        <w:t>As a result of the Business Combination, our financial results are broken out between the Predecessor periods (January 1, 2021 through September 30, 2021) and the Successor periods (January 1, 2022 through September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Safeguarding Obligation Liability and Safeguarding Asset Related to Cryptoassets Held for Other Parties</w:t>
      </w:r>
    </w:p>
    <w:p>
      <w:pPr>
        <w:spacing w:after="0" w:line="26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As detailed in Note 17, upon the adoption of SAB 121, we recorded a safeguarding obligation liability and a corresponding safeguarding asset related to the cryptoassets held for other parties. As of September 30, 2022, the safeguarding obligation liability related to cryptoassets held for other parties was approximately $119.4 million. We have taken steps to mitigate the potential risk of loss for the cryptoassets we hold for other parties, including holding insurance coverage specifically for certain cryptoasset incidents and using secure cold storage to store the vast majority of cryptoassets that we hold. SAB 121 also asks us to consider the legal ownership of the cryptoassets held for other parties, including whether the cryptoassets held for other parties would be available to satisfy general creditor claims in the event of our bankruptcy.</w:t>
      </w:r>
    </w:p>
    <w:p>
      <w:pPr>
        <w:spacing w:after="0" w:line="185"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The legal rights with respect to cryptoassets held on behalf of third parties by a custodian, such as us, upon the custodian’s bankruptcy have not yet been settled by courts and are highly fact-dependent. However, based on the terms of our terms of service and applicable law, in the event that we were to enter bankruptcy, we believe the cryptoassets that we hold in custody for users of our platform should be respected as users’ property (and should not be available to satisfy the claims of our general creditors). We do not allow users to purchase cryptoassets on margin, and cryptoassets held on our platform do not serve as collateral for margin loans. We hold cryptoassets in custody for users in one or more omnibus cryptoasset wallets; we do not presently utilize third-party custodians. We hold cryptographic key information and maintain internal record keeping for the cryptoassets we hold in custody for users, and we are obligated to secure such assets from loss or theft. Our contractual arrangements state that our customers and trading partners retain legal ownership of the cryptoassets custodied by us on their behalf; they also benefit from the rewards and bear the risks associated with their ownership, including as a result of any price fluctuations. We have been monitoring and will continue to actively monitor legal and regulatory developments and may consider further steps, as appropriate, to support this contractual position so that in the event of our bankruptcy, the cryptoassets custodied by us should not be deemed to be part of our bankruptcy estate. We do not expect potential future cash flows associated with the cryptoasset safeguarding obligation liability.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Corporate Structure</w:t>
      </w:r>
    </w:p>
    <w:p>
      <w:pPr>
        <w:spacing w:after="0" w:line="256"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231F20"/>
        </w:rPr>
        <w:t>We own and consolidate entities formed during the year ended December 31, 2019, including Bakkt Trust and Bakkt Marketplace. We also own and consolidate entities that were acquired during the year ended December 31, 2019,</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231F20"/>
        </w:rPr>
        <w:t>including DACC Technologies, Inc., Digital Asset Custody Company, Inc. (collectively with DACC Technologies, Inc., “DACC”), and Bakkt Clearing, LLC (“Bakkt Clearing”), formerly known as Rosenthal Collins Group, L.L.C. We continued to operate these entities through fiscal year 2021 and also acquired Bridge2 Solutions in February 2020.</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231F20"/>
        </w:rPr>
        <w:t>Bakkt Trust is a New York limited-purpose trust company that is chartered by and subject to the supervision and oversight of the NYDFS. In September 2019, Bakkt Trust, along with IFUS and ICUS, both of which are wholly-owned subsidiaries of ICE, brought to market an institutional-grade, regulated infrastructure for trading, clearing, and custody services for bitcoin. Bakkt Trust acts as a qualified custodian for bitcoin and ether, which enables Bakkt Trust to offer end-to-end regulated, physically-delivered bitcoin futures and options contracts to financial institutions and market makers. In addition, Bakkt Trust has been approved by the NYDFS to offer standalone custody of bitcoin and ether to institutions and certain high net worth individuals in cryptoassets, subject to NYDFS regulatory oversight.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The below graphic illustrates the structure of the physically-delivered bitcoin futures and options and custody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5657850" cy="3180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318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231F20"/>
        </w:rPr>
        <w:t>Bakkt Marketplace has created an integrated platform that enables consumers and enterprises to transact in digital assets. Bakkt Marketplace users have a digital wallet that enables them to purchase, sell, convert, and or spend digital assets. Users can also use their digital wallet to spend fiat currency with various retailers and convert loyalty and rewards points into fiat currency. Bakkt Marketplace has received money transmitter licenses from all states throughout the U.S. where such licenses are required, has obtained a New York State virtual currency license, and is registered as a money services business with the Financial Crimes Enforcement Network of the United States Department of the Treasury. Bakkt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231F20"/>
        </w:rPr>
        <w:t>Trust’s custody solution provides support to Bakkt Marketplace with respect to bitcoin and ether functionality within the consumer app.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Bakkt Clearing was registered as a futures commission merchant (“FCM”) with the Commodity Futures Trading Commission (“CFTC”) and a member of the National Futures Association (“NFA”). On May 20, 2022, we withdrew our registration with CFTC and membership in NFA, which was effective on June 20, 2022.</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231F20"/>
        </w:rPr>
        <w:t>Bakkt’s white label loyalty redemption platform is largely carried on by its subsidiary, Bridge2 Solutions, LLC, which Bakkt acquired in February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231F20"/>
        </w:rPr>
        <w:t>2020.</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Relationship with ICE</w:t>
      </w:r>
    </w:p>
    <w:p>
      <w:pPr>
        <w:spacing w:after="0" w:line="25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231F20"/>
        </w:rPr>
        <w:t>Prior to the consummation of the Business Combination, we were an indirect majority-owned subsidiary of ICE. ICE is a global market infrastructure provider with a history of developing and implementing leading technologies. ICE operates exchanges, clearinghouses, and listing venues for the financial markets alongside offering data-driven technology services to support the trading, lending, investment, risk management, and connectivity needs of customers. In building our platform, ICE and minority investors contributed capital and assets, leveraging ICE’s leading competency of creating and operating market infrastructure. Upon our formation, ICE made a cash capital contribution and granted us the right to access ICE’s existing futures and clearing platforms. ICE also partners with us with respect to certain institutional product offerings.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is our consolidated statements of operations for the Successor period and the Predecessor periods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91"/>
              <w:spacing w:after="0"/>
              <w:rPr>
                <w:sz w:val="20"/>
                <w:szCs w:val="20"/>
                <w:color w:val="auto"/>
              </w:rPr>
            </w:pPr>
            <w:r>
              <w:rPr>
                <w:rFonts w:ascii="Arial" w:cs="Arial" w:eastAsia="Arial" w:hAnsi="Arial"/>
                <w:sz w:val="18"/>
                <w:szCs w:val="18"/>
                <w:b w:val="1"/>
                <w:bCs w:val="1"/>
                <w:color w:val="auto"/>
                <w:w w:val="83"/>
              </w:rPr>
              <w:t>Successor</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Predecessor</w:t>
            </w:r>
          </w:p>
        </w:tc>
        <w:tc>
          <w:tcPr>
            <w:tcW w:w="240" w:type="dxa"/>
            <w:vAlign w:val="bottom"/>
          </w:tcPr>
          <w:p>
            <w:pPr>
              <w:spacing w:after="0"/>
              <w:rPr>
                <w:sz w:val="19"/>
                <w:szCs w:val="19"/>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w w:val="92"/>
              </w:rPr>
              <w:t>Successor</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193"/>
              <w:spacing w:after="0"/>
              <w:rPr>
                <w:sz w:val="20"/>
                <w:szCs w:val="20"/>
                <w:color w:val="auto"/>
              </w:rPr>
            </w:pPr>
            <w:r>
              <w:rPr>
                <w:rFonts w:ascii="Arial" w:cs="Arial" w:eastAsia="Arial" w:hAnsi="Arial"/>
                <w:sz w:val="18"/>
                <w:szCs w:val="18"/>
                <w:b w:val="1"/>
                <w:bCs w:val="1"/>
                <w:color w:val="auto"/>
                <w:w w:val="88"/>
              </w:rPr>
              <w:t>Predecessor</w:t>
            </w:r>
          </w:p>
        </w:tc>
        <w:tc>
          <w:tcPr>
            <w:tcW w:w="0" w:type="dxa"/>
            <w:vAlign w:val="bottom"/>
          </w:tcPr>
          <w:p>
            <w:pPr>
              <w:spacing w:after="0"/>
              <w:rPr>
                <w:sz w:val="1"/>
                <w:szCs w:val="1"/>
                <w:color w:val="auto"/>
              </w:rPr>
            </w:pPr>
          </w:p>
        </w:tc>
      </w:tr>
      <w:tr>
        <w:trPr>
          <w:trHeight w:val="156"/>
        </w:trPr>
        <w:tc>
          <w:tcPr>
            <w:tcW w:w="49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ind w:right="71"/>
              <w:spacing w:after="0" w:line="155" w:lineRule="exact"/>
              <w:rPr>
                <w:sz w:val="20"/>
                <w:szCs w:val="20"/>
                <w:color w:val="auto"/>
              </w:rPr>
            </w:pPr>
            <w:r>
              <w:rPr>
                <w:rFonts w:ascii="Arial" w:cs="Arial" w:eastAsia="Arial" w:hAnsi="Arial"/>
                <w:sz w:val="16"/>
                <w:szCs w:val="16"/>
                <w:b w:val="1"/>
                <w:bCs w:val="1"/>
                <w:color w:val="auto"/>
                <w:w w:val="93"/>
              </w:rPr>
              <w:t>Three Months</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ind w:right="94"/>
              <w:spacing w:after="0" w:line="155" w:lineRule="exact"/>
              <w:rPr>
                <w:sz w:val="20"/>
                <w:szCs w:val="20"/>
                <w:color w:val="auto"/>
              </w:rPr>
            </w:pPr>
            <w:r>
              <w:rPr>
                <w:rFonts w:ascii="Arial" w:cs="Arial" w:eastAsia="Arial" w:hAnsi="Arial"/>
                <w:sz w:val="16"/>
                <w:szCs w:val="16"/>
                <w:b w:val="1"/>
                <w:bCs w:val="1"/>
                <w:color w:val="auto"/>
                <w:w w:val="93"/>
              </w:rPr>
              <w:t>Three Months</w:t>
            </w:r>
          </w:p>
        </w:tc>
        <w:tc>
          <w:tcPr>
            <w:tcW w:w="140" w:type="dxa"/>
            <w:vAlign w:val="bottom"/>
          </w:tcPr>
          <w:p>
            <w:pPr>
              <w:spacing w:after="0"/>
              <w:rPr>
                <w:sz w:val="13"/>
                <w:szCs w:val="13"/>
                <w:color w:val="auto"/>
              </w:rPr>
            </w:pPr>
          </w:p>
        </w:tc>
        <w:tc>
          <w:tcPr>
            <w:tcW w:w="14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w w:val="93"/>
              </w:rPr>
              <w:t>Nine Months Ended</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w w:val="93"/>
              </w:rPr>
              <w:t>Nine Months Ended</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91"/>
              <w:spacing w:after="0" w:line="162" w:lineRule="exact"/>
              <w:rPr>
                <w:sz w:val="20"/>
                <w:szCs w:val="20"/>
                <w:color w:val="auto"/>
              </w:rPr>
            </w:pPr>
            <w:r>
              <w:rPr>
                <w:rFonts w:ascii="Arial" w:cs="Arial" w:eastAsia="Arial" w:hAnsi="Arial"/>
                <w:sz w:val="16"/>
                <w:szCs w:val="16"/>
                <w:b w:val="1"/>
                <w:bCs w:val="1"/>
                <w:color w:val="auto"/>
                <w:w w:val="89"/>
              </w:rPr>
              <w:t>Ended</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9"/>
              </w:rPr>
              <w:t>Ended</w:t>
            </w:r>
          </w:p>
        </w:tc>
        <w:tc>
          <w:tcPr>
            <w:tcW w:w="1460" w:type="dxa"/>
            <w:vAlign w:val="bottom"/>
            <w:gridSpan w:val="2"/>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September 30, 2022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September 30, 2021</w:t>
            </w: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w w:val="92"/>
              </w:rPr>
              <w:t>September 30, 2022</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w w:val="92"/>
              </w:rPr>
              <w:t>September 30, 2021</w:t>
            </w:r>
          </w:p>
        </w:tc>
        <w:tc>
          <w:tcPr>
            <w:tcW w:w="0" w:type="dxa"/>
            <w:vAlign w:val="bottom"/>
          </w:tcPr>
          <w:p>
            <w:pPr>
              <w:spacing w:after="0"/>
              <w:rPr>
                <w:sz w:val="1"/>
                <w:szCs w:val="1"/>
                <w:color w:val="auto"/>
              </w:rPr>
            </w:pPr>
          </w:p>
        </w:tc>
      </w:tr>
      <w:tr>
        <w:trPr>
          <w:trHeight w:val="215"/>
        </w:trPr>
        <w:tc>
          <w:tcPr>
            <w:tcW w:w="4900" w:type="dxa"/>
            <w:vAlign w:val="bottom"/>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Net revenues</w:t>
            </w:r>
            <w:r>
              <w:rPr>
                <w:rFonts w:ascii="Arial" w:cs="Arial" w:eastAsia="Arial" w:hAnsi="Arial"/>
                <w:sz w:val="23"/>
                <w:szCs w:val="23"/>
                <w:color w:val="auto"/>
                <w:vertAlign w:val="superscript"/>
              </w:rPr>
              <w:t>(1)</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12,860</w:t>
            </w:r>
          </w:p>
        </w:tc>
        <w:tc>
          <w:tcPr>
            <w:tcW w:w="120" w:type="dxa"/>
            <w:vAlign w:val="bottom"/>
            <w:tcBorders>
              <w:right w:val="single" w:sz="8" w:color="auto"/>
            </w:tcBorders>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38,964</w:t>
            </w:r>
          </w:p>
        </w:tc>
        <w:tc>
          <w:tcPr>
            <w:tcW w:w="10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25,773</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and benefits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107,135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57,375</w:t>
            </w:r>
          </w:p>
        </w:tc>
        <w:tc>
          <w:tcPr>
            <w:tcW w:w="0" w:type="dxa"/>
            <w:vAlign w:val="bottom"/>
          </w:tcPr>
          <w:p>
            <w:pPr>
              <w:spacing w:after="0"/>
              <w:rPr>
                <w:sz w:val="1"/>
                <w:szCs w:val="1"/>
                <w:color w:val="auto"/>
              </w:rPr>
            </w:pPr>
          </w:p>
        </w:tc>
      </w:tr>
      <w:tr>
        <w:trPr>
          <w:trHeight w:val="229"/>
        </w:trPr>
        <w:tc>
          <w:tcPr>
            <w:tcW w:w="490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2,707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3,334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9,291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5,006</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 and communication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12,659</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9,851</w:t>
            </w:r>
          </w:p>
        </w:tc>
        <w:tc>
          <w:tcPr>
            <w:tcW w:w="0" w:type="dxa"/>
            <w:vAlign w:val="bottom"/>
          </w:tcPr>
          <w:p>
            <w:pPr>
              <w:spacing w:after="0"/>
              <w:rPr>
                <w:sz w:val="1"/>
                <w:szCs w:val="1"/>
                <w:color w:val="auto"/>
              </w:rPr>
            </w:pPr>
          </w:p>
        </w:tc>
      </w:tr>
      <w:tr>
        <w:trPr>
          <w:trHeight w:val="230"/>
        </w:trPr>
        <w:tc>
          <w:tcPr>
            <w:tcW w:w="49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7,792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4,449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26,995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19,514</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expenses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12,075</w:t>
            </w:r>
          </w:p>
        </w:tc>
        <w:tc>
          <w:tcPr>
            <w:tcW w:w="0" w:type="dxa"/>
            <w:vAlign w:val="bottom"/>
          </w:tcPr>
          <w:p>
            <w:pPr>
              <w:spacing w:after="0"/>
              <w:rPr>
                <w:sz w:val="1"/>
                <w:szCs w:val="1"/>
                <w:color w:val="auto"/>
              </w:rPr>
            </w:pPr>
          </w:p>
        </w:tc>
      </w:tr>
      <w:tr>
        <w:trPr>
          <w:trHeight w:val="230"/>
        </w:trPr>
        <w:tc>
          <w:tcPr>
            <w:tcW w:w="49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6,391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3,270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18,340</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9,098</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Related party expenses (affiliate in Predecessor period)</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29"/>
        </w:trPr>
        <w:tc>
          <w:tcPr>
            <w:tcW w:w="4900" w:type="dxa"/>
            <w:vAlign w:val="bottom"/>
          </w:tcPr>
          <w:p>
            <w:pPr>
              <w:ind w:left="180"/>
              <w:spacing w:after="0"/>
              <w:rPr>
                <w:sz w:val="20"/>
                <w:szCs w:val="20"/>
                <w:color w:val="auto"/>
              </w:rPr>
            </w:pPr>
            <w:r>
              <w:rPr>
                <w:rFonts w:ascii="Arial" w:cs="Arial" w:eastAsia="Arial" w:hAnsi="Arial"/>
                <w:sz w:val="18"/>
                <w:szCs w:val="18"/>
                <w:color w:val="auto"/>
              </w:rPr>
              <w:t>Goodwill and intangible assets impairments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1,547,711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1,547,711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1,607,761</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1,725,901</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115,370</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(1,594,901)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(29,862)</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(1,686,937)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(89,597)</w:t>
            </w:r>
          </w:p>
        </w:tc>
        <w:tc>
          <w:tcPr>
            <w:tcW w:w="0" w:type="dxa"/>
            <w:vAlign w:val="bottom"/>
          </w:tcPr>
          <w:p>
            <w:pPr>
              <w:spacing w:after="0"/>
              <w:rPr>
                <w:sz w:val="1"/>
                <w:szCs w:val="1"/>
                <w:color w:val="auto"/>
              </w:rPr>
            </w:pPr>
          </w:p>
        </w:tc>
      </w:tr>
      <w:tr>
        <w:trPr>
          <w:trHeight w:val="223"/>
        </w:trPr>
        <w:tc>
          <w:tcPr>
            <w:tcW w:w="4900" w:type="dxa"/>
            <w:vAlign w:val="bottom"/>
          </w:tcPr>
          <w:p>
            <w:pPr>
              <w:ind w:left="180"/>
              <w:spacing w:after="0"/>
              <w:rPr>
                <w:sz w:val="20"/>
                <w:szCs w:val="20"/>
                <w:color w:val="auto"/>
              </w:rPr>
            </w:pPr>
            <w:r>
              <w:rPr>
                <w:rFonts w:ascii="Arial" w:cs="Arial" w:eastAsia="Arial" w:hAnsi="Arial"/>
                <w:sz w:val="18"/>
                <w:szCs w:val="18"/>
                <w:color w:val="auto"/>
              </w:rPr>
              <w:t>Interest income (expense),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from change in fair value of warrant liability</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13,139</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(1,593,154)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(1,672,353)</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(89,363)</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benefit (expense)</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8,844</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(1,592,548)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(28,847)</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(1,663,509)</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(89,558)</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Net loss attributable to noncontrolling interest</w:t>
            </w: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(1,124,416)</w:t>
            </w: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(1,184,352)</w:t>
            </w: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right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Bakkt Holdings, Inc.</w:t>
            </w: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(468,132)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(479,157)</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Net loss per share attributable to Class A common stockholders.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w:t>
            </w:r>
          </w:p>
        </w:tc>
        <w:tc>
          <w:tcPr>
            <w:tcW w:w="14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hanging="328"/>
        <w:spacing w:after="0" w:line="325" w:lineRule="auto"/>
        <w:tabs>
          <w:tab w:leader="none" w:pos="654"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revenue for the three and nine months ended September 30, 2022 includes net revenues from related party of $6 and $40, respectively. The revenue for the three and nine months ended September 30, 2021 includes net revenues from affiliate of $(111) and $(154), respectively.</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a result of the Business Combination, ICE and its affiliates are no longer our affiliates.</w:t>
      </w:r>
    </w:p>
    <w:p>
      <w:pPr>
        <w:spacing w:after="0" w:line="36" w:lineRule="exact"/>
        <w:rPr>
          <w:rFonts w:ascii="Arial" w:cs="Arial" w:eastAsia="Arial" w:hAnsi="Arial"/>
          <w:sz w:val="18"/>
          <w:szCs w:val="18"/>
          <w:color w:val="auto"/>
        </w:rPr>
      </w:pPr>
    </w:p>
    <w:p>
      <w:pPr>
        <w:ind w:left="640" w:hanging="308"/>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Basic and diluted loss per share is not presented for the Predecessor period due to lack of comparability with the Successor period.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Three Months Ended September 30, 2022 (Successor) compared to Three Months Ended September 30, 2021 (Predecessor)</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Financial Summary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The three months ended September 30, 2022 included the following notable items relative to the three months ended September 30, 2021:</w:t>
      </w:r>
    </w:p>
    <w:p>
      <w:pPr>
        <w:spacing w:after="0" w:line="10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Revenue increased $3.7 million, or 41%, primarily driven by strong transaction revenue from the loyalty redemption business; and</w:t>
      </w:r>
    </w:p>
    <w:p>
      <w:pPr>
        <w:spacing w:after="0" w:line="36" w:lineRule="exact"/>
        <w:rPr>
          <w:rFonts w:ascii="Arial" w:cs="Arial" w:eastAsia="Arial" w:hAnsi="Arial"/>
          <w:sz w:val="18"/>
          <w:szCs w:val="18"/>
          <w:color w:val="231F20"/>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Operating expenses increased $1,568.8 million primarily driven by goodwill and intangible asset impairment charges.</w:t>
      </w:r>
    </w:p>
    <w:p>
      <w:pPr>
        <w:spacing w:after="0" w:line="26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231F20"/>
        </w:rPr>
        <w:t>Revenue</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3"/>
              </w:rPr>
              <w:t>Successor</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78"/>
        </w:trPr>
        <w:tc>
          <w:tcPr>
            <w:tcW w:w="38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jc w:val="center"/>
              <w:ind w:right="90"/>
              <w:spacing w:after="0" w:line="177" w:lineRule="exact"/>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jc w:val="center"/>
              <w:ind w:right="90"/>
              <w:spacing w:after="0" w:line="177" w:lineRule="exact"/>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4"/>
        </w:trPr>
        <w:tc>
          <w:tcPr>
            <w:tcW w:w="38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20"/>
                <w:szCs w:val="20"/>
                <w:color w:val="auto"/>
              </w:rPr>
            </w:pPr>
          </w:p>
        </w:tc>
        <w:tc>
          <w:tcPr>
            <w:tcW w:w="214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 2022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September 30, 2021</w:t>
            </w:r>
          </w:p>
        </w:tc>
        <w:tc>
          <w:tcPr>
            <w:tcW w:w="18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Net revenues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12,860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3,718</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40.7 %</w:t>
            </w: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Net Revenues</w:t>
      </w:r>
    </w:p>
    <w:p>
      <w:pPr>
        <w:spacing w:after="0" w:line="252"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8"/>
          <w:szCs w:val="18"/>
          <w:color w:val="auto"/>
        </w:rPr>
        <w:t>Net revenues consist of transaction revenue and subscription and service revenue. We receive revenue when consumers use our services to buy, sell, and spend digital assets. We generate revenue across our platform in the following key areas:</w:t>
      </w:r>
    </w:p>
    <w:p>
      <w:pPr>
        <w:spacing w:after="0" w:line="1" w:lineRule="exact"/>
        <w:rPr>
          <w:sz w:val="20"/>
          <w:szCs w:val="20"/>
          <w:color w:val="auto"/>
        </w:rPr>
      </w:pPr>
    </w:p>
    <w:p>
      <w:pPr>
        <w:ind w:left="660" w:hanging="328"/>
        <w:spacing w:after="0" w:line="29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Subscription and service revenue. We receive a recurring subscription revenue stream from partner platform fees as well as service revenue from software development fees and call center support.</w:t>
      </w:r>
    </w:p>
    <w:p>
      <w:pPr>
        <w:ind w:left="660" w:hanging="328"/>
        <w:spacing w:after="0" w:line="30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Transaction revenue. We generate transaction revenue though loyalty redemption volumes where we receive a percentage fee based on the volume and from crypto buy/sell where we make a spread on both legs of the transaction.</w:t>
      </w:r>
    </w:p>
    <w:p>
      <w:pPr>
        <w:spacing w:after="0" w:line="184"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Our revenue has seasonality and is typically higher in the fourth quarter, driven by holiday spending and the booking of travel. Revenue generated from our service offerings in the digital asset marketplace and payments has been immaterial to date. However, we expect that revenues from cryptoasset trades, spending digital assets and other transactions and subscription fees will be significant drivers of our business, and we expect those revenues to increase as we grow our partner base and our users. As a result, over time, we expect loyalty revenue, which has been the source of substantially all of our revenue historically, to decrease as a percentage of overall revenue as the revenue from our other product and service offerings grows.</w:t>
      </w:r>
    </w:p>
    <w:p>
      <w:pPr>
        <w:spacing w:after="0" w:line="15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Transaction revenue is net of incentives, rebates and liquidity payments, reductions in connection with the contribution agreement entered into between Bakkt and ICE in connection with ICE’s formation of Bakkt (the “Contribution Agreement”), and consideration payable to a customer pursuant to an agreement with a strategic partner.</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Net revenues increased by $3.7 million, or 40.7%, for the three months ended September 30, 2022 compared to the three months ended September 30, 2021. The increase was comprised of $3.9 million of increased transaction revenue, offset by $(0.2) million of decreased subscription and service revenue. The increase in transaction revenue was primarily driven by $2.9 million from higher customer activity in our loyalty redemption services business and additional volume from a new partner that was activated at the end of the third quarter last year. The decrease in subscription and service revenue was related to reduced development services.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 xml:space="preserve">Operating expenses consist of compensation and benefits, professional services, technology and communication expenses, selling, general and administrative expense, acquisition-related expenses, depreciation and amortization, affiliate expenses, impairment of </w:t>
      </w:r>
      <w:r>
        <w:rPr>
          <w:rFonts w:ascii="Arial" w:cs="Arial" w:eastAsia="Arial" w:hAnsi="Arial"/>
          <w:sz w:val="18"/>
          <w:szCs w:val="18"/>
          <w:color w:val="000000"/>
        </w:rPr>
        <w:t>indefinite-lived intangible assets,</w:t>
      </w:r>
      <w:r>
        <w:rPr>
          <w:rFonts w:ascii="Arial" w:cs="Arial" w:eastAsia="Arial" w:hAnsi="Arial"/>
          <w:sz w:val="18"/>
          <w:szCs w:val="18"/>
          <w:color w:val="231F20"/>
        </w:rPr>
        <w:t xml:space="preserve"> </w:t>
      </w:r>
      <w:r>
        <w:rPr>
          <w:rFonts w:ascii="Arial" w:cs="Arial" w:eastAsia="Arial" w:hAnsi="Arial"/>
          <w:sz w:val="18"/>
          <w:szCs w:val="18"/>
          <w:color w:val="000000"/>
        </w:rPr>
        <w:t>long-lived assets, and goodwill</w:t>
      </w:r>
      <w:r>
        <w:rPr>
          <w:rFonts w:ascii="Arial" w:cs="Arial" w:eastAsia="Arial" w:hAnsi="Arial"/>
          <w:sz w:val="18"/>
          <w:szCs w:val="18"/>
          <w:color w:val="231F20"/>
        </w:rPr>
        <w:t>, and other operating expenses.</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0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Compensation and Benefits</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3"/>
                <w:szCs w:val="23"/>
                <w:color w:val="auto"/>
              </w:rPr>
            </w:pPr>
          </w:p>
        </w:tc>
        <w:tc>
          <w:tcPr>
            <w:tcW w:w="80" w:type="dxa"/>
            <w:vAlign w:val="bottom"/>
            <w:vMerge w:val="restart"/>
          </w:tcPr>
          <w:p>
            <w:pPr>
              <w:spacing w:after="0"/>
              <w:rPr>
                <w:sz w:val="23"/>
                <w:szCs w:val="23"/>
                <w:color w:val="auto"/>
              </w:rPr>
            </w:pPr>
          </w:p>
        </w:tc>
        <w:tc>
          <w:tcPr>
            <w:tcW w:w="180" w:type="dxa"/>
            <w:vAlign w:val="bottom"/>
          </w:tcPr>
          <w:p>
            <w:pPr>
              <w:spacing w:after="0"/>
              <w:rPr>
                <w:sz w:val="23"/>
                <w:szCs w:val="23"/>
                <w:color w:val="auto"/>
              </w:rPr>
            </w:pPr>
          </w:p>
        </w:tc>
        <w:tc>
          <w:tcPr>
            <w:tcW w:w="21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21"/>
                <w:szCs w:val="21"/>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 2022</w:t>
            </w: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September 30, 2021</w:t>
            </w:r>
          </w:p>
        </w:tc>
        <w:tc>
          <w:tcPr>
            <w:tcW w:w="180" w:type="dxa"/>
            <w:vAlign w:val="bottom"/>
          </w:tcPr>
          <w:p>
            <w:pPr>
              <w:spacing w:after="0"/>
              <w:rPr>
                <w:sz w:val="21"/>
                <w:szCs w:val="21"/>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37,800</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22,225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15,575</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231F20"/>
        </w:rPr>
        <w:t>Compensation and benefits expense include all salaries and benefits, compensation for contract labor, incentive programs for employees, payroll taxes, unit-based compensation and other employee related costs. Compensation and benefits expense is the most significant component of our operating expenses, and we expect that our compensation and benefits expense will continue to increase in absolute dollars as we continue to expand our business, as described below.</w:t>
      </w:r>
    </w:p>
    <w:p>
      <w:pPr>
        <w:spacing w:after="0" w:line="17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Headcount has increased, and will continue to increase, across functions to further strengthen our service offerings and enhance our systems, processes, and controls. We intend to grant equity awards as part of the compensation package for new employees. We expect that our compensation and expenses will decrease as a percentage of our revenue over time. Compensation and benefits increased by $15.6 million, or 70.1%, for the three months ended September 30, 2022 compared to the three months ended September 30, 2021. The increase was primarily due to increases of $4.4 million in additional salaries, wages and benefits, $2.8 million in contract labor for software development, and $8.2 million in non-cash compensation and incentive bonuses.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8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Professional Services</w:t>
            </w: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2"/>
                <w:szCs w:val="22"/>
                <w:color w:val="auto"/>
              </w:rPr>
            </w:pPr>
          </w:p>
        </w:tc>
        <w:tc>
          <w:tcPr>
            <w:tcW w:w="80" w:type="dxa"/>
            <w:vAlign w:val="bottom"/>
            <w:vMerge w:val="restart"/>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tcPr>
          <w:p>
            <w:pPr>
              <w:jc w:val="center"/>
              <w:ind w:right="110"/>
              <w:spacing w:after="0" w:line="169" w:lineRule="exact"/>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21"/>
                <w:szCs w:val="21"/>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September 30, 2022</w:t>
            </w: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September 30, 2021</w:t>
            </w:r>
          </w:p>
        </w:tc>
        <w:tc>
          <w:tcPr>
            <w:tcW w:w="180" w:type="dxa"/>
            <w:vAlign w:val="bottom"/>
          </w:tcPr>
          <w:p>
            <w:pPr>
              <w:spacing w:after="0"/>
              <w:rPr>
                <w:sz w:val="21"/>
                <w:szCs w:val="21"/>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Professional Services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3,334</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(627)</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6"/>
          <w:szCs w:val="16"/>
          <w:color w:val="231F20"/>
        </w:rPr>
        <w:t>Professional services expense includes fees for accounting, legal and regulatory fees. Professional services decreased by $(0.6) million, or (18.8%), for the three months ended September 30, 2022 compared to the three months ended September 30, 2021. The decrease was primarily due to a decrease of $1.3 million in professional and other fees, partially offset by an increase of $0.4 million in legal fees and $0.3 million in audit and tax fees.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0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Technology and Communication</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3"/>
                <w:szCs w:val="23"/>
                <w:color w:val="auto"/>
              </w:rPr>
            </w:pPr>
          </w:p>
        </w:tc>
        <w:tc>
          <w:tcPr>
            <w:tcW w:w="80" w:type="dxa"/>
            <w:vAlign w:val="bottom"/>
            <w:vMerge w:val="restart"/>
          </w:tcPr>
          <w:p>
            <w:pPr>
              <w:spacing w:after="0"/>
              <w:rPr>
                <w:sz w:val="23"/>
                <w:szCs w:val="23"/>
                <w:color w:val="auto"/>
              </w:rPr>
            </w:pPr>
          </w:p>
        </w:tc>
        <w:tc>
          <w:tcPr>
            <w:tcW w:w="180" w:type="dxa"/>
            <w:vAlign w:val="bottom"/>
          </w:tcPr>
          <w:p>
            <w:pPr>
              <w:spacing w:after="0"/>
              <w:rPr>
                <w:sz w:val="23"/>
                <w:szCs w:val="23"/>
                <w:color w:val="auto"/>
              </w:rPr>
            </w:pPr>
          </w:p>
        </w:tc>
        <w:tc>
          <w:tcPr>
            <w:tcW w:w="21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21"/>
                <w:szCs w:val="21"/>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 2022</w:t>
            </w: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September 30, 2021</w:t>
            </w:r>
          </w:p>
        </w:tc>
        <w:tc>
          <w:tcPr>
            <w:tcW w:w="180" w:type="dxa"/>
            <w:vAlign w:val="bottom"/>
          </w:tcPr>
          <w:p>
            <w:pPr>
              <w:spacing w:after="0"/>
              <w:rPr>
                <w:sz w:val="21"/>
                <w:szCs w:val="21"/>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Technology and Communication</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4,137</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3,148</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989</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customer requirements, system capacity, functionality and redundancy requirements.</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communications expense increased by $1.0 million, or 31.4%, for the three months ended September 30, 2022 compared to the three months ended September 30, 2021. The increase was primarily due to an increase of $0.8 million in hardware and software license fees.</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0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Selling, General and Administrative</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2"/>
                <w:szCs w:val="22"/>
                <w:color w:val="auto"/>
              </w:rPr>
            </w:pPr>
          </w:p>
        </w:tc>
        <w:tc>
          <w:tcPr>
            <w:tcW w:w="80" w:type="dxa"/>
            <w:vAlign w:val="bottom"/>
            <w:vMerge w:val="restart"/>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8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jc w:val="center"/>
              <w:ind w:right="90"/>
              <w:spacing w:after="0" w:line="177" w:lineRule="exact"/>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jc w:val="center"/>
              <w:ind w:right="90"/>
              <w:spacing w:after="0" w:line="177" w:lineRule="exact"/>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20"/>
                <w:szCs w:val="20"/>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 2022</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September 30, 2021</w:t>
            </w:r>
          </w:p>
        </w:tc>
        <w:tc>
          <w:tcPr>
            <w:tcW w:w="18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7,792</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4,449</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3,343</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231F20"/>
        </w:rPr>
        <w:t>Selling, general and administrative expenses include marketing, advertising, business insurance, rent and occupancy, bank service charges, dues and subscriptions, travel and entertainment, rent and occupancy, and other general and administrative costs. Our marketing activities primarily consist of web-based promotional campaigns, promotional activities with partners, conferences and user events, and brand-building activities. Selling, general and administrative expenses do not include any headcount cost, which is reflected in the compensation and benefits financial statement line item. Our selling, general and administrative expenses will continue to increase in absolute dollars to support the projected growth in our business and requirements of being a public company, including increased insurance premiums and disclosure processes. However, we expect these costs will decrease as a percentage of our revenue in future years as we gain improved operating leverage from our projected revenue growth.</w:t>
      </w:r>
    </w:p>
    <w:p>
      <w:pPr>
        <w:spacing w:after="0" w:line="18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Selling, general and administrative costs increased by $3.3 million, or 75.1%, for the three months ended September 30, 2022 compared to the three months ended September 30, 2021. The increase was primarily due to increases of $3.9 million in insurance expense and $0.8 million in occupancy costs, partially offset by a $2.1 million reduction of marketing expenses. The majority of marketing expenses are web-based promotional campaigns. We expect to increase marketing efforts as part of our broader growth initiatives, which is expected to result in increased selling, general and administrative expenses in future periods.</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8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Acquisition-related Expenses</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0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1"/>
              </w:rPr>
              <w:t>Successor</w:t>
            </w:r>
          </w:p>
        </w:tc>
        <w:tc>
          <w:tcPr>
            <w:tcW w:w="20" w:type="dxa"/>
            <w:vAlign w:val="bottom"/>
          </w:tcPr>
          <w:p>
            <w:pPr>
              <w:spacing w:after="0"/>
              <w:rPr>
                <w:sz w:val="23"/>
                <w:szCs w:val="23"/>
                <w:color w:val="auto"/>
              </w:rPr>
            </w:pPr>
          </w:p>
        </w:tc>
        <w:tc>
          <w:tcPr>
            <w:tcW w:w="80" w:type="dxa"/>
            <w:vAlign w:val="bottom"/>
            <w:vMerge w:val="restart"/>
          </w:tcPr>
          <w:p>
            <w:pPr>
              <w:spacing w:after="0"/>
              <w:rPr>
                <w:sz w:val="23"/>
                <w:szCs w:val="23"/>
                <w:color w:val="auto"/>
              </w:rPr>
            </w:pPr>
          </w:p>
        </w:tc>
        <w:tc>
          <w:tcPr>
            <w:tcW w:w="200" w:type="dxa"/>
            <w:vAlign w:val="bottom"/>
          </w:tcPr>
          <w:p>
            <w:pPr>
              <w:spacing w:after="0"/>
              <w:rPr>
                <w:sz w:val="23"/>
                <w:szCs w:val="23"/>
                <w:color w:val="auto"/>
              </w:rPr>
            </w:pPr>
          </w:p>
        </w:tc>
        <w:tc>
          <w:tcPr>
            <w:tcW w:w="21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3"/>
              </w:rPr>
              <w:t>Predecessor</w:t>
            </w: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tcPr>
          <w:p>
            <w:pPr>
              <w:jc w:val="center"/>
              <w:ind w:right="110"/>
              <w:spacing w:after="0" w:line="169" w:lineRule="exact"/>
              <w:rPr>
                <w:sz w:val="20"/>
                <w:szCs w:val="20"/>
                <w:color w:val="auto"/>
              </w:rPr>
            </w:pPr>
            <w:r>
              <w:rPr>
                <w:rFonts w:ascii="Arial" w:cs="Arial" w:eastAsia="Arial" w:hAnsi="Arial"/>
                <w:sz w:val="18"/>
                <w:szCs w:val="18"/>
                <w:b w:val="1"/>
                <w:bCs w:val="1"/>
                <w:color w:val="auto"/>
                <w:w w:val="90"/>
              </w:rPr>
              <w:t>Three Months Ended</w:t>
            </w:r>
          </w:p>
        </w:tc>
        <w:tc>
          <w:tcPr>
            <w:tcW w:w="8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tcPr>
          <w:p>
            <w:pPr>
              <w:jc w:val="center"/>
              <w:ind w:right="110"/>
              <w:spacing w:after="0" w:line="169" w:lineRule="exact"/>
              <w:rPr>
                <w:sz w:val="20"/>
                <w:szCs w:val="20"/>
                <w:color w:val="auto"/>
              </w:rPr>
            </w:pPr>
            <w:r>
              <w:rPr>
                <w:rFonts w:ascii="Arial" w:cs="Arial" w:eastAsia="Arial" w:hAnsi="Arial"/>
                <w:sz w:val="18"/>
                <w:szCs w:val="18"/>
                <w:b w:val="1"/>
                <w:bCs w:val="1"/>
                <w:color w:val="auto"/>
                <w:w w:val="90"/>
              </w:rPr>
              <w:t>Three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21"/>
                <w:szCs w:val="21"/>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 2022</w:t>
            </w: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 2021</w:t>
            </w:r>
          </w:p>
        </w:tc>
        <w:tc>
          <w:tcPr>
            <w:tcW w:w="160" w:type="dxa"/>
            <w:vAlign w:val="bottom"/>
          </w:tcPr>
          <w:p>
            <w:pPr>
              <w:spacing w:after="0"/>
              <w:rPr>
                <w:sz w:val="21"/>
                <w:szCs w:val="21"/>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Acquisition-related expenses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(1,312)</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231F20"/>
        </w:rPr>
        <w:t xml:space="preserve">Acquisition-related expenses decreased by $1.3 million, or 74.3%, for the three months ended September 30, 2022 compared to the three months ended September 30, 2021. Acquisition-related expenses for the three months ended September 30, 2022 consist of </w:t>
      </w:r>
      <w:r>
        <w:rPr>
          <w:rFonts w:ascii="Arial" w:cs="Arial" w:eastAsia="Arial" w:hAnsi="Arial"/>
          <w:sz w:val="17"/>
          <w:szCs w:val="17"/>
          <w:color w:val="000000"/>
        </w:rPr>
        <w:t>fees for investment banking advisors,</w:t>
      </w:r>
      <w:r>
        <w:rPr>
          <w:rFonts w:ascii="Arial" w:cs="Arial" w:eastAsia="Arial" w:hAnsi="Arial"/>
          <w:sz w:val="17"/>
          <w:szCs w:val="17"/>
          <w:color w:val="231F20"/>
        </w:rPr>
        <w:t xml:space="preserve"> </w:t>
      </w:r>
      <w:r>
        <w:rPr>
          <w:rFonts w:ascii="Arial" w:cs="Arial" w:eastAsia="Arial" w:hAnsi="Arial"/>
          <w:sz w:val="17"/>
          <w:szCs w:val="17"/>
          <w:color w:val="000000"/>
        </w:rPr>
        <w:t xml:space="preserve">lawyers, accountants, tax advisors and public relations firms directly related to the </w:t>
      </w:r>
      <w:r>
        <w:rPr>
          <w:rFonts w:ascii="Arial" w:cs="Arial" w:eastAsia="Arial" w:hAnsi="Arial"/>
          <w:sz w:val="17"/>
          <w:szCs w:val="17"/>
          <w:color w:val="231F20"/>
        </w:rPr>
        <w:t>acquisition of Apex. Acquisition-related expenses for the three months</w:t>
      </w:r>
      <w:r>
        <w:rPr>
          <w:rFonts w:ascii="Arial" w:cs="Arial" w:eastAsia="Arial" w:hAnsi="Arial"/>
          <w:sz w:val="17"/>
          <w:szCs w:val="17"/>
          <w:color w:val="000000"/>
        </w:rPr>
        <w:t xml:space="preserve"> </w:t>
      </w:r>
      <w:r>
        <w:rPr>
          <w:rFonts w:ascii="Arial" w:cs="Arial" w:eastAsia="Arial" w:hAnsi="Arial"/>
          <w:sz w:val="17"/>
          <w:szCs w:val="17"/>
          <w:color w:val="231F20"/>
        </w:rPr>
        <w:t xml:space="preserve">ended September 30, 2021 consist of </w:t>
      </w:r>
      <w:r>
        <w:rPr>
          <w:rFonts w:ascii="Arial" w:cs="Arial" w:eastAsia="Arial" w:hAnsi="Arial"/>
          <w:sz w:val="17"/>
          <w:szCs w:val="17"/>
          <w:color w:val="000000"/>
        </w:rPr>
        <w:t>fees for investment banking advisors, lawyers, accountants, tax advisors and public relations firms directly related to</w:t>
      </w:r>
      <w:r>
        <w:rPr>
          <w:rFonts w:ascii="Arial" w:cs="Arial" w:eastAsia="Arial" w:hAnsi="Arial"/>
          <w:sz w:val="17"/>
          <w:szCs w:val="17"/>
          <w:color w:val="231F20"/>
        </w:rPr>
        <w:t xml:space="preserve"> </w:t>
      </w:r>
      <w:r>
        <w:rPr>
          <w:rFonts w:ascii="Arial" w:cs="Arial" w:eastAsia="Arial" w:hAnsi="Arial"/>
          <w:sz w:val="17"/>
          <w:szCs w:val="17"/>
          <w:color w:val="000000"/>
        </w:rPr>
        <w:t xml:space="preserve">the </w:t>
      </w:r>
      <w:r>
        <w:rPr>
          <w:rFonts w:ascii="Arial" w:cs="Arial" w:eastAsia="Arial" w:hAnsi="Arial"/>
          <w:sz w:val="17"/>
          <w:szCs w:val="17"/>
          <w:color w:val="231F20"/>
        </w:rPr>
        <w:t>Business Combination, which did not recur during the three months ended September 30, 2022. The amount and timing of acquisition-related expenses</w:t>
      </w:r>
      <w:r>
        <w:rPr>
          <w:rFonts w:ascii="Arial" w:cs="Arial" w:eastAsia="Arial" w:hAnsi="Arial"/>
          <w:sz w:val="17"/>
          <w:szCs w:val="17"/>
          <w:color w:val="000000"/>
        </w:rPr>
        <w:t xml:space="preserve"> </w:t>
      </w:r>
      <w:r>
        <w:rPr>
          <w:rFonts w:ascii="Arial" w:cs="Arial" w:eastAsia="Arial" w:hAnsi="Arial"/>
          <w:sz w:val="17"/>
          <w:szCs w:val="17"/>
          <w:color w:val="231F20"/>
        </w:rPr>
        <w:t>is expected to vary across periods based on potential transaction activities.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ind w:left="660"/>
              <w:spacing w:after="0"/>
              <w:rPr>
                <w:sz w:val="20"/>
                <w:szCs w:val="20"/>
                <w:color w:val="auto"/>
              </w:rPr>
            </w:pPr>
            <w:r>
              <w:rPr>
                <w:rFonts w:ascii="Arial" w:cs="Arial" w:eastAsia="Arial" w:hAnsi="Arial"/>
                <w:sz w:val="18"/>
                <w:szCs w:val="18"/>
                <w:b w:val="1"/>
                <w:bCs w:val="1"/>
                <w:i w:val="1"/>
                <w:iCs w:val="1"/>
                <w:color w:val="231F20"/>
              </w:rPr>
              <w:t>Depreciation and Amortization</w:t>
            </w: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1"/>
              </w:rPr>
              <w:t>Successor</w:t>
            </w:r>
          </w:p>
        </w:tc>
        <w:tc>
          <w:tcPr>
            <w:tcW w:w="20" w:type="dxa"/>
            <w:vAlign w:val="bottom"/>
          </w:tcPr>
          <w:p>
            <w:pPr>
              <w:spacing w:after="0"/>
              <w:rPr>
                <w:sz w:val="22"/>
                <w:szCs w:val="22"/>
                <w:color w:val="auto"/>
              </w:rPr>
            </w:pPr>
          </w:p>
        </w:tc>
        <w:tc>
          <w:tcPr>
            <w:tcW w:w="100" w:type="dxa"/>
            <w:vAlign w:val="bottom"/>
            <w:vMerge w:val="restart"/>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3"/>
              </w:rPr>
              <w:t>Predecessor</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tcPr>
          <w:p>
            <w:pPr>
              <w:jc w:val="center"/>
              <w:ind w:right="110"/>
              <w:spacing w:after="0" w:line="169" w:lineRule="exact"/>
              <w:rPr>
                <w:sz w:val="20"/>
                <w:szCs w:val="20"/>
                <w:color w:val="auto"/>
              </w:rPr>
            </w:pPr>
            <w:r>
              <w:rPr>
                <w:rFonts w:ascii="Arial" w:cs="Arial" w:eastAsia="Arial" w:hAnsi="Arial"/>
                <w:sz w:val="18"/>
                <w:szCs w:val="18"/>
                <w:b w:val="1"/>
                <w:bCs w:val="1"/>
                <w:color w:val="auto"/>
                <w:w w:val="90"/>
              </w:rPr>
              <w:t>Three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21"/>
                <w:szCs w:val="21"/>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 2022</w:t>
            </w:r>
          </w:p>
        </w:tc>
        <w:tc>
          <w:tcPr>
            <w:tcW w:w="20" w:type="dxa"/>
            <w:vAlign w:val="bottom"/>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 2021</w:t>
            </w:r>
          </w:p>
        </w:tc>
        <w:tc>
          <w:tcPr>
            <w:tcW w:w="180" w:type="dxa"/>
            <w:vAlign w:val="bottom"/>
          </w:tcPr>
          <w:p>
            <w:pPr>
              <w:spacing w:after="0"/>
              <w:rPr>
                <w:sz w:val="21"/>
                <w:szCs w:val="21"/>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ind w:left="1540"/>
              <w:spacing w:after="0"/>
              <w:rPr>
                <w:sz w:val="20"/>
                <w:szCs w:val="20"/>
                <w:color w:val="auto"/>
              </w:rPr>
            </w:pPr>
            <w:r>
              <w:rPr>
                <w:rFonts w:ascii="Arial" w:cs="Arial" w:eastAsia="Arial" w:hAnsi="Arial"/>
                <w:sz w:val="18"/>
                <w:szCs w:val="18"/>
                <w:color w:val="auto"/>
              </w:rPr>
              <w:t>6,391</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3,121</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95.4 %</w:t>
            </w:r>
          </w:p>
        </w:tc>
        <w:tc>
          <w:tcPr>
            <w:tcW w:w="0" w:type="dxa"/>
            <w:vAlign w:val="bottom"/>
          </w:tcPr>
          <w:p>
            <w:pPr>
              <w:spacing w:after="0"/>
              <w:rPr>
                <w:sz w:val="1"/>
                <w:szCs w:val="1"/>
                <w:color w:val="auto"/>
              </w:rPr>
            </w:pPr>
          </w:p>
        </w:tc>
      </w:tr>
      <w:tr>
        <w:trPr>
          <w:trHeight w:val="918"/>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ind w:left="156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Depreciation and amortization expense consists of amortization of intangible assets from business acquisitions, internally developed software and depreciation of purchased software and computer and office equipment over their estimated useful lives. Intangible assets subject to amortization consist primarily of acquired technology and customer relationships from the Business Combination. Depreciation and amortization increased by $3.1 million, or 95.4%, for the three months ended September 30, 2022 compared to the three months ended September 30, 2021. The increase was primarily due to increases of $3.5 million related to the step-up in basis of the technology and customer relationships acquired in connection with the Business Combination.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Impairment of goodwill and other intangible assets</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3"/>
              </w:rPr>
              <w:t>Successor</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3"/>
          </w:tcPr>
          <w:p>
            <w:pPr>
              <w:jc w:val="center"/>
              <w:ind w:right="410"/>
              <w:spacing w:after="0"/>
              <w:rPr>
                <w:sz w:val="20"/>
                <w:szCs w:val="20"/>
                <w:color w:val="auto"/>
              </w:rPr>
            </w:pPr>
            <w:r>
              <w:rPr>
                <w:rFonts w:ascii="Arial" w:cs="Arial" w:eastAsia="Arial" w:hAnsi="Arial"/>
                <w:sz w:val="18"/>
                <w:szCs w:val="18"/>
                <w:b w:val="1"/>
                <w:bCs w:val="1"/>
                <w:color w:val="auto"/>
                <w:w w:val="85"/>
              </w:rPr>
              <w:t>Predecessor</w:t>
            </w: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69"/>
        </w:trPr>
        <w:tc>
          <w:tcPr>
            <w:tcW w:w="38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tcPr>
          <w:p>
            <w:pPr>
              <w:jc w:val="center"/>
              <w:ind w:right="110"/>
              <w:spacing w:after="0" w:line="169" w:lineRule="exact"/>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92"/>
              </w:rPr>
              <w:t>Three Months Ended</w:t>
            </w:r>
          </w:p>
        </w:tc>
        <w:tc>
          <w:tcPr>
            <w:tcW w:w="28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21"/>
                <w:szCs w:val="21"/>
                <w:color w:val="auto"/>
              </w:rPr>
            </w:pPr>
          </w:p>
        </w:tc>
        <w:tc>
          <w:tcPr>
            <w:tcW w:w="216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 2022</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89"/>
              </w:rPr>
              <w:t>September 30, 2021</w:t>
            </w: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 Change</w:t>
            </w:r>
          </w:p>
        </w:tc>
        <w:tc>
          <w:tcPr>
            <w:tcW w:w="1220" w:type="dxa"/>
            <w:vAlign w:val="bottom"/>
          </w:tcPr>
          <w:p>
            <w:pPr>
              <w:ind w:left="20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Goodwill and intangible assets impairments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1,547,711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ind w:left="1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1,547,711</w:t>
            </w:r>
          </w:p>
        </w:tc>
        <w:tc>
          <w:tcPr>
            <w:tcW w:w="122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w w:val="93"/>
              </w:rPr>
              <w:t>n/m</w:t>
            </w:r>
          </w:p>
        </w:tc>
      </w:tr>
    </w:tbl>
    <w:p>
      <w:pPr>
        <w:spacing w:after="0" w:line="32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 xml:space="preserve">We recorded an impairment of goodwill and other intangible assets of $1,547.7 million during the three months ended </w:t>
      </w:r>
      <w:r>
        <w:rPr>
          <w:rFonts w:ascii="Arial" w:cs="Arial" w:eastAsia="Arial" w:hAnsi="Arial"/>
          <w:sz w:val="18"/>
          <w:szCs w:val="18"/>
          <w:color w:val="231F20"/>
        </w:rPr>
        <w:t>September 30, 2022</w:t>
      </w:r>
      <w:r>
        <w:rPr>
          <w:rFonts w:ascii="Arial" w:cs="Arial" w:eastAsia="Arial" w:hAnsi="Arial"/>
          <w:sz w:val="18"/>
          <w:szCs w:val="18"/>
          <w:color w:val="auto"/>
        </w:rPr>
        <w:t>. We identified a triggering event as of September 30, 2022 due to a delay in partner activations of our cryptoasset products and a decline in our stock price. As such, we performed the quantitative test to compare the fair value to the carrying amount for our reporting unit and indefinite-lived intangible asset. We concluded the carrying amount of our single reporting unit exceeded its fair value and, as such, recorded an $1,389.9 million impairment of goodwill and an aggregate $157.8 million impairment of our indefinite-lived intangible assets. Refer to Note 4 in our unaudited consolidated financial statements included in this Report on Form 10-Q for further information. Impairment of our remaining goodwill, intangible or long-lived assets may be necessary in the future.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Gain from Change in Fair Value of Warrant Liability</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83"/>
              </w:rPr>
              <w:t>Successor</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3"/>
          </w:tcPr>
          <w:p>
            <w:pPr>
              <w:jc w:val="center"/>
              <w:ind w:right="410"/>
              <w:spacing w:after="0"/>
              <w:rPr>
                <w:sz w:val="20"/>
                <w:szCs w:val="20"/>
                <w:color w:val="auto"/>
              </w:rPr>
            </w:pPr>
            <w:r>
              <w:rPr>
                <w:rFonts w:ascii="Arial" w:cs="Arial" w:eastAsia="Arial" w:hAnsi="Arial"/>
                <w:sz w:val="18"/>
                <w:szCs w:val="18"/>
                <w:b w:val="1"/>
                <w:bCs w:val="1"/>
                <w:color w:val="auto"/>
                <w:w w:val="85"/>
              </w:rPr>
              <w:t>Predecessor</w:t>
            </w: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69"/>
        </w:trPr>
        <w:tc>
          <w:tcPr>
            <w:tcW w:w="38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tcPr>
          <w:p>
            <w:pPr>
              <w:jc w:val="center"/>
              <w:ind w:right="110"/>
              <w:spacing w:after="0" w:line="169" w:lineRule="exact"/>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92"/>
              </w:rPr>
              <w:t>Three Months Ended</w:t>
            </w:r>
          </w:p>
        </w:tc>
        <w:tc>
          <w:tcPr>
            <w:tcW w:w="28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43"/>
        </w:trPr>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216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 2022</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89"/>
              </w:rPr>
              <w:t>September 30, 2021</w:t>
            </w: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 Change</w:t>
            </w:r>
          </w:p>
        </w:tc>
        <w:tc>
          <w:tcPr>
            <w:tcW w:w="1220" w:type="dxa"/>
            <w:vAlign w:val="bottom"/>
          </w:tcPr>
          <w:p>
            <w:pPr>
              <w:ind w:left="20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w w:val="99"/>
              </w:rPr>
              <w:t>Gain from change in fair value of warrant liability</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ind w:left="1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428</w:t>
            </w:r>
          </w:p>
        </w:tc>
        <w:tc>
          <w:tcPr>
            <w:tcW w:w="122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w w:val="93"/>
              </w:rPr>
              <w:t>n/m</w:t>
            </w:r>
          </w:p>
        </w:tc>
      </w:tr>
    </w:tbl>
    <w:p>
      <w:pPr>
        <w:spacing w:after="0" w:line="296"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7"/>
          <w:szCs w:val="17"/>
          <w:color w:val="231F20"/>
        </w:rPr>
        <w:t>We recorded a gain of $0.4 million during the three months ended September 30, 2022 for the change in fair value on the revaluation of our warrant liability associated with our public warrants. This is a non-cash gain and is driven by fluctuations in the market price of our warrants.</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8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Other income (expense), net</w:t>
            </w: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3"/>
                <w:szCs w:val="23"/>
                <w:color w:val="auto"/>
              </w:rPr>
            </w:pPr>
          </w:p>
        </w:tc>
        <w:tc>
          <w:tcPr>
            <w:tcW w:w="80" w:type="dxa"/>
            <w:vAlign w:val="bottom"/>
            <w:vMerge w:val="restart"/>
          </w:tcPr>
          <w:p>
            <w:pPr>
              <w:spacing w:after="0"/>
              <w:rPr>
                <w:sz w:val="23"/>
                <w:szCs w:val="23"/>
                <w:color w:val="auto"/>
              </w:rPr>
            </w:pPr>
          </w:p>
        </w:tc>
        <w:tc>
          <w:tcPr>
            <w:tcW w:w="180" w:type="dxa"/>
            <w:vAlign w:val="bottom"/>
          </w:tcPr>
          <w:p>
            <w:pPr>
              <w:spacing w:after="0"/>
              <w:rPr>
                <w:sz w:val="23"/>
                <w:szCs w:val="23"/>
                <w:color w:val="auto"/>
              </w:rPr>
            </w:pPr>
          </w:p>
        </w:tc>
        <w:tc>
          <w:tcPr>
            <w:tcW w:w="212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tcPr>
          <w:p>
            <w:pPr>
              <w:jc w:val="center"/>
              <w:ind w:right="110"/>
              <w:spacing w:after="0" w:line="169" w:lineRule="exact"/>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21"/>
                <w:szCs w:val="21"/>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September 30, 2022</w:t>
            </w: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September 30, 2021</w:t>
            </w:r>
          </w:p>
        </w:tc>
        <w:tc>
          <w:tcPr>
            <w:tcW w:w="180" w:type="dxa"/>
            <w:vAlign w:val="bottom"/>
          </w:tcPr>
          <w:p>
            <w:pPr>
              <w:spacing w:after="0"/>
              <w:rPr>
                <w:sz w:val="21"/>
                <w:szCs w:val="21"/>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(427)</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231F20"/>
        </w:rPr>
        <w:t>Other income (expense), net primarily consists of non-operating gains and losses. During the three months ended September 30, 2022, we had income of $0.7 million as compared to income of $1.1 million for the three months ended September 30, 2021. The lower income was primarily driven by non-recurring cryptocurrency income in the prior period, partially offset by the effects of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8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Income tax benefit (expense)</w:t>
            </w:r>
          </w:p>
        </w:tc>
        <w:tc>
          <w:tcPr>
            <w:tcW w:w="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4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3"/>
                <w:szCs w:val="23"/>
                <w:color w:val="auto"/>
              </w:rPr>
            </w:pPr>
          </w:p>
        </w:tc>
        <w:tc>
          <w:tcPr>
            <w:tcW w:w="60" w:type="dxa"/>
            <w:vAlign w:val="bottom"/>
            <w:vMerge w:val="restart"/>
          </w:tcPr>
          <w:p>
            <w:pPr>
              <w:spacing w:after="0"/>
              <w:rPr>
                <w:sz w:val="23"/>
                <w:szCs w:val="23"/>
                <w:color w:val="auto"/>
              </w:rPr>
            </w:pPr>
          </w:p>
        </w:tc>
        <w:tc>
          <w:tcPr>
            <w:tcW w:w="220" w:type="dxa"/>
            <w:vAlign w:val="bottom"/>
          </w:tcPr>
          <w:p>
            <w:pPr>
              <w:spacing w:after="0"/>
              <w:rPr>
                <w:sz w:val="23"/>
                <w:szCs w:val="23"/>
                <w:color w:val="auto"/>
              </w:rPr>
            </w:pPr>
          </w:p>
        </w:tc>
        <w:tc>
          <w:tcPr>
            <w:tcW w:w="21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tcPr>
          <w:p>
            <w:pPr>
              <w:jc w:val="center"/>
              <w:ind w:right="110"/>
              <w:spacing w:after="0" w:line="169" w:lineRule="exact"/>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00" w:type="dxa"/>
            <w:vAlign w:val="bottom"/>
          </w:tcPr>
          <w:p>
            <w:pPr>
              <w:spacing w:after="0"/>
              <w:rPr>
                <w:sz w:val="21"/>
                <w:szCs w:val="21"/>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 2022</w:t>
            </w:r>
          </w:p>
        </w:tc>
        <w:tc>
          <w:tcPr>
            <w:tcW w:w="20" w:type="dxa"/>
            <w:vAlign w:val="bottom"/>
            <w:shd w:val="clear" w:color="auto" w:fill="000000"/>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September 30, 2021</w:t>
            </w:r>
          </w:p>
        </w:tc>
        <w:tc>
          <w:tcPr>
            <w:tcW w:w="180" w:type="dxa"/>
            <w:vAlign w:val="bottom"/>
          </w:tcPr>
          <w:p>
            <w:pPr>
              <w:spacing w:after="0"/>
              <w:rPr>
                <w:sz w:val="21"/>
                <w:szCs w:val="21"/>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 Change</w:t>
            </w:r>
          </w:p>
        </w:tc>
        <w:tc>
          <w:tcPr>
            <w:tcW w:w="1220" w:type="dxa"/>
            <w:vAlign w:val="bottom"/>
          </w:tcPr>
          <w:p>
            <w:pPr>
              <w:ind w:left="2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618</w:t>
            </w:r>
          </w:p>
        </w:tc>
        <w:tc>
          <w:tcPr>
            <w:tcW w:w="122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00" w:firstLine="648"/>
        <w:spacing w:after="0" w:line="324" w:lineRule="auto"/>
        <w:rPr>
          <w:sz w:val="20"/>
          <w:szCs w:val="20"/>
          <w:color w:val="auto"/>
        </w:rPr>
      </w:pPr>
      <w:r>
        <w:rPr>
          <w:rFonts w:ascii="Arial" w:cs="Arial" w:eastAsia="Arial" w:hAnsi="Arial"/>
          <w:sz w:val="18"/>
          <w:szCs w:val="18"/>
          <w:color w:val="231F20"/>
        </w:rPr>
        <w:t>Income tax benefit during the three months ended September 30, 2022 primarily consists of deferred tax benefit from net loss allocated to Bakkt Holdings, Inc. during the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Nine Months Ended September 30, 2022 (Successor) compared to Nine Months Ended September 30, 2021 (Predecessor)</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Financial Summary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231F20"/>
        </w:rPr>
        <w:t>The nine months ended September 30, 2022 included the following notable items relative to the nine months ended September 30, 2021:</w:t>
      </w:r>
    </w:p>
    <w:p>
      <w:pPr>
        <w:spacing w:after="0" w:line="11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231F20"/>
        </w:rPr>
        <w:t>Revenue increased $13.2 million, or 51%, primarily driven by strong transaction revenue from the loyalty redemption business; and</w:t>
      </w:r>
    </w:p>
    <w:p>
      <w:pPr>
        <w:spacing w:after="0" w:line="36" w:lineRule="exact"/>
        <w:rPr>
          <w:rFonts w:ascii="Arial" w:cs="Arial" w:eastAsia="Arial" w:hAnsi="Arial"/>
          <w:sz w:val="18"/>
          <w:szCs w:val="18"/>
          <w:color w:val="231F20"/>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Operating expenses increased $1,610.5 million primarily driven by goodwill and intangible asset impairment charges.</w:t>
      </w:r>
    </w:p>
    <w:p>
      <w:pPr>
        <w:spacing w:after="0" w:line="26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231F20"/>
        </w:rPr>
        <w:t>Revenue</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3"/>
              </w:rPr>
              <w:t>Successor</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78"/>
        </w:trPr>
        <w:tc>
          <w:tcPr>
            <w:tcW w:w="38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jc w:val="center"/>
              <w:ind w:right="150"/>
              <w:spacing w:after="0" w:line="177" w:lineRule="exact"/>
              <w:rPr>
                <w:sz w:val="20"/>
                <w:szCs w:val="20"/>
                <w:color w:val="auto"/>
              </w:rPr>
            </w:pPr>
            <w:r>
              <w:rPr>
                <w:rFonts w:ascii="Arial" w:cs="Arial" w:eastAsia="Arial" w:hAnsi="Arial"/>
                <w:sz w:val="18"/>
                <w:szCs w:val="18"/>
                <w:b w:val="1"/>
                <w:bCs w:val="1"/>
                <w:color w:val="auto"/>
                <w:w w:val="91"/>
              </w:rPr>
              <w:t>Nine Months Ended</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jc w:val="center"/>
              <w:ind w:right="150"/>
              <w:spacing w:after="0" w:line="177" w:lineRule="exact"/>
              <w:rPr>
                <w:sz w:val="20"/>
                <w:szCs w:val="20"/>
                <w:color w:val="auto"/>
              </w:rPr>
            </w:pPr>
            <w:r>
              <w:rPr>
                <w:rFonts w:ascii="Arial" w:cs="Arial" w:eastAsia="Arial" w:hAnsi="Arial"/>
                <w:sz w:val="18"/>
                <w:szCs w:val="18"/>
                <w:b w:val="1"/>
                <w:bCs w:val="1"/>
                <w:color w:val="auto"/>
                <w:w w:val="91"/>
              </w:rPr>
              <w:t>Nine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4"/>
        </w:trPr>
        <w:tc>
          <w:tcPr>
            <w:tcW w:w="38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0"/>
                <w:szCs w:val="20"/>
                <w:color w:val="auto"/>
              </w:rPr>
            </w:pPr>
          </w:p>
        </w:tc>
        <w:tc>
          <w:tcPr>
            <w:tcW w:w="210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 2022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September 30, 2021</w:t>
            </w:r>
          </w:p>
        </w:tc>
        <w:tc>
          <w:tcPr>
            <w:tcW w:w="18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Net revenues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38,964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25,773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13,191</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51.2 %</w:t>
            </w: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Net Revenues</w:t>
      </w:r>
    </w:p>
    <w:p>
      <w:pPr>
        <w:spacing w:after="0" w:line="266"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7"/>
          <w:szCs w:val="17"/>
          <w:color w:val="231F20"/>
        </w:rPr>
        <w:t>Net revenues increased by $13.2 million, or 51.2%, for the nine months ended September 30, 2022 compared to the nine months ended September 30, 2021. The increase was comprised of $10.6 million of increased transaction revenue and $2.6 million of increased subscription and service revenue. The increase in transaction revenue was driven by $8.7 million of higher customer activity in our loyalty redemption services business. The increase in subscription and service revenue was primarily related to the addition of new services for an existing loyalty customer.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5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 xml:space="preserve">Operating expenses consist of compensation and benefits, professional services, technology and communication expenses, selling, general and administrative expense, acquisition-related expenses, depreciation and amortization, affiliate expenses, impairment of </w:t>
      </w:r>
      <w:r>
        <w:rPr>
          <w:rFonts w:ascii="Arial" w:cs="Arial" w:eastAsia="Arial" w:hAnsi="Arial"/>
          <w:sz w:val="18"/>
          <w:szCs w:val="18"/>
          <w:color w:val="000000"/>
        </w:rPr>
        <w:t>indefinite-lived intangible assets,</w:t>
      </w:r>
      <w:r>
        <w:rPr>
          <w:rFonts w:ascii="Arial" w:cs="Arial" w:eastAsia="Arial" w:hAnsi="Arial"/>
          <w:sz w:val="18"/>
          <w:szCs w:val="18"/>
          <w:color w:val="231F20"/>
        </w:rPr>
        <w:t xml:space="preserve"> </w:t>
      </w:r>
      <w:r>
        <w:rPr>
          <w:rFonts w:ascii="Arial" w:cs="Arial" w:eastAsia="Arial" w:hAnsi="Arial"/>
          <w:sz w:val="18"/>
          <w:szCs w:val="18"/>
          <w:color w:val="000000"/>
        </w:rPr>
        <w:t>long-lived assets, and goodwill</w:t>
      </w:r>
      <w:r>
        <w:rPr>
          <w:rFonts w:ascii="Arial" w:cs="Arial" w:eastAsia="Arial" w:hAnsi="Arial"/>
          <w:sz w:val="18"/>
          <w:szCs w:val="18"/>
          <w:color w:val="231F20"/>
        </w:rPr>
        <w:t>, and other operating expenses.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0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Compensation and Benefits</w:t>
            </w: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2"/>
                <w:szCs w:val="22"/>
                <w:color w:val="auto"/>
              </w:rPr>
            </w:pPr>
          </w:p>
        </w:tc>
        <w:tc>
          <w:tcPr>
            <w:tcW w:w="80" w:type="dxa"/>
            <w:vAlign w:val="bottom"/>
            <w:vMerge w:val="restart"/>
          </w:tcPr>
          <w:p>
            <w:pPr>
              <w:spacing w:after="0"/>
              <w:rPr>
                <w:sz w:val="22"/>
                <w:szCs w:val="22"/>
                <w:color w:val="auto"/>
              </w:rPr>
            </w:pPr>
          </w:p>
        </w:tc>
        <w:tc>
          <w:tcPr>
            <w:tcW w:w="220" w:type="dxa"/>
            <w:vAlign w:val="bottom"/>
          </w:tcPr>
          <w:p>
            <w:pPr>
              <w:spacing w:after="0"/>
              <w:rPr>
                <w:sz w:val="22"/>
                <w:szCs w:val="22"/>
                <w:color w:val="auto"/>
              </w:rPr>
            </w:pPr>
          </w:p>
        </w:tc>
        <w:tc>
          <w:tcPr>
            <w:tcW w:w="20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8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jc w:val="center"/>
              <w:ind w:right="150"/>
              <w:spacing w:after="0" w:line="177" w:lineRule="exact"/>
              <w:rPr>
                <w:sz w:val="20"/>
                <w:szCs w:val="20"/>
                <w:color w:val="auto"/>
              </w:rPr>
            </w:pPr>
            <w:r>
              <w:rPr>
                <w:rFonts w:ascii="Arial" w:cs="Arial" w:eastAsia="Arial" w:hAnsi="Arial"/>
                <w:sz w:val="18"/>
                <w:szCs w:val="18"/>
                <w:b w:val="1"/>
                <w:bCs w:val="1"/>
                <w:color w:val="auto"/>
                <w:w w:val="91"/>
              </w:rPr>
              <w:t>Nine Months Ended</w:t>
            </w:r>
          </w:p>
        </w:tc>
        <w:tc>
          <w:tcPr>
            <w:tcW w:w="100" w:type="dxa"/>
            <w:vAlign w:val="bottom"/>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jc w:val="center"/>
              <w:ind w:right="150"/>
              <w:spacing w:after="0" w:line="177" w:lineRule="exact"/>
              <w:rPr>
                <w:sz w:val="20"/>
                <w:szCs w:val="20"/>
                <w:color w:val="auto"/>
              </w:rPr>
            </w:pPr>
            <w:r>
              <w:rPr>
                <w:rFonts w:ascii="Arial" w:cs="Arial" w:eastAsia="Arial" w:hAnsi="Arial"/>
                <w:sz w:val="18"/>
                <w:szCs w:val="18"/>
                <w:b w:val="1"/>
                <w:bCs w:val="1"/>
                <w:color w:val="auto"/>
                <w:w w:val="91"/>
              </w:rPr>
              <w:t>Nine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0"/>
                <w:szCs w:val="20"/>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 2022</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September 30, 2021</w:t>
            </w:r>
          </w:p>
        </w:tc>
        <w:tc>
          <w:tcPr>
            <w:tcW w:w="18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107,135</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57,375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49,760</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231F20"/>
        </w:rPr>
        <w:t>Compensation and benefits increased by $49.8 million, or 86.7%, for the nine months ended September 30, 2022 compared to the nine months ended September 30, 2021. The increase was primarily due to increases of $13.1 million in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48" w:lineRule="auto"/>
        <w:rPr>
          <w:sz w:val="20"/>
          <w:szCs w:val="20"/>
          <w:color w:val="auto"/>
        </w:rPr>
      </w:pPr>
      <w:r>
        <w:rPr>
          <w:rFonts w:ascii="Arial" w:cs="Arial" w:eastAsia="Arial" w:hAnsi="Arial"/>
          <w:sz w:val="16"/>
          <w:szCs w:val="16"/>
          <w:color w:val="231F20"/>
        </w:rPr>
        <w:t>additional salaries, wages and benefits, $6.9 million in contract labor for software development, and $25.7 million in non-cash compensation and incentive bonuses. As a newly public company, we issued restricted stock units (“RSUs”) in the fourth quarter of 2021 that vested in the second quarter of 2022. These awards accounted for $9.9 million of the total share-based compensation during the nine months ended September 30, 2022. As we typically grant RSUs with a three-year vesting period, the impact of share-based compensation expenses is expected to be reduced in future periods.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0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Professional Services</w:t>
            </w: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3"/>
                <w:szCs w:val="23"/>
                <w:color w:val="auto"/>
              </w:rPr>
            </w:pPr>
          </w:p>
        </w:tc>
        <w:tc>
          <w:tcPr>
            <w:tcW w:w="80" w:type="dxa"/>
            <w:vAlign w:val="bottom"/>
            <w:vMerge w:val="restart"/>
          </w:tcPr>
          <w:p>
            <w:pPr>
              <w:spacing w:after="0"/>
              <w:rPr>
                <w:sz w:val="23"/>
                <w:szCs w:val="23"/>
                <w:color w:val="auto"/>
              </w:rPr>
            </w:pPr>
          </w:p>
        </w:tc>
        <w:tc>
          <w:tcPr>
            <w:tcW w:w="220" w:type="dxa"/>
            <w:vAlign w:val="bottom"/>
          </w:tcPr>
          <w:p>
            <w:pPr>
              <w:spacing w:after="0"/>
              <w:rPr>
                <w:sz w:val="23"/>
                <w:szCs w:val="23"/>
                <w:color w:val="auto"/>
              </w:rPr>
            </w:pPr>
          </w:p>
        </w:tc>
        <w:tc>
          <w:tcPr>
            <w:tcW w:w="20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center"/>
              <w:ind w:right="150"/>
              <w:spacing w:after="0" w:line="169" w:lineRule="exact"/>
              <w:rPr>
                <w:sz w:val="20"/>
                <w:szCs w:val="20"/>
                <w:color w:val="auto"/>
              </w:rPr>
            </w:pPr>
            <w:r>
              <w:rPr>
                <w:rFonts w:ascii="Arial" w:cs="Arial" w:eastAsia="Arial" w:hAnsi="Arial"/>
                <w:sz w:val="18"/>
                <w:szCs w:val="18"/>
                <w:b w:val="1"/>
                <w:bCs w:val="1"/>
                <w:color w:val="auto"/>
                <w:w w:val="91"/>
              </w:rPr>
              <w:t>Nine Months Ended</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center"/>
              <w:ind w:right="150"/>
              <w:spacing w:after="0" w:line="169" w:lineRule="exact"/>
              <w:rPr>
                <w:sz w:val="20"/>
                <w:szCs w:val="20"/>
                <w:color w:val="auto"/>
              </w:rPr>
            </w:pPr>
            <w:r>
              <w:rPr>
                <w:rFonts w:ascii="Arial" w:cs="Arial" w:eastAsia="Arial" w:hAnsi="Arial"/>
                <w:sz w:val="18"/>
                <w:szCs w:val="18"/>
                <w:b w:val="1"/>
                <w:bCs w:val="1"/>
                <w:color w:val="auto"/>
                <w:w w:val="91"/>
              </w:rPr>
              <w:t>Nine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1"/>
                <w:szCs w:val="21"/>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 2022</w:t>
            </w: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September 30, 2021</w:t>
            </w:r>
          </w:p>
        </w:tc>
        <w:tc>
          <w:tcPr>
            <w:tcW w:w="180" w:type="dxa"/>
            <w:vAlign w:val="bottom"/>
          </w:tcPr>
          <w:p>
            <w:pPr>
              <w:spacing w:after="0"/>
              <w:rPr>
                <w:sz w:val="21"/>
                <w:szCs w:val="21"/>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Professional Services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9,291</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5,006</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4,285</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231F20"/>
        </w:rPr>
        <w:t>Professional services increased by $4.3 million for the nine months ended September 30, 2022 compared to the nine months ended September 30, 2021. The increase was primarily due to increases of $1.8 million in audit and tax fees and $2.5 million in legal fees.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0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Technology and Communication</w:t>
            </w: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3"/>
                <w:szCs w:val="23"/>
                <w:color w:val="auto"/>
              </w:rPr>
            </w:pPr>
          </w:p>
        </w:tc>
        <w:tc>
          <w:tcPr>
            <w:tcW w:w="80" w:type="dxa"/>
            <w:vAlign w:val="bottom"/>
            <w:vMerge w:val="restart"/>
          </w:tcPr>
          <w:p>
            <w:pPr>
              <w:spacing w:after="0"/>
              <w:rPr>
                <w:sz w:val="23"/>
                <w:szCs w:val="23"/>
                <w:color w:val="auto"/>
              </w:rPr>
            </w:pPr>
          </w:p>
        </w:tc>
        <w:tc>
          <w:tcPr>
            <w:tcW w:w="220" w:type="dxa"/>
            <w:vAlign w:val="bottom"/>
          </w:tcPr>
          <w:p>
            <w:pPr>
              <w:spacing w:after="0"/>
              <w:rPr>
                <w:sz w:val="23"/>
                <w:szCs w:val="23"/>
                <w:color w:val="auto"/>
              </w:rPr>
            </w:pPr>
          </w:p>
        </w:tc>
        <w:tc>
          <w:tcPr>
            <w:tcW w:w="20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center"/>
              <w:ind w:right="150"/>
              <w:spacing w:after="0" w:line="169" w:lineRule="exact"/>
              <w:rPr>
                <w:sz w:val="20"/>
                <w:szCs w:val="20"/>
                <w:color w:val="auto"/>
              </w:rPr>
            </w:pPr>
            <w:r>
              <w:rPr>
                <w:rFonts w:ascii="Arial" w:cs="Arial" w:eastAsia="Arial" w:hAnsi="Arial"/>
                <w:sz w:val="18"/>
                <w:szCs w:val="18"/>
                <w:b w:val="1"/>
                <w:bCs w:val="1"/>
                <w:color w:val="auto"/>
                <w:w w:val="91"/>
              </w:rPr>
              <w:t>Nine Months Ended</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center"/>
              <w:ind w:right="150"/>
              <w:spacing w:after="0" w:line="169" w:lineRule="exact"/>
              <w:rPr>
                <w:sz w:val="20"/>
                <w:szCs w:val="20"/>
                <w:color w:val="auto"/>
              </w:rPr>
            </w:pPr>
            <w:r>
              <w:rPr>
                <w:rFonts w:ascii="Arial" w:cs="Arial" w:eastAsia="Arial" w:hAnsi="Arial"/>
                <w:sz w:val="18"/>
                <w:szCs w:val="18"/>
                <w:b w:val="1"/>
                <w:bCs w:val="1"/>
                <w:color w:val="auto"/>
                <w:w w:val="91"/>
              </w:rPr>
              <w:t>Nine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1"/>
                <w:szCs w:val="21"/>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 2022</w:t>
            </w: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September 30, 2021</w:t>
            </w:r>
          </w:p>
        </w:tc>
        <w:tc>
          <w:tcPr>
            <w:tcW w:w="180" w:type="dxa"/>
            <w:vAlign w:val="bottom"/>
          </w:tcPr>
          <w:p>
            <w:pPr>
              <w:spacing w:after="0"/>
              <w:rPr>
                <w:sz w:val="21"/>
                <w:szCs w:val="21"/>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Technology and Communication</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12,659</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2,808</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Technology and communications expense increased by $2.8 million, or 28.5%, for the nine months ended September 30, 2022 compared to the nine months ended September 30, 2021. The increase was primarily due to an increase of $3.0 million in hardware and software license fees, partially offset by a decrease of $0.6 million in hosting fees.</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0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Selling, General and Administrative</w:t>
            </w: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3"/>
                <w:szCs w:val="23"/>
                <w:color w:val="auto"/>
              </w:rPr>
            </w:pPr>
          </w:p>
        </w:tc>
        <w:tc>
          <w:tcPr>
            <w:tcW w:w="80" w:type="dxa"/>
            <w:vAlign w:val="bottom"/>
            <w:vMerge w:val="restart"/>
          </w:tcPr>
          <w:p>
            <w:pPr>
              <w:spacing w:after="0"/>
              <w:rPr>
                <w:sz w:val="23"/>
                <w:szCs w:val="23"/>
                <w:color w:val="auto"/>
              </w:rPr>
            </w:pPr>
          </w:p>
        </w:tc>
        <w:tc>
          <w:tcPr>
            <w:tcW w:w="220" w:type="dxa"/>
            <w:vAlign w:val="bottom"/>
          </w:tcPr>
          <w:p>
            <w:pPr>
              <w:spacing w:after="0"/>
              <w:rPr>
                <w:sz w:val="23"/>
                <w:szCs w:val="23"/>
                <w:color w:val="auto"/>
              </w:rPr>
            </w:pPr>
          </w:p>
        </w:tc>
        <w:tc>
          <w:tcPr>
            <w:tcW w:w="20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center"/>
              <w:ind w:right="150"/>
              <w:spacing w:after="0" w:line="169" w:lineRule="exact"/>
              <w:rPr>
                <w:sz w:val="20"/>
                <w:szCs w:val="20"/>
                <w:color w:val="auto"/>
              </w:rPr>
            </w:pPr>
            <w:r>
              <w:rPr>
                <w:rFonts w:ascii="Arial" w:cs="Arial" w:eastAsia="Arial" w:hAnsi="Arial"/>
                <w:sz w:val="18"/>
                <w:szCs w:val="18"/>
                <w:b w:val="1"/>
                <w:bCs w:val="1"/>
                <w:color w:val="auto"/>
                <w:w w:val="91"/>
              </w:rPr>
              <w:t>Nine Months Ended</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center"/>
              <w:ind w:right="150"/>
              <w:spacing w:after="0" w:line="169" w:lineRule="exact"/>
              <w:rPr>
                <w:sz w:val="20"/>
                <w:szCs w:val="20"/>
                <w:color w:val="auto"/>
              </w:rPr>
            </w:pPr>
            <w:r>
              <w:rPr>
                <w:rFonts w:ascii="Arial" w:cs="Arial" w:eastAsia="Arial" w:hAnsi="Arial"/>
                <w:sz w:val="18"/>
                <w:szCs w:val="18"/>
                <w:b w:val="1"/>
                <w:bCs w:val="1"/>
                <w:color w:val="auto"/>
                <w:w w:val="91"/>
              </w:rPr>
              <w:t>Nine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1"/>
                <w:szCs w:val="21"/>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 2022</w:t>
            </w: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September 30, 2021</w:t>
            </w:r>
          </w:p>
        </w:tc>
        <w:tc>
          <w:tcPr>
            <w:tcW w:w="180" w:type="dxa"/>
            <w:vAlign w:val="bottom"/>
          </w:tcPr>
          <w:p>
            <w:pPr>
              <w:spacing w:after="0"/>
              <w:rPr>
                <w:sz w:val="21"/>
                <w:szCs w:val="21"/>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26,995</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19,514</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7,481</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Selling, general and administrative costs increased by $7.5 million, or 38.3%, for the nine months ended September 30, 2022 compared to the nine months ended September 30, 2021. The increase was primarily due to increases of $11.9 million in insurance expense and $1.7 million in occupancy costs, partially offset by a reduction of marketing expenses of $8.1 million.</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8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Acquisition-related Expenses</w:t>
            </w: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2"/>
                <w:szCs w:val="22"/>
                <w:color w:val="auto"/>
              </w:rPr>
            </w:pPr>
          </w:p>
        </w:tc>
        <w:tc>
          <w:tcPr>
            <w:tcW w:w="80" w:type="dxa"/>
            <w:vAlign w:val="bottom"/>
            <w:vMerge w:val="restart"/>
          </w:tcPr>
          <w:p>
            <w:pPr>
              <w:spacing w:after="0"/>
              <w:rPr>
                <w:sz w:val="22"/>
                <w:szCs w:val="22"/>
                <w:color w:val="auto"/>
              </w:rPr>
            </w:pPr>
          </w:p>
        </w:tc>
        <w:tc>
          <w:tcPr>
            <w:tcW w:w="220" w:type="dxa"/>
            <w:vAlign w:val="bottom"/>
          </w:tcPr>
          <w:p>
            <w:pPr>
              <w:spacing w:after="0"/>
              <w:rPr>
                <w:sz w:val="22"/>
                <w:szCs w:val="22"/>
                <w:color w:val="auto"/>
              </w:rPr>
            </w:pPr>
          </w:p>
        </w:tc>
        <w:tc>
          <w:tcPr>
            <w:tcW w:w="20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7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jc w:val="center"/>
              <w:ind w:right="110"/>
              <w:spacing w:after="0" w:line="177" w:lineRule="exact"/>
              <w:rPr>
                <w:sz w:val="20"/>
                <w:szCs w:val="20"/>
                <w:color w:val="auto"/>
              </w:rPr>
            </w:pPr>
            <w:r>
              <w:rPr>
                <w:rFonts w:ascii="Arial" w:cs="Arial" w:eastAsia="Arial" w:hAnsi="Arial"/>
                <w:sz w:val="18"/>
                <w:szCs w:val="18"/>
                <w:b w:val="1"/>
                <w:bCs w:val="1"/>
                <w:color w:val="auto"/>
                <w:w w:val="91"/>
              </w:rPr>
              <w:t>Nine Months Ended</w:t>
            </w:r>
          </w:p>
        </w:tc>
        <w:tc>
          <w:tcPr>
            <w:tcW w:w="100" w:type="dxa"/>
            <w:vAlign w:val="bottom"/>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jc w:val="center"/>
              <w:ind w:right="150"/>
              <w:spacing w:after="0" w:line="177" w:lineRule="exact"/>
              <w:rPr>
                <w:sz w:val="20"/>
                <w:szCs w:val="20"/>
                <w:color w:val="auto"/>
              </w:rPr>
            </w:pPr>
            <w:r>
              <w:rPr>
                <w:rFonts w:ascii="Arial" w:cs="Arial" w:eastAsia="Arial" w:hAnsi="Arial"/>
                <w:sz w:val="18"/>
                <w:szCs w:val="18"/>
                <w:b w:val="1"/>
                <w:bCs w:val="1"/>
                <w:color w:val="auto"/>
                <w:w w:val="91"/>
              </w:rPr>
              <w:t>Nine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September 30, 2022</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September 30, 2021</w:t>
            </w:r>
          </w:p>
        </w:tc>
        <w:tc>
          <w:tcPr>
            <w:tcW w:w="18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Acquisition-related expenses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(10,927)</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6"/>
          <w:szCs w:val="16"/>
          <w:color w:val="231F20"/>
        </w:rPr>
        <w:t xml:space="preserve">Acquisition-related expenses decreased by $10.9 million, or 90.5%, for the nine months ended September 30, 2022 compared to the nine months ended September 30, 2021. Acquisition-related expenses for the nine months ended September 30, 2022 consist of </w:t>
      </w:r>
      <w:r>
        <w:rPr>
          <w:rFonts w:ascii="Arial" w:cs="Arial" w:eastAsia="Arial" w:hAnsi="Arial"/>
          <w:sz w:val="16"/>
          <w:szCs w:val="16"/>
          <w:color w:val="000000"/>
        </w:rPr>
        <w:t>fees for investment banking advisors,</w:t>
      </w:r>
      <w:r>
        <w:rPr>
          <w:rFonts w:ascii="Arial" w:cs="Arial" w:eastAsia="Arial" w:hAnsi="Arial"/>
          <w:sz w:val="16"/>
          <w:szCs w:val="16"/>
          <w:color w:val="231F20"/>
        </w:rPr>
        <w:t xml:space="preserve"> </w:t>
      </w:r>
      <w:r>
        <w:rPr>
          <w:rFonts w:ascii="Arial" w:cs="Arial" w:eastAsia="Arial" w:hAnsi="Arial"/>
          <w:sz w:val="16"/>
          <w:szCs w:val="16"/>
          <w:color w:val="000000"/>
        </w:rPr>
        <w:t xml:space="preserve">lawyers, accountants, tax advisors and public relations firms directly related to the </w:t>
      </w:r>
      <w:r>
        <w:rPr>
          <w:rFonts w:ascii="Arial" w:cs="Arial" w:eastAsia="Arial" w:hAnsi="Arial"/>
          <w:sz w:val="16"/>
          <w:szCs w:val="16"/>
          <w:color w:val="231F20"/>
        </w:rPr>
        <w:t>acquisition of Apex. Acquisition-related expenses for the nine months</w:t>
      </w:r>
      <w:r>
        <w:rPr>
          <w:rFonts w:ascii="Arial" w:cs="Arial" w:eastAsia="Arial" w:hAnsi="Arial"/>
          <w:sz w:val="16"/>
          <w:szCs w:val="16"/>
          <w:color w:val="000000"/>
        </w:rPr>
        <w:t xml:space="preserve"> </w:t>
      </w:r>
      <w:r>
        <w:rPr>
          <w:rFonts w:ascii="Arial" w:cs="Arial" w:eastAsia="Arial" w:hAnsi="Arial"/>
          <w:sz w:val="16"/>
          <w:szCs w:val="16"/>
          <w:color w:val="231F20"/>
        </w:rPr>
        <w:t xml:space="preserve">ended September 30, 2021 consist of </w:t>
      </w:r>
      <w:r>
        <w:rPr>
          <w:rFonts w:ascii="Arial" w:cs="Arial" w:eastAsia="Arial" w:hAnsi="Arial"/>
          <w:sz w:val="16"/>
          <w:szCs w:val="16"/>
          <w:color w:val="000000"/>
        </w:rPr>
        <w:t>fees for investment banking advisors, lawyers, accountants, tax advisors and public relations firms directly</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 xml:space="preserve">related to the </w:t>
      </w:r>
      <w:r>
        <w:rPr>
          <w:rFonts w:ascii="Arial" w:cs="Arial" w:eastAsia="Arial" w:hAnsi="Arial"/>
          <w:sz w:val="18"/>
          <w:szCs w:val="18"/>
          <w:color w:val="231F20"/>
        </w:rPr>
        <w:t>Business Combination, which did not recur during the nine months ended September 30, 2022. The amount and timing of acquisition-related</w:t>
      </w:r>
      <w:r>
        <w:rPr>
          <w:rFonts w:ascii="Arial" w:cs="Arial" w:eastAsia="Arial" w:hAnsi="Arial"/>
          <w:sz w:val="18"/>
          <w:szCs w:val="18"/>
          <w:color w:val="auto"/>
        </w:rPr>
        <w:t xml:space="preserve"> </w:t>
      </w:r>
      <w:r>
        <w:rPr>
          <w:rFonts w:ascii="Arial" w:cs="Arial" w:eastAsia="Arial" w:hAnsi="Arial"/>
          <w:sz w:val="18"/>
          <w:szCs w:val="18"/>
          <w:color w:val="231F20"/>
        </w:rPr>
        <w:t>expenses is expected to vary across periods based on potential transaction activities.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0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Depreciation and Amortization</w:t>
            </w: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3"/>
                <w:szCs w:val="23"/>
                <w:color w:val="auto"/>
              </w:rPr>
            </w:pPr>
          </w:p>
        </w:tc>
        <w:tc>
          <w:tcPr>
            <w:tcW w:w="80" w:type="dxa"/>
            <w:vAlign w:val="bottom"/>
            <w:vMerge w:val="restart"/>
          </w:tcPr>
          <w:p>
            <w:pPr>
              <w:spacing w:after="0"/>
              <w:rPr>
                <w:sz w:val="23"/>
                <w:szCs w:val="23"/>
                <w:color w:val="auto"/>
              </w:rPr>
            </w:pPr>
          </w:p>
        </w:tc>
        <w:tc>
          <w:tcPr>
            <w:tcW w:w="220" w:type="dxa"/>
            <w:vAlign w:val="bottom"/>
          </w:tcPr>
          <w:p>
            <w:pPr>
              <w:spacing w:after="0"/>
              <w:rPr>
                <w:sz w:val="23"/>
                <w:szCs w:val="23"/>
                <w:color w:val="auto"/>
              </w:rPr>
            </w:pPr>
          </w:p>
        </w:tc>
        <w:tc>
          <w:tcPr>
            <w:tcW w:w="20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center"/>
              <w:ind w:right="150"/>
              <w:spacing w:after="0" w:line="169" w:lineRule="exact"/>
              <w:rPr>
                <w:sz w:val="20"/>
                <w:szCs w:val="20"/>
                <w:color w:val="auto"/>
              </w:rPr>
            </w:pPr>
            <w:r>
              <w:rPr>
                <w:rFonts w:ascii="Arial" w:cs="Arial" w:eastAsia="Arial" w:hAnsi="Arial"/>
                <w:sz w:val="18"/>
                <w:szCs w:val="18"/>
                <w:b w:val="1"/>
                <w:bCs w:val="1"/>
                <w:color w:val="auto"/>
                <w:w w:val="91"/>
              </w:rPr>
              <w:t>Nine Months Ended</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center"/>
              <w:ind w:right="150"/>
              <w:spacing w:after="0" w:line="169" w:lineRule="exact"/>
              <w:rPr>
                <w:sz w:val="20"/>
                <w:szCs w:val="20"/>
                <w:color w:val="auto"/>
              </w:rPr>
            </w:pPr>
            <w:r>
              <w:rPr>
                <w:rFonts w:ascii="Arial" w:cs="Arial" w:eastAsia="Arial" w:hAnsi="Arial"/>
                <w:sz w:val="18"/>
                <w:szCs w:val="18"/>
                <w:b w:val="1"/>
                <w:bCs w:val="1"/>
                <w:color w:val="auto"/>
                <w:w w:val="91"/>
              </w:rPr>
              <w:t>Nine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1"/>
                <w:szCs w:val="21"/>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 2022</w:t>
            </w: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September 30, 2021</w:t>
            </w:r>
          </w:p>
        </w:tc>
        <w:tc>
          <w:tcPr>
            <w:tcW w:w="180" w:type="dxa"/>
            <w:vAlign w:val="bottom"/>
          </w:tcPr>
          <w:p>
            <w:pPr>
              <w:spacing w:after="0"/>
              <w:rPr>
                <w:sz w:val="21"/>
                <w:szCs w:val="21"/>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18,340</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9,098</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9,242</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101.6 %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231F20"/>
        </w:rPr>
        <w:t>Depreciation and amortization increased by $9.2 million, or 101.6%, for the nine months ended September 30, 2022 compared to the nine months ended September 30, 2021. The increase was primarily due to increases of $10.6 million related to the step-up in basis of the technology and customer relationships acquired in connection with the Business Combination, partially offset by a decrease of $2.2 million related to amortization of capitalized software during the nine months ended September 30, 2021.</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Impairment of goodwill and other intangible assets</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3"/>
              </w:rPr>
              <w:t>Successor</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3"/>
          </w:tcPr>
          <w:p>
            <w:pPr>
              <w:jc w:val="center"/>
              <w:ind w:right="430"/>
              <w:spacing w:after="0"/>
              <w:rPr>
                <w:sz w:val="20"/>
                <w:szCs w:val="20"/>
                <w:color w:val="auto"/>
              </w:rPr>
            </w:pPr>
            <w:r>
              <w:rPr>
                <w:rFonts w:ascii="Arial" w:cs="Arial" w:eastAsia="Arial" w:hAnsi="Arial"/>
                <w:sz w:val="18"/>
                <w:szCs w:val="18"/>
                <w:b w:val="1"/>
                <w:bCs w:val="1"/>
                <w:color w:val="auto"/>
                <w:w w:val="85"/>
              </w:rPr>
              <w:t>Predecessor</w:t>
            </w: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69"/>
        </w:trPr>
        <w:tc>
          <w:tcPr>
            <w:tcW w:w="38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tcPr>
          <w:p>
            <w:pPr>
              <w:jc w:val="center"/>
              <w:ind w:right="150"/>
              <w:spacing w:after="0" w:line="169" w:lineRule="exact"/>
              <w:rPr>
                <w:sz w:val="20"/>
                <w:szCs w:val="20"/>
                <w:color w:val="auto"/>
              </w:rPr>
            </w:pPr>
            <w:r>
              <w:rPr>
                <w:rFonts w:ascii="Arial" w:cs="Arial" w:eastAsia="Arial" w:hAnsi="Arial"/>
                <w:sz w:val="18"/>
                <w:szCs w:val="18"/>
                <w:b w:val="1"/>
                <w:bCs w:val="1"/>
                <w:color w:val="auto"/>
                <w:w w:val="91"/>
              </w:rPr>
              <w:t>Nine Months Ended</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91"/>
              </w:rPr>
              <w:t>Nine Months Ended</w:t>
            </w:r>
          </w:p>
        </w:tc>
        <w:tc>
          <w:tcPr>
            <w:tcW w:w="28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43"/>
        </w:trPr>
        <w:tc>
          <w:tcPr>
            <w:tcW w:w="384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1"/>
                <w:szCs w:val="21"/>
                <w:color w:val="auto"/>
              </w:rPr>
            </w:pPr>
          </w:p>
        </w:tc>
        <w:tc>
          <w:tcPr>
            <w:tcW w:w="214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 2022</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gridSpan w:val="3"/>
          </w:tcPr>
          <w:p>
            <w:pPr>
              <w:jc w:val="center"/>
              <w:ind w:right="410"/>
              <w:spacing w:after="0"/>
              <w:rPr>
                <w:sz w:val="20"/>
                <w:szCs w:val="20"/>
                <w:color w:val="auto"/>
              </w:rPr>
            </w:pPr>
            <w:r>
              <w:rPr>
                <w:rFonts w:ascii="Arial" w:cs="Arial" w:eastAsia="Arial" w:hAnsi="Arial"/>
                <w:sz w:val="18"/>
                <w:szCs w:val="18"/>
                <w:b w:val="1"/>
                <w:bCs w:val="1"/>
                <w:color w:val="auto"/>
                <w:w w:val="89"/>
              </w:rPr>
              <w:t>September 30, 2021</w:t>
            </w: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 Change</w:t>
            </w:r>
          </w:p>
        </w:tc>
        <w:tc>
          <w:tcPr>
            <w:tcW w:w="1220" w:type="dxa"/>
            <w:vAlign w:val="bottom"/>
          </w:tcPr>
          <w:p>
            <w:pPr>
              <w:ind w:left="20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Goodwill and intangible assets impairments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1,547,711</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ind w:left="1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1,547,711</w:t>
            </w:r>
          </w:p>
        </w:tc>
        <w:tc>
          <w:tcPr>
            <w:tcW w:w="122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w w:val="93"/>
              </w:rPr>
              <w:t>n/m</w:t>
            </w:r>
          </w:p>
        </w:tc>
      </w:tr>
    </w:tbl>
    <w:p>
      <w:pPr>
        <w:spacing w:after="0" w:line="33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 xml:space="preserve">We recorded an impairment of goodwill and other intangible assets of $1,547.7 million during the nine months ended </w:t>
      </w:r>
      <w:r>
        <w:rPr>
          <w:rFonts w:ascii="Arial" w:cs="Arial" w:eastAsia="Arial" w:hAnsi="Arial"/>
          <w:sz w:val="18"/>
          <w:szCs w:val="18"/>
          <w:color w:val="231F20"/>
        </w:rPr>
        <w:t>September 30, 2022</w:t>
      </w:r>
      <w:r>
        <w:rPr>
          <w:rFonts w:ascii="Arial" w:cs="Arial" w:eastAsia="Arial" w:hAnsi="Arial"/>
          <w:sz w:val="18"/>
          <w:szCs w:val="18"/>
          <w:color w:val="auto"/>
        </w:rPr>
        <w:t>. Refer to Note 4 in our unaudited consolidated financial statements included in this Report on Form 10-Q for further information. Impairment of our remaining goodwill, intangible or long-lived assets may be necessary in the future.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Gain from Change in Fair Value of Warrant Liability</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3"/>
              </w:rPr>
              <w:t>Successor</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3"/>
          </w:tcPr>
          <w:p>
            <w:pPr>
              <w:jc w:val="center"/>
              <w:ind w:right="430"/>
              <w:spacing w:after="0"/>
              <w:rPr>
                <w:sz w:val="20"/>
                <w:szCs w:val="20"/>
                <w:color w:val="auto"/>
              </w:rPr>
            </w:pPr>
            <w:r>
              <w:rPr>
                <w:rFonts w:ascii="Arial" w:cs="Arial" w:eastAsia="Arial" w:hAnsi="Arial"/>
                <w:sz w:val="18"/>
                <w:szCs w:val="18"/>
                <w:b w:val="1"/>
                <w:bCs w:val="1"/>
                <w:color w:val="auto"/>
                <w:w w:val="85"/>
              </w:rPr>
              <w:t>Predecessor</w:t>
            </w: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69"/>
        </w:trPr>
        <w:tc>
          <w:tcPr>
            <w:tcW w:w="38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tcPr>
          <w:p>
            <w:pPr>
              <w:jc w:val="center"/>
              <w:ind w:right="150"/>
              <w:spacing w:after="0" w:line="169" w:lineRule="exact"/>
              <w:rPr>
                <w:sz w:val="20"/>
                <w:szCs w:val="20"/>
                <w:color w:val="auto"/>
              </w:rPr>
            </w:pPr>
            <w:r>
              <w:rPr>
                <w:rFonts w:ascii="Arial" w:cs="Arial" w:eastAsia="Arial" w:hAnsi="Arial"/>
                <w:sz w:val="18"/>
                <w:szCs w:val="18"/>
                <w:b w:val="1"/>
                <w:bCs w:val="1"/>
                <w:color w:val="auto"/>
                <w:w w:val="91"/>
              </w:rPr>
              <w:t>Nine Months Ended</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91"/>
              </w:rPr>
              <w:t>Nine Months Ended</w:t>
            </w:r>
          </w:p>
        </w:tc>
        <w:tc>
          <w:tcPr>
            <w:tcW w:w="28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43"/>
        </w:trPr>
        <w:tc>
          <w:tcPr>
            <w:tcW w:w="410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214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9"/>
              </w:rPr>
              <w:t>September 30, 2022</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gridSpan w:val="3"/>
          </w:tcPr>
          <w:p>
            <w:pPr>
              <w:jc w:val="center"/>
              <w:ind w:right="410"/>
              <w:spacing w:after="0"/>
              <w:rPr>
                <w:sz w:val="20"/>
                <w:szCs w:val="20"/>
                <w:color w:val="auto"/>
              </w:rPr>
            </w:pPr>
            <w:r>
              <w:rPr>
                <w:rFonts w:ascii="Arial" w:cs="Arial" w:eastAsia="Arial" w:hAnsi="Arial"/>
                <w:sz w:val="18"/>
                <w:szCs w:val="18"/>
                <w:b w:val="1"/>
                <w:bCs w:val="1"/>
                <w:color w:val="auto"/>
                <w:w w:val="89"/>
              </w:rPr>
              <w:t>September 30, 2021</w:t>
            </w: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 Change</w:t>
            </w:r>
          </w:p>
        </w:tc>
        <w:tc>
          <w:tcPr>
            <w:tcW w:w="1220" w:type="dxa"/>
            <w:vAlign w:val="bottom"/>
          </w:tcPr>
          <w:p>
            <w:pPr>
              <w:ind w:left="20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Gain from change in fair value of warrant liability</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13,139</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ind w:left="1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13,139</w:t>
            </w:r>
          </w:p>
        </w:tc>
        <w:tc>
          <w:tcPr>
            <w:tcW w:w="122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w w:val="93"/>
              </w:rPr>
              <w:t>n/m</w:t>
            </w:r>
          </w:p>
        </w:tc>
      </w:tr>
    </w:tbl>
    <w:p>
      <w:pPr>
        <w:spacing w:after="0" w:line="296"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7"/>
          <w:szCs w:val="17"/>
          <w:color w:val="231F20"/>
        </w:rPr>
        <w:t>We recorded a gain of $13.1 million during the nine months ended September 30, 2022 for the change in fair value on the revaluation of our warrant liability associated with our public warrants. This is a non-cash gain and is driven by fluctuations in the market price of our warrants.</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0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Other income (expense), net</w:t>
            </w: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3"/>
                <w:szCs w:val="23"/>
                <w:color w:val="auto"/>
              </w:rPr>
            </w:pPr>
          </w:p>
        </w:tc>
        <w:tc>
          <w:tcPr>
            <w:tcW w:w="80" w:type="dxa"/>
            <w:vAlign w:val="bottom"/>
            <w:vMerge w:val="restart"/>
          </w:tcPr>
          <w:p>
            <w:pPr>
              <w:spacing w:after="0"/>
              <w:rPr>
                <w:sz w:val="23"/>
                <w:szCs w:val="23"/>
                <w:color w:val="auto"/>
              </w:rPr>
            </w:pPr>
          </w:p>
        </w:tc>
        <w:tc>
          <w:tcPr>
            <w:tcW w:w="220" w:type="dxa"/>
            <w:vAlign w:val="bottom"/>
          </w:tcPr>
          <w:p>
            <w:pPr>
              <w:spacing w:after="0"/>
              <w:rPr>
                <w:sz w:val="23"/>
                <w:szCs w:val="23"/>
                <w:color w:val="auto"/>
              </w:rPr>
            </w:pPr>
          </w:p>
        </w:tc>
        <w:tc>
          <w:tcPr>
            <w:tcW w:w="20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center"/>
              <w:ind w:right="150"/>
              <w:spacing w:after="0" w:line="169" w:lineRule="exact"/>
              <w:rPr>
                <w:sz w:val="20"/>
                <w:szCs w:val="20"/>
                <w:color w:val="auto"/>
              </w:rPr>
            </w:pPr>
            <w:r>
              <w:rPr>
                <w:rFonts w:ascii="Arial" w:cs="Arial" w:eastAsia="Arial" w:hAnsi="Arial"/>
                <w:sz w:val="18"/>
                <w:szCs w:val="18"/>
                <w:b w:val="1"/>
                <w:bCs w:val="1"/>
                <w:color w:val="auto"/>
                <w:w w:val="91"/>
              </w:rPr>
              <w:t>Nine Months Ended</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center"/>
              <w:ind w:right="150"/>
              <w:spacing w:after="0" w:line="169" w:lineRule="exact"/>
              <w:rPr>
                <w:sz w:val="20"/>
                <w:szCs w:val="20"/>
                <w:color w:val="auto"/>
              </w:rPr>
            </w:pPr>
            <w:r>
              <w:rPr>
                <w:rFonts w:ascii="Arial" w:cs="Arial" w:eastAsia="Arial" w:hAnsi="Arial"/>
                <w:sz w:val="18"/>
                <w:szCs w:val="18"/>
                <w:b w:val="1"/>
                <w:bCs w:val="1"/>
                <w:color w:val="auto"/>
                <w:w w:val="91"/>
              </w:rPr>
              <w:t>Nine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1"/>
                <w:szCs w:val="21"/>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 2022</w:t>
            </w: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September 30, 2021</w:t>
            </w:r>
          </w:p>
        </w:tc>
        <w:tc>
          <w:tcPr>
            <w:tcW w:w="180" w:type="dxa"/>
            <w:vAlign w:val="bottom"/>
          </w:tcPr>
          <w:p>
            <w:pPr>
              <w:spacing w:after="0"/>
              <w:rPr>
                <w:sz w:val="21"/>
                <w:szCs w:val="21"/>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134</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During the nine months ended September 30, 2022, we had other income of $0.6 million as compared to other income of $0.5 million for the nine months ended September 30, 2021. The increase in income was primarily driven by non-recurring cryptocurrency income in the prior period, partially offset by the effects of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8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Income tax benefit (expense)</w:t>
            </w: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3"/>
                <w:szCs w:val="23"/>
                <w:color w:val="auto"/>
              </w:rPr>
            </w:pPr>
          </w:p>
        </w:tc>
        <w:tc>
          <w:tcPr>
            <w:tcW w:w="60" w:type="dxa"/>
            <w:vAlign w:val="bottom"/>
            <w:vMerge w:val="restart"/>
          </w:tcPr>
          <w:p>
            <w:pPr>
              <w:spacing w:after="0"/>
              <w:rPr>
                <w:sz w:val="23"/>
                <w:szCs w:val="23"/>
                <w:color w:val="auto"/>
              </w:rPr>
            </w:pPr>
          </w:p>
        </w:tc>
        <w:tc>
          <w:tcPr>
            <w:tcW w:w="240" w:type="dxa"/>
            <w:vAlign w:val="bottom"/>
          </w:tcPr>
          <w:p>
            <w:pPr>
              <w:spacing w:after="0"/>
              <w:rPr>
                <w:sz w:val="23"/>
                <w:szCs w:val="23"/>
                <w:color w:val="auto"/>
              </w:rPr>
            </w:pPr>
          </w:p>
        </w:tc>
        <w:tc>
          <w:tcPr>
            <w:tcW w:w="210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20" w:type="dxa"/>
            <w:vAlign w:val="bottom"/>
            <w:tcBorders>
              <w:top w:val="single" w:sz="8" w:color="auto"/>
            </w:tcBorders>
          </w:tcPr>
          <w:p>
            <w:pPr>
              <w:jc w:val="center"/>
              <w:ind w:right="150"/>
              <w:spacing w:after="0" w:line="169" w:lineRule="exact"/>
              <w:rPr>
                <w:sz w:val="20"/>
                <w:szCs w:val="20"/>
                <w:color w:val="auto"/>
              </w:rPr>
            </w:pPr>
            <w:r>
              <w:rPr>
                <w:rFonts w:ascii="Arial" w:cs="Arial" w:eastAsia="Arial" w:hAnsi="Arial"/>
                <w:sz w:val="18"/>
                <w:szCs w:val="18"/>
                <w:b w:val="1"/>
                <w:bCs w:val="1"/>
                <w:color w:val="auto"/>
                <w:w w:val="91"/>
              </w:rPr>
              <w:t>Nine Months Ended</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91"/>
              </w:rPr>
              <w:t>Nine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1"/>
                <w:szCs w:val="21"/>
                <w:color w:val="auto"/>
              </w:rPr>
            </w:pPr>
          </w:p>
        </w:tc>
        <w:tc>
          <w:tcPr>
            <w:tcW w:w="2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 2022</w:t>
            </w:r>
          </w:p>
        </w:tc>
        <w:tc>
          <w:tcPr>
            <w:tcW w:w="20" w:type="dxa"/>
            <w:vAlign w:val="bottom"/>
            <w:shd w:val="clear" w:color="auto" w:fill="000000"/>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 2021</w:t>
            </w:r>
          </w:p>
        </w:tc>
        <w:tc>
          <w:tcPr>
            <w:tcW w:w="180" w:type="dxa"/>
            <w:vAlign w:val="bottom"/>
          </w:tcPr>
          <w:p>
            <w:pPr>
              <w:spacing w:after="0"/>
              <w:rPr>
                <w:sz w:val="21"/>
                <w:szCs w:val="21"/>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 Change</w:t>
            </w:r>
          </w:p>
        </w:tc>
        <w:tc>
          <w:tcPr>
            <w:tcW w:w="1220" w:type="dxa"/>
            <w:vAlign w:val="bottom"/>
          </w:tcPr>
          <w:p>
            <w:pPr>
              <w:ind w:left="2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8,844</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9,039</w:t>
            </w:r>
          </w:p>
        </w:tc>
        <w:tc>
          <w:tcPr>
            <w:tcW w:w="122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40" w:firstLine="648"/>
        <w:spacing w:after="0" w:line="308" w:lineRule="auto"/>
        <w:rPr>
          <w:sz w:val="20"/>
          <w:szCs w:val="20"/>
          <w:color w:val="auto"/>
        </w:rPr>
      </w:pPr>
      <w:r>
        <w:rPr>
          <w:rFonts w:ascii="Arial" w:cs="Arial" w:eastAsia="Arial" w:hAnsi="Arial"/>
          <w:sz w:val="18"/>
          <w:szCs w:val="18"/>
          <w:color w:val="231F20"/>
        </w:rPr>
        <w:t>Income tax benefit during the nine months ended September 30, 2022 primarily consists of deferred tax benefit from net loss allocated to Bakkt Holdings, Inc. during the period.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5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231F20"/>
        </w:rPr>
        <w:t>Our predecessor principally financed its operations through equity financings in the form of capital contributions from its members and, to a lesser degree, from customer revenues. In addition, in 2018, ICE contributed certain developed assets and rights to use exchange and clearing licenses enabling Bakkt to commence operations. In connection with the closing of the Business Combination, our predecessor’s cash position was supplemented by $532.4 million, which included $325.0 million in proceeds from the closing of a private placement of shares of our Class A common stock and $207.4 million that had previously been held in trust.</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As of September 30, 2022, we had $159.9 million and $16.5 million of cash and cash equivalents and restricted cash, respectively, which included the net proceeds raised in connection with the Business Combination, the amounts used to fund redemptions in connection with the Business Combination and the amounts received upon exercise of the public warrants through such date, partially offset by cash used in operations and investments in available for sale debt securities. As of September 30, 2022, we had $113.9 million of available for sale debt securities that mature over the next 2 to 12 months. Cash and cash equivalents consist of cash deposits at banks and money market funds. Restricted cash is held to satisfy certain minimum capital requirements pursuant to regulatory requirements.</w:t>
      </w:r>
    </w:p>
    <w:p>
      <w:pPr>
        <w:spacing w:after="0" w:line="18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We intend to use our unrestricted cash and expected proceeds from maturity of available for sale debt securities to (i) increase our sales and marketing efforts, (ii) expand our research and product development efforts, (iii) maintain and expand our technology infrastructure and operational support, and (iv) pay the cash purchase price to acquire Apex. In addition, we may in the future enter into arrangements to acquire or invest in complementary businesses, services, technologies or intellectual property rights. However, we have no agreements or commitments with respect to any such acquisitions or investments at this time.</w:t>
      </w:r>
    </w:p>
    <w:p>
      <w:pPr>
        <w:spacing w:after="0" w:line="19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Our expected uses of available funds are based upon our present plans, objectives and business condition. We have not determined all of the particular uses for the available funds, and management has not estimated the amount of funds, or the range of funds, to be used for any particular purpose. As a result, our management retain broad discretion over the available funds.</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231F20"/>
        </w:rPr>
        <w:t>Our future cash requirements will depend on many factors, including our revenue growth rate, the timing and extent of hiring and associated overhead to support projected growth in our business, sales and marketing costs to drive revenue growth, and software development investments to continue adding features and functionality to our technology platforms to align with market needs. We expect to augment our personnel with employees acquired in the Apex transaction. We believe that we substantially completed the necessary investment in our platforms in 2022, which enables us to simplify our organization and focus on the core capabilities that are critical to our strategy. Accordingly, we expect to incur a restructuring charge in the fourth quarter of 2022 to better align our expenses and cash outlays with drivers of revenue. We have not adopted or approved a formal restructuring plan. We may also enter into arrangements to acquire or invest in complementary services and technologies, which will likely require us to increase our cash consumption.</w:t>
      </w:r>
    </w:p>
    <w:p>
      <w:pPr>
        <w:spacing w:after="0" w:line="19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8"/>
          <w:szCs w:val="18"/>
          <w:color w:val="231F20"/>
        </w:rPr>
        <w:t>In addition, we have evaluated the impact of the COVID-19 pandemic on our liquidity and capital needs, and we anticipate that its effects will be largely neutral.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Depending on the foregoing and other factors that may affect our business in the future, we may be required to seek additional capital contributions or debt financing in the future. In the event that additional financing is required from outside sources, we may not be able to raise it on terms acceptable to us or at all.</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ind w:left="660"/>
              <w:spacing w:after="0"/>
              <w:rPr>
                <w:sz w:val="20"/>
                <w:szCs w:val="20"/>
                <w:color w:val="auto"/>
              </w:rPr>
            </w:pPr>
            <w:r>
              <w:rPr>
                <w:rFonts w:ascii="Arial" w:cs="Arial" w:eastAsia="Arial" w:hAnsi="Arial"/>
                <w:sz w:val="18"/>
                <w:szCs w:val="18"/>
                <w:color w:val="231F20"/>
                <w:w w:val="99"/>
              </w:rPr>
              <w:t>The following table summarizes our cash flows for the periods presented (</w:t>
            </w:r>
            <w:r>
              <w:rPr>
                <w:rFonts w:ascii="Arial" w:cs="Arial" w:eastAsia="Arial" w:hAnsi="Arial"/>
                <w:sz w:val="18"/>
                <w:szCs w:val="18"/>
                <w:color w:val="000000"/>
                <w:w w:val="99"/>
              </w:rPr>
              <w:t>in thousands)</w:t>
            </w:r>
            <w:r>
              <w:rPr>
                <w:rFonts w:ascii="Arial" w:cs="Arial" w:eastAsia="Arial" w:hAnsi="Arial"/>
                <w:sz w:val="18"/>
                <w:szCs w:val="18"/>
                <w:color w:val="231F20"/>
                <w:w w:val="99"/>
              </w:rPr>
              <w:t>:</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81"/>
              </w:rPr>
              <w:t>Successor</w:t>
            </w:r>
          </w:p>
        </w:tc>
        <w:tc>
          <w:tcPr>
            <w:tcW w:w="20" w:type="dxa"/>
            <w:vAlign w:val="bottom"/>
          </w:tcPr>
          <w:p>
            <w:pPr>
              <w:spacing w:after="0"/>
              <w:rPr>
                <w:sz w:val="22"/>
                <w:szCs w:val="22"/>
                <w:color w:val="auto"/>
              </w:rPr>
            </w:pPr>
          </w:p>
        </w:tc>
        <w:tc>
          <w:tcPr>
            <w:tcW w:w="100" w:type="dxa"/>
            <w:vAlign w:val="bottom"/>
            <w:vMerge w:val="restart"/>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229"/>
        </w:trPr>
        <w:tc>
          <w:tcPr>
            <w:tcW w:w="7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640" w:type="dxa"/>
            <w:vAlign w:val="bottom"/>
          </w:tcPr>
          <w:p>
            <w:pPr>
              <w:spacing w:after="0"/>
              <w:rPr>
                <w:sz w:val="14"/>
                <w:szCs w:val="14"/>
                <w:color w:val="auto"/>
              </w:rPr>
            </w:pPr>
          </w:p>
        </w:tc>
        <w:tc>
          <w:tcPr>
            <w:tcW w:w="170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1"/>
              </w:rPr>
              <w:t>Nine Months Ended</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9"/>
        </w:trPr>
        <w:tc>
          <w:tcPr>
            <w:tcW w:w="7640" w:type="dxa"/>
            <w:vAlign w:val="bottom"/>
          </w:tcPr>
          <w:p>
            <w:pPr>
              <w:spacing w:after="0"/>
              <w:rPr>
                <w:sz w:val="20"/>
                <w:szCs w:val="20"/>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 2022</w:t>
            </w:r>
          </w:p>
        </w:tc>
        <w:tc>
          <w:tcPr>
            <w:tcW w:w="20" w:type="dxa"/>
            <w:vAlign w:val="bottom"/>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 2021</w:t>
            </w:r>
          </w:p>
        </w:tc>
        <w:tc>
          <w:tcPr>
            <w:tcW w:w="0" w:type="dxa"/>
            <w:vAlign w:val="bottom"/>
          </w:tcPr>
          <w:p>
            <w:pPr>
              <w:spacing w:after="0"/>
              <w:rPr>
                <w:sz w:val="1"/>
                <w:szCs w:val="1"/>
                <w:color w:val="auto"/>
              </w:rPr>
            </w:pPr>
          </w:p>
        </w:tc>
      </w:tr>
      <w:tr>
        <w:trPr>
          <w:trHeight w:val="227"/>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flows used in operating activities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(93,905)</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(43,777)</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Net cash flows used in investing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(136,578)</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(9,087)</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 financing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Operating Activities</w:t>
      </w:r>
    </w:p>
    <w:p>
      <w:pPr>
        <w:spacing w:after="0" w:line="252"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231F20"/>
        </w:rPr>
        <w:t>Since our inception, we have yet to achieve positive cash flow from operations. Our primary uses of cash include compensation and benefits for headcount-related expenses, investment in software and product development of our technology platforms, most significantly our platform, and associated non-headcount technology and communication cost to develop, operate and support our customer-facing technology platforms.</w:t>
      </w:r>
    </w:p>
    <w:p>
      <w:pPr>
        <w:spacing w:after="0" w:line="17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231F20"/>
        </w:rPr>
        <w:t>Net cash flows used in operating activities of $93.9 million for the nine months ended September 30, 2022 was primarily related to our net loss of $1,663.5 million and net cash outflows resulting from changes in our operating assets and liabilities of $5.6 million, offset by non-cash charges of $1,575.2 million. The non-cash charges primarily consisted of an impairment of goodwill and other intangible assets of $1,547.7 million, share-based compensation of $28.9 million and depreciation and amortization of $18.3 million, offset by a decrease in deferred taxes of $8.9 million and a gain from change in fair value of warrant liability of $13.1 million. Net cash outflows from changes in our operating assets and liabilities for the nine months ended September 30, 2022 resulted primarily from a $6.7 million reduction in the outstanding balance of the purchasing card facility, an increase in accounts receivables of $4.0 million and a decrease of accounts payable and accrued liabilities of $10.7 million, which were partially offset by a decrease in prepaid insurance of $11.6 million.</w:t>
      </w:r>
    </w:p>
    <w:p>
      <w:pPr>
        <w:spacing w:after="0" w:line="18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Net cash flows used in operating activities of $43.8 million for the nine months ended September 30, 2021 is primarily attributable to our net loss of $89.6 million, offset by non-cash charges of $16.6 million and net cash inflows resulting from changes in our operating assets and liabilities of approximately $29.2 million. Non-cash charges primarily consisted of $3.1 million of unit-based compensation expenses and $9.0 million of depreciation and amortization. Net cash inflows from changes in operating assets and liabilities resulted from the return of a deposit with our clearinghouse affiliate of $20.2 million and a $13.0 million increase in accounts payable and accruals, partially offset by a $1.0 million decrease in other assets and liabilities and a $2.9 million increase in accounts receivables.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Investing Activities</w:t>
      </w:r>
    </w:p>
    <w:p>
      <w:pPr>
        <w:spacing w:after="0" w:line="2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Net cash flows used in investing activities of $136.6 million for the nine months ended September 30, 2022 consisted of $188.8 million related to the purchase of available for sale debt securities and $22.5 million of capitalized costs of internally developed software for our technology platforms, partially offset by the receipt of $74.7 million of proceeds from the sale of available-for-sale securities.</w:t>
      </w:r>
    </w:p>
    <w:p>
      <w:pPr>
        <w:spacing w:after="0" w:line="175"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231F20"/>
        </w:rPr>
        <w:t>Net cash flows used in investing activities of $9.1 million for the nine months ended September 30, 2021 consisted of $10.9 million of capitalized costs of internally developed software, partially offset by $1.8 million related to the p</w:t>
      </w:r>
      <w:r>
        <w:rPr>
          <w:rFonts w:ascii="Arial" w:cs="Arial" w:eastAsia="Arial" w:hAnsi="Arial"/>
          <w:sz w:val="18"/>
          <w:szCs w:val="18"/>
          <w:color w:val="000000"/>
        </w:rPr>
        <w:t>roceeds from sale of shares of affiliate stock</w:t>
      </w:r>
      <w:r>
        <w:rPr>
          <w:rFonts w:ascii="Arial" w:cs="Arial" w:eastAsia="Arial" w:hAnsi="Arial"/>
          <w:sz w:val="18"/>
          <w:szCs w:val="18"/>
          <w:color w:val="231F20"/>
        </w:rPr>
        <w: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Financing Activities</w:t>
      </w:r>
    </w:p>
    <w:p>
      <w:pPr>
        <w:spacing w:after="0" w:line="2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231F20"/>
        </w:rPr>
        <w:t>Net cash flows provided by financing activities of less than $0.1 million for the nine months ended September 30, 2022 resulted from proceeds from the exercise of public warrants.</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8"/>
          <w:szCs w:val="18"/>
          <w:color w:val="231F20"/>
        </w:rPr>
        <w:t>Net cash flows used in financing activities of less than $0.1 million for the nine months ended September 30, 2021 resulted from payments for capital leases during the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Tax Receivable Agreement</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Concurrently with the completion of the Business Combination, we entered into a TRA with certain Bakkt Equity Holders. Pursuant to the TRA, among other things, holders of Bakkt Common Units may, subject to certain conditions, from and after April 16, 2022, exchange such Common Units (along with a corresponding number of shares of our Common Stock), for Class A common stock on a one-for-one basis, subject to the terms of the Exchange Agreement, including our right to elect to deliver cash in lieu of Class A common stock and, in certain cases, adjustments as set forth therein. Bakkt will have in effect an election under Section 754 of the Internal Revenue Code for each taxable year in which an exchange of Bakkt Common Units for Class A common stock (or cash) occurs.</w:t>
      </w:r>
    </w:p>
    <w:p>
      <w:pPr>
        <w:spacing w:after="0" w:line="183"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8"/>
          <w:szCs w:val="18"/>
          <w:color w:val="auto"/>
        </w:rPr>
        <w:t>The exchanges are expected to result in increases in the tax basis of the tangible and intangible assets of Bakkt.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88"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The TRA provides for the payment by us to exchanging holders of Bakkt Common Units of 85% of certain net income tax benefits, if any, that we realize (or in certain cases is deemed to realize) as a result of these increases in tax basis related to entering into the TRA, including tax benefits attributable to payments under the TRA. This payment obligation is an obligation of the Company and not of Bakkt.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Bakkt as a result of Bakkt having an election in effect under Section 754 of the Code for each taxable year in which an exchange of Bakkt Common Units for Class A common stock occurs and had we not entered into the TRA. Such change will be calculated under the TRA without regard to any transfers of Bakkt Common Units or distributions with respect to such Bakkt Common Units before the exchange under the Exchange Agreement to which Section 743(b) or 734(b) of the Code applies. As of September 30, 2022, 19,605,805 Opco common units were exchanged for Class A common stock. Based on the Company's history of taxable losses, the Company has concluded that it is not probable to expect cash tax payments in the foreseeable future and as such, no value has been recorded under the TRA.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 and Commitments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 xml:space="preserve">The following is a summary of our significant contractual obligations and commitments as of </w:t>
      </w:r>
      <w:r>
        <w:rPr>
          <w:rFonts w:ascii="Arial" w:cs="Arial" w:eastAsia="Arial" w:hAnsi="Arial"/>
          <w:sz w:val="18"/>
          <w:szCs w:val="18"/>
          <w:color w:val="000000"/>
        </w:rPr>
        <w:t>September 30, 2022</w:t>
      </w:r>
      <w:r>
        <w:rPr>
          <w:rFonts w:ascii="Arial" w:cs="Arial" w:eastAsia="Arial" w:hAnsi="Arial"/>
          <w:sz w:val="18"/>
          <w:szCs w:val="18"/>
          <w:color w:val="231F20"/>
        </w:rPr>
        <w:t xml:space="preserve">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ind w:left="1100"/>
              <w:spacing w:after="0"/>
              <w:rPr>
                <w:sz w:val="20"/>
                <w:szCs w:val="20"/>
                <w:color w:val="auto"/>
              </w:rPr>
            </w:pPr>
            <w:r>
              <w:rPr>
                <w:rFonts w:ascii="Arial" w:cs="Arial" w:eastAsia="Arial" w:hAnsi="Arial"/>
                <w:sz w:val="18"/>
                <w:szCs w:val="18"/>
                <w:b w:val="1"/>
                <w:bCs w:val="1"/>
                <w:color w:val="auto"/>
              </w:rPr>
              <w:t>Payments Due by Period</w:t>
            </w:r>
          </w:p>
        </w:tc>
        <w:tc>
          <w:tcPr>
            <w:tcW w:w="10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77"/>
        </w:trPr>
        <w:tc>
          <w:tcPr>
            <w:tcW w:w="35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6"/>
              </w:rPr>
              <w:t>Less than 1 year</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1-3 years</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3-5 years</w:t>
            </w:r>
          </w:p>
        </w:tc>
        <w:tc>
          <w:tcPr>
            <w:tcW w:w="16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5"/>
              </w:rPr>
              <w:t>More than 5 years</w:t>
            </w: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23"/>
        </w:trPr>
        <w:tc>
          <w:tcPr>
            <w:tcW w:w="35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30"/>
        </w:trPr>
        <w:tc>
          <w:tcPr>
            <w:tcW w:w="35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w w:val="96"/>
              </w:rPr>
              <w:t>Future minimum operating lease payments</w:t>
            </w:r>
            <w:r>
              <w:rPr>
                <w:rFonts w:ascii="Arial" w:cs="Arial" w:eastAsia="Arial" w:hAnsi="Arial"/>
                <w:sz w:val="23"/>
                <w:szCs w:val="23"/>
                <w:color w:val="auto"/>
                <w:w w:val="96"/>
                <w:vertAlign w:val="superscript"/>
              </w:rPr>
              <w:t>(2)</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3,584</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9,260</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6,845</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13,058</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32,747</w:t>
            </w: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5,834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15,845</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13,058</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52,747</w:t>
            </w:r>
          </w:p>
        </w:tc>
      </w:tr>
    </w:tbl>
    <w:p>
      <w:pPr>
        <w:spacing w:after="0" w:line="310"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minimum commitment payments under a four-year cloud computing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(2) Represents rental payments under operating leases with remaining non-cancellable terms in excess of one year.</w:t>
      </w:r>
    </w:p>
    <w:p>
      <w:pPr>
        <w:spacing w:after="0" w:line="2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231F20"/>
        </w:rPr>
        <w:t xml:space="preserve">Additionally, we, through our loyalty business, had a purchasing card facility with a bank that we utilized for redemption purchases made from merchant partners as part of our loyalty redemption platform. Expenditures made using the purchasing card facility were payable monthly, were not subject to formula-based restrictions and did not bear interest if amounts outstanding were paid when due and in full. Among other covenants, the purchasing card facility required that we maintain a month-end cash balance of $40.0 million. In January 2021, the purchasing card facility was extended to April 15, 2022 in order to facilitate a long-term agreement on more favorable terms for us. </w:t>
      </w:r>
      <w:r>
        <w:rPr>
          <w:rFonts w:ascii="Arial" w:cs="Arial" w:eastAsia="Arial" w:hAnsi="Arial"/>
          <w:sz w:val="17"/>
          <w:szCs w:val="17"/>
          <w:color w:val="000000"/>
        </w:rPr>
        <w:t>In April 2022, we further extended the maturity date of the purchasing card</w:t>
      </w:r>
      <w:r>
        <w:rPr>
          <w:rFonts w:ascii="Arial" w:cs="Arial" w:eastAsia="Arial" w:hAnsi="Arial"/>
          <w:sz w:val="17"/>
          <w:szCs w:val="17"/>
          <w:color w:val="231F20"/>
        </w:rPr>
        <w:t xml:space="preserve"> </w:t>
      </w:r>
      <w:r>
        <w:rPr>
          <w:rFonts w:ascii="Arial" w:cs="Arial" w:eastAsia="Arial" w:hAnsi="Arial"/>
          <w:sz w:val="17"/>
          <w:szCs w:val="17"/>
          <w:color w:val="000000"/>
        </w:rPr>
        <w:t>facility to August 12, 2022, to transition over to the purchasing card facility with Bank of America described below. The maturity date of the purchasing card facility was further extended as of August 12, 2022 to January 13, 2023. During September 2022 we paid off the majority of the remaining balance of the purchasing card facility. The purchasing card facility was closed during October 2022.</w:t>
      </w:r>
    </w:p>
    <w:p>
      <w:pPr>
        <w:spacing w:after="0" w:line="188"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On April 7, 2022, we entered into a corporate card services agreement with Bank of America to provide a new purchasing card facility. Total borrowing capacity under the facility is $35 million and there is no defined maturity date. Expenditures made using the purchasing card facility are payable 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as collateral along with the accounts receivable of our subsidiary, within the loyalty business. Bakkt Holdings, Inc. serves as the guarantor on behalf of our subsidiary under the commercial purchasing card facility. We began using the purchasing card facility in August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Non-GAAP Financial Measures</w:t>
      </w:r>
    </w:p>
    <w:p>
      <w:pPr>
        <w:spacing w:after="0" w:line="2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231F20"/>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spacing w:after="0" w:line="19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Adjusted EBITDA</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We present Adjusted EBITDA as a non-GAAP financial measure.</w:t>
      </w:r>
    </w:p>
    <w:p>
      <w:pPr>
        <w:spacing w:after="0" w:line="25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231F20"/>
        </w:rPr>
        <w:t>We believe that Adjusted EBITDA provides relevant and useful information, which is used by management in assessing the performance of our business. Adjusted EBITDA is defined as earnings before interest, income taxes, depreciation, amortization and certain non-cash and/or non-recurring items that do not contribute directly to our evaluation of operating results. Adjusted EBITDA provides management with an understanding of earnings before the impact of investing and financing transactions and income taxes, and the effects of 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648"/>
        <w:spacing w:after="0" w:line="395" w:lineRule="auto"/>
        <w:rPr>
          <w:sz w:val="20"/>
          <w:szCs w:val="20"/>
          <w:color w:val="auto"/>
        </w:rPr>
      </w:pPr>
      <w:r>
        <w:rPr>
          <w:rFonts w:ascii="Arial" w:cs="Arial" w:eastAsia="Arial" w:hAnsi="Arial"/>
          <w:sz w:val="16"/>
          <w:szCs w:val="16"/>
          <w:color w:val="231F20"/>
        </w:rPr>
        <w:t>In addition to the items above, Adjusted EBITDA as a non-GAAP financial measure also excludes interest income (expense) and other income (expense), income tax (expense) benefit, as well as non-cash impairment charges as these items are not components of our core business operations.</w:t>
      </w:r>
    </w:p>
    <w:p>
      <w:pPr>
        <w:spacing w:after="0" w:line="110"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231F20"/>
        </w:rPr>
        <w:t>Non-GAAP financial measures like Adjusted EBITDA have limitations, should be considered as supplemental in nature and are not meant as a substitute for the related financial information prepared in accordance with GAAP. These limitations include the following:</w:t>
      </w:r>
    </w:p>
    <w:p>
      <w:pPr>
        <w:spacing w:after="0" w:line="157"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231F20"/>
        </w:rPr>
        <w:t>share-based and unit-based compensation expense, including changes in the fair value of our participation unit liability, which has been excluded from</w:t>
      </w:r>
    </w:p>
    <w:p>
      <w:pPr>
        <w:spacing w:after="0" w:line="72" w:lineRule="exact"/>
        <w:rPr>
          <w:rFonts w:ascii="Arial" w:cs="Arial" w:eastAsia="Arial" w:hAnsi="Arial"/>
          <w:sz w:val="16"/>
          <w:szCs w:val="16"/>
          <w:color w:val="auto"/>
        </w:rPr>
      </w:pPr>
    </w:p>
    <w:p>
      <w:pPr>
        <w:jc w:val="both"/>
        <w:ind w:left="340"/>
        <w:spacing w:after="0" w:line="303" w:lineRule="auto"/>
        <w:rPr>
          <w:rFonts w:ascii="Arial" w:cs="Arial" w:eastAsia="Arial" w:hAnsi="Arial"/>
          <w:sz w:val="16"/>
          <w:szCs w:val="16"/>
          <w:color w:val="auto"/>
        </w:rPr>
      </w:pPr>
      <w:r>
        <w:rPr>
          <w:rFonts w:ascii="Arial" w:cs="Arial" w:eastAsia="Arial" w:hAnsi="Arial"/>
          <w:sz w:val="18"/>
          <w:szCs w:val="18"/>
          <w:color w:val="231F20"/>
        </w:rPr>
        <w:t>Adjusted EBITDA because the amount of such expenses in any specific period may not directly correlate to the underlying performance of our business operations, has been, and will continue to be for the foreseeable future, a significant recurring expense in our business and an important part of our compensation strategy;</w:t>
      </w:r>
    </w:p>
    <w:p>
      <w:pPr>
        <w:spacing w:after="0" w:line="66" w:lineRule="exact"/>
        <w:rPr>
          <w:rFonts w:ascii="Arial" w:cs="Arial" w:eastAsia="Arial" w:hAnsi="Arial"/>
          <w:sz w:val="16"/>
          <w:szCs w:val="16"/>
          <w:color w:val="auto"/>
        </w:rPr>
      </w:pPr>
    </w:p>
    <w:p>
      <w:pPr>
        <w:ind w:left="320" w:hanging="312"/>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goodwill and intangible asset impairment charges have been excluded from Adjusted EBITDA given their non-recurring nature and non-cash impact;</w:t>
      </w:r>
    </w:p>
    <w:p>
      <w:pPr>
        <w:spacing w:after="0" w:line="180" w:lineRule="exact"/>
        <w:rPr>
          <w:rFonts w:ascii="Arial" w:cs="Arial" w:eastAsia="Arial" w:hAnsi="Arial"/>
          <w:sz w:val="16"/>
          <w:szCs w:val="16"/>
          <w:color w:val="auto"/>
        </w:rPr>
      </w:pPr>
    </w:p>
    <w:p>
      <w:pPr>
        <w:ind w:left="340" w:hanging="332"/>
        <w:spacing w:after="0" w:line="308"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fair value of our warrant liability, which in any specific period may not directly correlate to the underlying performance of our business operations, and do not necessarily reflect future cash outlays as the liability is remeasured at each reporting date;</w:t>
      </w:r>
    </w:p>
    <w:p>
      <w:pPr>
        <w:spacing w:after="0" w:line="76" w:lineRule="exact"/>
        <w:rPr>
          <w:rFonts w:ascii="Arial" w:cs="Arial" w:eastAsia="Arial" w:hAnsi="Arial"/>
          <w:sz w:val="18"/>
          <w:szCs w:val="18"/>
          <w:color w:val="auto"/>
        </w:rPr>
      </w:pPr>
    </w:p>
    <w:p>
      <w:pPr>
        <w:jc w:val="both"/>
        <w:ind w:left="340" w:hanging="332"/>
        <w:spacing w:after="0" w:line="303"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the intangible assets being amortized, and property and equipment being depreciated, may have to be replaced in the future, and the non-GAAP financial measures do not reflect cash capital expenditure requirements for such replacements or for new capital expenditures or other capital commitments; and</w:t>
      </w:r>
    </w:p>
    <w:p>
      <w:pPr>
        <w:spacing w:after="0" w:line="66"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non-GAAP measures do not reflect changes in, or cash requirements for, our working capital needs.</w:t>
      </w:r>
    </w:p>
    <w:p>
      <w:pPr>
        <w:spacing w:after="0" w:line="266"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231F20"/>
        </w:rPr>
        <w:t>Because of these limitations, the non-GAAP financial measures should be considered alongside other financial performance measures, including net loss and our other financial results presented in accordance with GAAP.</w:t>
      </w:r>
    </w:p>
    <w:p>
      <w:pPr>
        <w:spacing w:after="0" w:line="157" w:lineRule="exact"/>
        <w:rPr>
          <w:sz w:val="20"/>
          <w:szCs w:val="20"/>
          <w:color w:val="auto"/>
        </w:rPr>
      </w:pPr>
    </w:p>
    <w:p>
      <w:pPr>
        <w:ind w:right="20" w:firstLine="648"/>
        <w:spacing w:after="0" w:line="324" w:lineRule="auto"/>
        <w:rPr>
          <w:sz w:val="20"/>
          <w:szCs w:val="20"/>
          <w:color w:val="auto"/>
        </w:rPr>
      </w:pPr>
      <w:r>
        <w:rPr>
          <w:rFonts w:ascii="Arial" w:cs="Arial" w:eastAsia="Arial" w:hAnsi="Arial"/>
          <w:sz w:val="18"/>
          <w:szCs w:val="18"/>
          <w:color w:val="231F20"/>
        </w:rPr>
        <w:t>The following table presents a reconciliation of net loss, the most directly comparable GAAP operating performance measure, to our Adjusted EBITDA for each of the periods indicated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20" w:type="dxa"/>
            <w:vAlign w:val="bottom"/>
          </w:tcPr>
          <w:p>
            <w:pPr>
              <w:spacing w:after="0"/>
              <w:rPr>
                <w:sz w:val="19"/>
                <w:szCs w:val="19"/>
                <w:color w:val="auto"/>
              </w:rPr>
            </w:pPr>
          </w:p>
        </w:tc>
        <w:tc>
          <w:tcPr>
            <w:tcW w:w="18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3"/>
              </w:rPr>
              <w:t>Successor</w:t>
            </w:r>
          </w:p>
        </w:tc>
        <w:tc>
          <w:tcPr>
            <w:tcW w:w="80" w:type="dxa"/>
            <w:vAlign w:val="bottom"/>
          </w:tcPr>
          <w:p>
            <w:pPr>
              <w:spacing w:after="0"/>
              <w:rPr>
                <w:sz w:val="19"/>
                <w:szCs w:val="19"/>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Predecessor</w:t>
            </w:r>
          </w:p>
        </w:tc>
        <w:tc>
          <w:tcPr>
            <w:tcW w:w="18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3"/>
              </w:rPr>
              <w:t>Successor</w:t>
            </w: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5"/>
              </w:rPr>
              <w:t>Predecessor</w:t>
            </w:r>
          </w:p>
        </w:tc>
      </w:tr>
      <w:tr>
        <w:trPr>
          <w:trHeight w:val="169"/>
        </w:trPr>
        <w:tc>
          <w:tcPr>
            <w:tcW w:w="4020" w:type="dxa"/>
            <w:vAlign w:val="bottom"/>
          </w:tcPr>
          <w:p>
            <w:pPr>
              <w:spacing w:after="0"/>
              <w:rPr>
                <w:sz w:val="14"/>
                <w:szCs w:val="14"/>
                <w:color w:val="auto"/>
              </w:rPr>
            </w:pPr>
          </w:p>
        </w:tc>
        <w:tc>
          <w:tcPr>
            <w:tcW w:w="16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4"/>
                <w:szCs w:val="14"/>
                <w:color w:val="auto"/>
              </w:rPr>
            </w:pPr>
          </w:p>
        </w:tc>
        <w:tc>
          <w:tcPr>
            <w:tcW w:w="16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1"/>
              </w:rPr>
              <w:t>Nine Months Ended</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1"/>
              </w:rPr>
              <w:t>Nine Months Ended</w:t>
            </w:r>
          </w:p>
        </w:tc>
      </w:tr>
      <w:tr>
        <w:trPr>
          <w:trHeight w:val="239"/>
        </w:trPr>
        <w:tc>
          <w:tcPr>
            <w:tcW w:w="4020" w:type="dxa"/>
            <w:vAlign w:val="bottom"/>
          </w:tcPr>
          <w:p>
            <w:pPr>
              <w:spacing w:after="0"/>
              <w:rPr>
                <w:sz w:val="20"/>
                <w:szCs w:val="20"/>
                <w:color w:val="auto"/>
              </w:rPr>
            </w:pPr>
          </w:p>
        </w:tc>
        <w:tc>
          <w:tcPr>
            <w:tcW w:w="18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0"/>
              </w:rPr>
              <w:t>September 30, 2022</w:t>
            </w:r>
          </w:p>
        </w:tc>
        <w:tc>
          <w:tcPr>
            <w:tcW w:w="8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September 30, 2021</w:t>
            </w:r>
          </w:p>
        </w:tc>
        <w:tc>
          <w:tcPr>
            <w:tcW w:w="18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0"/>
              </w:rPr>
              <w:t>September 30, 2022</w:t>
            </w:r>
          </w:p>
        </w:tc>
        <w:tc>
          <w:tcPr>
            <w:tcW w:w="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 2021</w:t>
            </w:r>
          </w:p>
        </w:tc>
      </w:tr>
      <w:tr>
        <w:trPr>
          <w:trHeight w:val="227"/>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(1,592,548)</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(28,847)</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(1,663,509)</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(89,558)</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680" w:type="dxa"/>
            <w:vAlign w:val="bottom"/>
          </w:tcPr>
          <w:p>
            <w:pPr>
              <w:jc w:val="right"/>
              <w:spacing w:after="0"/>
              <w:rPr>
                <w:sz w:val="20"/>
                <w:szCs w:val="20"/>
                <w:color w:val="auto"/>
              </w:rPr>
            </w:pPr>
            <w:r>
              <w:rPr>
                <w:rFonts w:ascii="Arial" w:cs="Arial" w:eastAsia="Arial" w:hAnsi="Arial"/>
                <w:sz w:val="18"/>
                <w:szCs w:val="18"/>
                <w:color w:val="auto"/>
              </w:rPr>
              <w:t>6,391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18,340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9,098</w:t>
            </w: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30"/>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expense</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(8,844)</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(1,587,386)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(25,469)</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(1,654,851)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(80,026)</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Acquisition-related expenses</w:t>
            </w:r>
          </w:p>
        </w:tc>
        <w:tc>
          <w:tcPr>
            <w:tcW w:w="168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1,148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12,075</w:t>
            </w: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Share-based and unit-based compensation expense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Gain from change in fair value of warrant liability</w:t>
            </w:r>
          </w:p>
        </w:tc>
        <w:tc>
          <w:tcPr>
            <w:tcW w:w="168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(13,139)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ICE transition services expense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Goodwill and intangible assets impairments</w:t>
            </w:r>
          </w:p>
        </w:tc>
        <w:tc>
          <w:tcPr>
            <w:tcW w:w="1680" w:type="dxa"/>
            <w:vAlign w:val="bottom"/>
          </w:tcPr>
          <w:p>
            <w:pPr>
              <w:jc w:val="right"/>
              <w:spacing w:after="0"/>
              <w:rPr>
                <w:sz w:val="20"/>
                <w:szCs w:val="20"/>
                <w:color w:val="auto"/>
              </w:rPr>
            </w:pPr>
            <w:r>
              <w:rPr>
                <w:rFonts w:ascii="Arial" w:cs="Arial" w:eastAsia="Arial" w:hAnsi="Arial"/>
                <w:sz w:val="18"/>
                <w:szCs w:val="18"/>
                <w:color w:val="auto"/>
              </w:rPr>
              <w:t>1,547,711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1,547,711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Non-recurring bitcoin sale income, net</w:t>
            </w:r>
          </w:p>
        </w:tc>
        <w:tc>
          <w:tcPr>
            <w:tcW w:w="18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9"/>
                <w:szCs w:val="19"/>
                <w:color w:val="auto"/>
              </w:rPr>
            </w:pPr>
          </w:p>
        </w:tc>
        <w:tc>
          <w:tcPr>
            <w:tcW w:w="18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Cancellation of common units</w:t>
            </w:r>
          </w:p>
        </w:tc>
        <w:tc>
          <w:tcPr>
            <w:tcW w:w="168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(30,716)</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(89,230)</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(65,859)</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892"/>
        </w:trPr>
        <w:tc>
          <w:tcPr>
            <w:tcW w:w="4020" w:type="dxa"/>
            <w:vAlign w:val="bottom"/>
          </w:tcPr>
          <w:p>
            <w:pPr>
              <w:spacing w:after="0"/>
              <w:rPr>
                <w:sz w:val="24"/>
                <w:szCs w:val="24"/>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2"/>
        </w:trPr>
        <w:tc>
          <w:tcPr>
            <w:tcW w:w="402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231F20"/>
        </w:rPr>
        <w:t>Adjusted EBITDA loss for the three months ended September 30, 2022 increased by $6.6 million or 27.3% as compared to the three months ended September 30, 2021. The increased loss was primarily due to a $7.6 million increase in compensation and benefits resulting from an increase in headcount to support the projected growth in our business and a $3.3 million increase in selling, general and administrative expenses to support the projected growth in our business and requirements of being a public company, including increased insurance premiums and disclosure processes. The increases in these expenses were partially offset by the increase in revenue of $3.7 million over the same periods.</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231F20"/>
        </w:rPr>
        <w:t>Adjusted EBITDA loss for the nine months ended September 30, 2022 increased by $23.4 million or 35.5% as compared to the nine months ended September 30, 2021. The increased loss was primarily due to a $24.0 million increase in compensation and benefits resulting from an increase in headcount to support the projected growth in our business, a $4.3 million increase in professional services including fees for accounting, legal and regulatory fees, and a $7.5 million increase in selling, general and administrative expenses to support the projected growth in our business and requirements of being a public company, including increased insurance premiums and disclosure processes. The increases in these expenses were partially offset by the increase in revenue of $13.2 million over the same periods.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Our consolidated financial statements are prepared in accordance with GAAP, which requires us to make estimates and apply judgments that affect the reported amounts. We base our estimates on historical experience, as appropriate, and on various other assumptions that we believe to be reasonable under the circumstances. Changes in the accounting estimates are reasonably likely to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may be affected.</w:t>
      </w:r>
    </w:p>
    <w:p>
      <w:pPr>
        <w:spacing w:after="0" w:line="196"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7"/>
          <w:szCs w:val="17"/>
          <w:color w:val="231F20"/>
        </w:rPr>
        <w:t xml:space="preserve">Due to the COVID-19 pandemic and the military conflict in Eastern Europe, there has been uncertainty and disruption in the global economy and financial markets, which requires us to make certain estimates and assumptions that affect the amounts reported in our consolidated financial statements. The significant estimates and assumptions that affect the financial statements may include, but are not limited to, those that are related to income tax valuation allowances, useful lives of intangible assets and property, equipment and software, fair value of financial assets and liabilities, determining provision for doubtful accounts, valuation of acquired tangible and intangible assets, the impairment of intangible assets and goodwill, and fair market value of Bakkt common units, incentive units and participation units. We have assessed the impact and are not aware of any specific events or circumstances that required an update to our estimates and assumptions or materially affected the carrying value of our assets or liabilities, except as discussed in </w:t>
      </w:r>
      <w:r>
        <w:rPr>
          <w:rFonts w:ascii="Arial" w:cs="Arial" w:eastAsia="Arial" w:hAnsi="Arial"/>
          <w:sz w:val="17"/>
          <w:szCs w:val="17"/>
          <w:color w:val="000000"/>
        </w:rPr>
        <w:t>Note 4 of our unaudited consolidated financial statements included in this Report on Form 10-Q</w:t>
      </w:r>
      <w:r>
        <w:rPr>
          <w:rFonts w:ascii="Arial" w:cs="Arial" w:eastAsia="Arial" w:hAnsi="Arial"/>
          <w:sz w:val="17"/>
          <w:szCs w:val="17"/>
          <w:color w:val="231F20"/>
        </w:rPr>
        <w:t>, as of the date of issuance of this Report. These estimates may change as new events occur and additional information is obtained. Actual results could differ materially from these estimates under different assumptions or conditions.</w:t>
      </w:r>
    </w:p>
    <w:p>
      <w:pPr>
        <w:spacing w:after="0" w:line="189" w:lineRule="exact"/>
        <w:rPr>
          <w:sz w:val="20"/>
          <w:szCs w:val="20"/>
          <w:color w:val="auto"/>
        </w:rPr>
      </w:pPr>
    </w:p>
    <w:p>
      <w:pPr>
        <w:jc w:val="both"/>
        <w:ind w:firstLine="648"/>
        <w:spacing w:after="0" w:line="377" w:lineRule="auto"/>
        <w:rPr>
          <w:sz w:val="20"/>
          <w:szCs w:val="20"/>
          <w:color w:val="auto"/>
        </w:rPr>
      </w:pPr>
      <w:r>
        <w:rPr>
          <w:rFonts w:ascii="Arial" w:cs="Arial" w:eastAsia="Arial" w:hAnsi="Arial"/>
          <w:sz w:val="16"/>
          <w:szCs w:val="16"/>
          <w:color w:val="231F20"/>
        </w:rPr>
        <w:t>For a description of our critical accounting policies and estimates, refer to “Item 7. Management’s Discussion and Analysis of Financial Condition and Results of Operations” in our Form 10-K. There have been no material changes to our critical accounting policies and estimates since our Form 10-K.</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Recently Issued and Adopted Accounting Pronouncements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 xml:space="preserve">Recently issued and adopted accounting pronouncements are described in Note 2 </w:t>
      </w:r>
      <w:r>
        <w:rPr>
          <w:rFonts w:ascii="Arial" w:cs="Arial" w:eastAsia="Arial" w:hAnsi="Arial"/>
          <w:sz w:val="18"/>
          <w:szCs w:val="18"/>
          <w:color w:val="000000"/>
        </w:rPr>
        <w:t>included in this Report</w:t>
      </w:r>
      <w:r>
        <w:rPr>
          <w:rFonts w:ascii="Arial" w:cs="Arial" w:eastAsia="Arial" w:hAnsi="Arial"/>
          <w:sz w:val="18"/>
          <w:szCs w:val="18"/>
          <w:color w:val="231F20"/>
        </w:rPr>
        <w: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6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As required by Rule 13a-15(b) under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 13a-15(e) and 15d-15(e) under the Exchange Act) as of the end of the period covered by this Report. Based on such evaluation, our principal executive officer and principal financial officer have concluded that as of such date, our disclosure controls and procedures were effective. Our disclosure controls and procedures are designed to provide reasonable assurance that the information required to be disclosed by us in reports that we file under the Exchange Act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rules and forms of the SEC.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9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There were no changes in the system of internal control over financial reporting (as defined in Rule 13a-15(f) and Rule 15d-15(f) under the Exchange Act) during the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0"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8"/>
          <w:szCs w:val="18"/>
          <w:color w:val="auto"/>
        </w:rPr>
        <w:t>From time to time we are subject to legal proceedings and claims arising in the ordinary course of business. Based on our current knowledge, we believe that the amount or range of reasonably possible losses will not, either individually or in the aggregate, have a material adverse effect on our business, results of operations, or financial condition.</w:t>
      </w:r>
    </w:p>
    <w:p>
      <w:pPr>
        <w:spacing w:after="0" w:line="17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The results of any litigation cannot be predicted with certainty, and an unfavorable resolution in any legal proceedings could materially affect our future business, results of operations, or financial condition. Regardless of the outcome, litigation can have an adverse impact on us because of defense and settlement costs, diversion of management resources, and other factors. For additional information on our ongoing legal proceedings, please refer to Note 13 in our unaudited consolidated financials included in this Report on Form 10-Q.</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In addition to the information set forth in this Report on Form 10-Q, you should carefully consider the risk factors and other cautionary statements described under the heading “Item 1A. Risk Factors” included in our Form 10-K, which could materially affect our businesses, financial condition, or future results. Additional risks and uncertainties not currently known to us or that we currently deem to be immaterial also may materially adversely affect our business, financial condition, or future results. There have been no material changes in our risk factors from those described in our Form 10-K other than as set forth below:</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8"/>
          <w:szCs w:val="18"/>
          <w:b w:val="1"/>
          <w:bCs w:val="1"/>
          <w:i w:val="1"/>
          <w:iCs w:val="1"/>
          <w:color w:val="auto"/>
        </w:rPr>
        <w:t>The obligations associated with safeguarding cryptoassets involve unique risks and uncertainties, including the risk of loss and lack of legal precedent regarding how cryptoassets would be treated in the event of our bankruptcy.</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The obligations associated with custodial and other arrangements to safeguard cryptoassets involve unique risks and uncertainties. Nonetheless, our contractual arrangements state that our customers and trading partners retain legal ownership of the cryptoassets custodied by us on their behalf; they have the right to sell, pledge, or transfer the cryptoassets; and they also benefit from the rewards and bear the risks associated with the ownership, including as a result of any price fluctuations of the cryptoassets. Accordingly, based on the terms of our user agreement and applicable law, we believe that the cryptoassets we hold in custody for users of our platform should be respected as users’ property (and should not be available to satisfy the claims of our general creditors) in the event of our bankruptcy. To our knowledge, however, no court has considered the issues that would be presented in such a case. Accordingly, the lack of precedent and the fact-dependent nature of the determination of such claims in bankruptcy could delay or preclude the return of such cryptoassets to our customers. Although we are well-capitalized, to the extent users are concerned that cryptoassets might not be secure in a bankruptcy generally, their willingness to hold crypto in custodial accounts and their general interest in trading cryptoassets might decline. Further, to the extent prospective partners share these same concerns, their willingness to enter into relationships with us whereby they market our crypto services to their customers, may decline.</w:t>
      </w:r>
    </w:p>
    <w:p>
      <w:pPr>
        <w:spacing w:after="0" w:line="175" w:lineRule="exact"/>
        <w:rPr>
          <w:sz w:val="20"/>
          <w:szCs w:val="20"/>
          <w:color w:val="auto"/>
        </w:rPr>
      </w:pPr>
    </w:p>
    <w:p>
      <w:pPr>
        <w:jc w:val="both"/>
        <w:ind w:right="20"/>
        <w:spacing w:after="0" w:line="324" w:lineRule="auto"/>
        <w:rPr>
          <w:sz w:val="20"/>
          <w:szCs w:val="20"/>
          <w:color w:val="auto"/>
        </w:rPr>
      </w:pPr>
      <w:r>
        <w:rPr>
          <w:rFonts w:ascii="Arial" w:cs="Arial" w:eastAsia="Arial" w:hAnsi="Arial"/>
          <w:sz w:val="18"/>
          <w:szCs w:val="18"/>
          <w:b w:val="1"/>
          <w:bCs w:val="1"/>
          <w:i w:val="1"/>
          <w:iCs w:val="1"/>
          <w:color w:val="auto"/>
        </w:rPr>
        <w:t>We may not realize the anticipated benefits of past or future investments, strategic transactions, or acquisitions, and integration of these acquisitions may disrupt our business and management.</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We have in the past and may in the future, acquire companies, or enter into joint ventures or other strategic transaction. For example, on November 2, 2022, we acquired all of the membership interests of Apex. This acquisition, which is subject to regulatory approvals, is expected to close in the first half of 2023. Under the terms of the transaction, Bakkt and AFS will enter into a commercial agreement that memorializes the continued relationship and provision of Bakkt crypto solutions to AFS's clients.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56" w:name="page57"/>
    <w:bookmarkEnd w:id="56"/>
    <w:p>
      <w:pPr>
        <w:ind w:firstLine="648"/>
        <w:spacing w:after="0" w:line="357" w:lineRule="auto"/>
        <w:rPr>
          <w:sz w:val="20"/>
          <w:szCs w:val="20"/>
          <w:color w:val="auto"/>
        </w:rPr>
      </w:pPr>
      <w:r>
        <w:rPr>
          <w:rFonts w:ascii="Arial" w:cs="Arial" w:eastAsia="Arial" w:hAnsi="Arial"/>
          <w:sz w:val="17"/>
          <w:szCs w:val="17"/>
          <w:color w:val="auto"/>
        </w:rPr>
        <w:t>We may not realize the anticipated benefits of past or future investments, strategic transactions, or acquisitions, including the potential acquisition of Apex, and these transactions involve numerous risks that are not within our control. These risks include the following, among others:</w:t>
      </w:r>
    </w:p>
    <w:p>
      <w:pPr>
        <w:spacing w:after="0" w:line="26"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in assimilating the operations, systems, and personnel of the acquired company;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in effectively integrating the acquired technologies or products with our current products and technologies;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in maintaining controls, procedures and policies during the transition and integration;</w:t>
      </w:r>
    </w:p>
    <w:p>
      <w:pPr>
        <w:spacing w:after="0" w:line="157"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 of our ongoing business and distraction of our management and employees from other opportunities and challenges due to integration issues;</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integrating the acquired company's accounting, management information and other administrative systems;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in obtaining the necessary regulatory approvals in order to close the transaction;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retain key technical and managerial personnel of the acquired business;</w:t>
      </w:r>
    </w:p>
    <w:p>
      <w:pPr>
        <w:spacing w:after="0" w:line="144" w:lineRule="exact"/>
        <w:rPr>
          <w:rFonts w:ascii="Arial" w:cs="Arial" w:eastAsia="Arial" w:hAnsi="Arial"/>
          <w:sz w:val="18"/>
          <w:szCs w:val="18"/>
          <w:color w:val="auto"/>
        </w:rPr>
      </w:pPr>
    </w:p>
    <w:p>
      <w:pPr>
        <w:ind w:left="340" w:hanging="332"/>
        <w:spacing w:after="0" w:line="324"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retain key customers, vendors and other business partners of the acquired business, including, but not limited to, the Apex customers that we expect to retain in connection with our potential acquisition of Apex;</w:t>
      </w:r>
    </w:p>
    <w:p>
      <w:pPr>
        <w:spacing w:after="0" w:line="48"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achieve the financial and strategic goals for the acquired and combined businesses;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incurring acquisition-related costs or amortization costs for acquired intangible assets that could impact our results of operations;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post-acquisition investments which may lower the actual benefits realized through the acquisition;</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potential failure of the due diligence process to identify significant issues with product quality, legal, and financial liabilities among other things; and</w:t>
      </w:r>
    </w:p>
    <w:p>
      <w:pPr>
        <w:spacing w:after="0" w:line="180" w:lineRule="exact"/>
        <w:rPr>
          <w:rFonts w:ascii="Arial" w:cs="Arial" w:eastAsia="Arial" w:hAnsi="Arial"/>
          <w:sz w:val="16"/>
          <w:szCs w:val="16"/>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inability to assert that internal controls over financial reporting are effective.</w:t>
      </w:r>
    </w:p>
    <w:p>
      <w:pPr>
        <w:spacing w:after="0" w:line="25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investments, strategic transactions, or acquisitions,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incremental expenses or the write-off of goodwill, any of which could harm our financial condition or results of operations, and the trading price of our common stock could decline. For example, under the purchase agreement for the acquisition of Apex, we agreed to issue cash consideration of $55.0 million, up to $45.0 million in shares of our Class A common stock depending on Apex's achievement of certain profitability targets for the fourth quarter of 2022, and up to an additional $100.0 million in shares of our Class A common stock depending on Apex's achievement of certain financial targets through 2025.</w:t>
      </w:r>
    </w:p>
    <w:p>
      <w:pPr>
        <w:spacing w:after="0" w:line="18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Mergers and acquisitions are inherently risky, may not produce the anticipated benefits and could adversely affect our business, financial condition or results of operations.</w:t>
      </w:r>
    </w:p>
    <w:p>
      <w:pPr>
        <w:spacing w:after="0" w:line="157"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In addition, our cryptocurrency product offerings could have the effect of heightening or exacerbating many of the risk factors described in “</w:t>
      </w:r>
      <w:r>
        <w:rPr>
          <w:rFonts w:ascii="Arial" w:cs="Arial" w:eastAsia="Arial" w:hAnsi="Arial"/>
          <w:sz w:val="18"/>
          <w:szCs w:val="18"/>
          <w:i w:val="1"/>
          <w:iCs w:val="1"/>
          <w:color w:val="auto"/>
        </w:rPr>
        <w:t>Item</w:t>
      </w:r>
      <w:r>
        <w:rPr>
          <w:rFonts w:ascii="Arial" w:cs="Arial" w:eastAsia="Arial" w:hAnsi="Arial"/>
          <w:sz w:val="18"/>
          <w:szCs w:val="18"/>
          <w:color w:val="auto"/>
        </w:rPr>
        <w:t xml:space="preserve"> </w:t>
      </w:r>
      <w:r>
        <w:rPr>
          <w:rFonts w:ascii="Arial" w:cs="Arial" w:eastAsia="Arial" w:hAnsi="Arial"/>
          <w:sz w:val="18"/>
          <w:szCs w:val="18"/>
          <w:i w:val="1"/>
          <w:iCs w:val="1"/>
          <w:color w:val="auto"/>
        </w:rPr>
        <w:t>1A, Risk Factors</w:t>
      </w:r>
      <w:r>
        <w:rPr>
          <w:rFonts w:ascii="Arial" w:cs="Arial" w:eastAsia="Arial" w:hAnsi="Arial"/>
          <w:sz w:val="18"/>
          <w:szCs w:val="18"/>
          <w:color w:val="auto"/>
        </w:rPr>
        <w:t>”, in our Form 10-K, and may adversely affect our business, financial condition and results of operations.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05" w:lineRule="exact"/>
        <w:rPr>
          <w:sz w:val="20"/>
          <w:szCs w:val="20"/>
          <w:color w:val="auto"/>
        </w:rPr>
      </w:pPr>
    </w:p>
    <w:p>
      <w:pPr>
        <w:jc w:val="center"/>
        <w:ind w:right="7659"/>
        <w:spacing w:after="0"/>
        <w:rPr>
          <w:sz w:val="20"/>
          <w:szCs w:val="20"/>
          <w:color w:val="auto"/>
        </w:rPr>
      </w:pPr>
      <w:r>
        <w:rPr>
          <w:rFonts w:ascii="Arial" w:cs="Arial" w:eastAsia="Arial" w:hAnsi="Arial"/>
          <w:sz w:val="16"/>
          <w:szCs w:val="16"/>
          <w:b w:val="1"/>
          <w:bCs w:val="1"/>
          <w:color w:val="auto"/>
        </w:rPr>
        <w:t>Item 4. Mine Safety Disclosures.</w:t>
      </w:r>
    </w:p>
    <w:p>
      <w:pPr>
        <w:spacing w:after="0" w:line="171" w:lineRule="exact"/>
        <w:rPr>
          <w:sz w:val="20"/>
          <w:szCs w:val="20"/>
          <w:color w:val="auto"/>
        </w:rPr>
      </w:pPr>
    </w:p>
    <w:p>
      <w:pPr>
        <w:jc w:val="center"/>
        <w:ind w:right="7739"/>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57" w:right="144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6820" w:type="dxa"/>
            <w:vAlign w:val="bottom"/>
            <w:gridSpan w:val="13"/>
          </w:tcPr>
          <w:p>
            <w:pPr>
              <w:spacing w:after="0"/>
              <w:rPr>
                <w:sz w:val="20"/>
                <w:szCs w:val="20"/>
                <w:color w:val="auto"/>
              </w:rPr>
            </w:pPr>
            <w:r>
              <w:rPr>
                <w:rFonts w:ascii="Arial" w:cs="Arial" w:eastAsia="Arial" w:hAnsi="Arial"/>
                <w:sz w:val="18"/>
                <w:szCs w:val="18"/>
                <w:b w:val="1"/>
                <w:bCs w:val="1"/>
                <w:color w:val="auto"/>
              </w:rPr>
              <w:t>Item 6. Exhibits.</w:t>
            </w:r>
          </w:p>
        </w:tc>
        <w:tc>
          <w:tcPr>
            <w:tcW w:w="820" w:type="dxa"/>
            <w:vAlign w:val="bottom"/>
          </w:tcPr>
          <w:p>
            <w:pPr>
              <w:spacing w:after="0"/>
              <w:rPr>
                <w:sz w:val="20"/>
                <w:szCs w:val="20"/>
                <w:color w:val="auto"/>
              </w:rPr>
            </w:pPr>
          </w:p>
        </w:tc>
        <w:tc>
          <w:tcPr>
            <w:tcW w:w="3580" w:type="dxa"/>
            <w:vAlign w:val="bottom"/>
            <w:gridSpan w:val="3"/>
            <w:vMerge w:val="restart"/>
          </w:tcPr>
          <w:p>
            <w:pPr>
              <w:ind w:left="34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230"/>
        </w:trPr>
        <w:tc>
          <w:tcPr>
            <w:tcW w:w="12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Exhibit</w:t>
            </w:r>
          </w:p>
        </w:tc>
        <w:tc>
          <w:tcPr>
            <w:tcW w:w="4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12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40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gridSpan w:val="11"/>
          </w:tcPr>
          <w:p>
            <w:pPr>
              <w:ind w:left="1920"/>
              <w:spacing w:after="0"/>
              <w:rPr>
                <w:sz w:val="20"/>
                <w:szCs w:val="20"/>
                <w:color w:val="auto"/>
              </w:rPr>
            </w:pPr>
            <w:r>
              <w:rPr>
                <w:rFonts w:ascii="Arial" w:cs="Arial" w:eastAsia="Arial" w:hAnsi="Arial"/>
                <w:sz w:val="18"/>
                <w:szCs w:val="18"/>
                <w:b w:val="1"/>
                <w:bCs w:val="1"/>
                <w:color w:val="auto"/>
              </w:rPr>
              <w:t>Description</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Exhibit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0" w:type="dxa"/>
            <w:vAlign w:val="bottom"/>
          </w:tcPr>
          <w:p>
            <w:pPr>
              <w:spacing w:after="0"/>
              <w:rPr>
                <w:sz w:val="1"/>
                <w:szCs w:val="1"/>
                <w:color w:val="auto"/>
              </w:rPr>
            </w:pPr>
          </w:p>
        </w:tc>
      </w:tr>
      <w:tr>
        <w:trPr>
          <w:trHeight w:val="290"/>
        </w:trPr>
        <w:tc>
          <w:tcPr>
            <w:tcW w:w="1260" w:type="dxa"/>
            <w:vAlign w:val="bottom"/>
          </w:tcPr>
          <w:p>
            <w:pPr>
              <w:ind w:left="20"/>
              <w:spacing w:after="0"/>
              <w:rPr>
                <w:sz w:val="20"/>
                <w:szCs w:val="20"/>
                <w:color w:val="auto"/>
              </w:rPr>
            </w:pPr>
            <w:r>
              <w:rPr>
                <w:rFonts w:ascii="Arial" w:cs="Arial" w:eastAsia="Arial" w:hAnsi="Arial"/>
                <w:sz w:val="18"/>
                <w:szCs w:val="18"/>
                <w:color w:val="auto"/>
              </w:rPr>
              <w:t>3.1</w:t>
            </w:r>
          </w:p>
        </w:tc>
        <w:tc>
          <w:tcPr>
            <w:tcW w:w="4740" w:type="dxa"/>
            <w:vAlign w:val="bottom"/>
            <w:tcBorders>
              <w:bottom w:val="single" w:sz="8" w:color="0000FF"/>
            </w:tcBorders>
            <w:gridSpan w:val="5"/>
          </w:tcPr>
          <w:p>
            <w:pPr>
              <w:spacing w:after="0"/>
              <w:rPr>
                <w:rFonts w:ascii="Arial" w:cs="Arial" w:eastAsia="Arial" w:hAnsi="Arial"/>
                <w:sz w:val="18"/>
                <w:szCs w:val="18"/>
                <w:color w:val="0000FF"/>
                <w:w w:val="91"/>
              </w:rPr>
            </w:pPr>
            <w:hyperlink r:id="rId105">
              <w:r>
                <w:rPr>
                  <w:rFonts w:ascii="Arial" w:cs="Arial" w:eastAsia="Arial" w:hAnsi="Arial"/>
                  <w:sz w:val="18"/>
                  <w:szCs w:val="18"/>
                  <w:color w:val="0000FF"/>
                  <w:w w:val="91"/>
                </w:rPr>
                <w:t>Certificate of Incorporation of the Company, as currently in effect</w:t>
              </w:r>
            </w:hyperlink>
          </w:p>
        </w:tc>
        <w:tc>
          <w:tcPr>
            <w:tcW w:w="820" w:type="dxa"/>
            <w:vAlign w:val="bottom"/>
            <w:gridSpan w:val="7"/>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October 21, 2021</w:t>
            </w:r>
          </w:p>
        </w:tc>
        <w:tc>
          <w:tcPr>
            <w:tcW w:w="0" w:type="dxa"/>
            <w:vAlign w:val="bottom"/>
          </w:tcPr>
          <w:p>
            <w:pPr>
              <w:spacing w:after="0"/>
              <w:rPr>
                <w:sz w:val="1"/>
                <w:szCs w:val="1"/>
                <w:color w:val="auto"/>
              </w:rPr>
            </w:pPr>
          </w:p>
        </w:tc>
      </w:tr>
      <w:tr>
        <w:trPr>
          <w:trHeight w:val="358"/>
        </w:trPr>
        <w:tc>
          <w:tcPr>
            <w:tcW w:w="1260" w:type="dxa"/>
            <w:vAlign w:val="bottom"/>
          </w:tcPr>
          <w:p>
            <w:pPr>
              <w:ind w:left="20"/>
              <w:spacing w:after="0"/>
              <w:rPr>
                <w:sz w:val="20"/>
                <w:szCs w:val="20"/>
                <w:color w:val="auto"/>
              </w:rPr>
            </w:pPr>
            <w:r>
              <w:rPr>
                <w:rFonts w:ascii="Arial" w:cs="Arial" w:eastAsia="Arial" w:hAnsi="Arial"/>
                <w:sz w:val="18"/>
                <w:szCs w:val="18"/>
                <w:color w:val="auto"/>
              </w:rPr>
              <w:t>3.2</w:t>
            </w:r>
          </w:p>
        </w:tc>
        <w:tc>
          <w:tcPr>
            <w:tcW w:w="3360" w:type="dxa"/>
            <w:vAlign w:val="bottom"/>
            <w:tcBorders>
              <w:bottom w:val="single" w:sz="8" w:color="0000FF"/>
            </w:tcBorders>
            <w:gridSpan w:val="2"/>
          </w:tcPr>
          <w:p>
            <w:pPr>
              <w:spacing w:after="0"/>
              <w:rPr>
                <w:rFonts w:ascii="Arial" w:cs="Arial" w:eastAsia="Arial" w:hAnsi="Arial"/>
                <w:sz w:val="18"/>
                <w:szCs w:val="18"/>
                <w:color w:val="0000FF"/>
                <w:w w:val="91"/>
              </w:rPr>
            </w:pPr>
            <w:hyperlink r:id="rId106">
              <w:r>
                <w:rPr>
                  <w:rFonts w:ascii="Arial" w:cs="Arial" w:eastAsia="Arial" w:hAnsi="Arial"/>
                  <w:sz w:val="18"/>
                  <w:szCs w:val="18"/>
                  <w:color w:val="0000FF"/>
                  <w:w w:val="91"/>
                </w:rPr>
                <w:t>By-laws of the Company, as currently in effect</w:t>
              </w:r>
            </w:hyperlink>
          </w:p>
        </w:tc>
        <w:tc>
          <w:tcPr>
            <w:tcW w:w="2200" w:type="dxa"/>
            <w:vAlign w:val="bottom"/>
            <w:gridSpan w:val="10"/>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October 21, 2021</w:t>
            </w:r>
          </w:p>
        </w:tc>
        <w:tc>
          <w:tcPr>
            <w:tcW w:w="0" w:type="dxa"/>
            <w:vAlign w:val="bottom"/>
          </w:tcPr>
          <w:p>
            <w:pPr>
              <w:spacing w:after="0"/>
              <w:rPr>
                <w:sz w:val="1"/>
                <w:szCs w:val="1"/>
                <w:color w:val="auto"/>
              </w:rPr>
            </w:pPr>
          </w:p>
        </w:tc>
      </w:tr>
      <w:tr>
        <w:trPr>
          <w:trHeight w:val="372"/>
        </w:trPr>
        <w:tc>
          <w:tcPr>
            <w:tcW w:w="1260" w:type="dxa"/>
            <w:vAlign w:val="bottom"/>
          </w:tcPr>
          <w:p>
            <w:pPr>
              <w:ind w:left="20"/>
              <w:spacing w:after="0"/>
              <w:rPr>
                <w:sz w:val="20"/>
                <w:szCs w:val="20"/>
                <w:color w:val="auto"/>
              </w:rPr>
            </w:pPr>
            <w:r>
              <w:rPr>
                <w:rFonts w:ascii="Arial" w:cs="Arial" w:eastAsia="Arial" w:hAnsi="Arial"/>
                <w:sz w:val="18"/>
                <w:szCs w:val="18"/>
                <w:color w:val="auto"/>
              </w:rPr>
              <w:t>10.1</w:t>
            </w:r>
          </w:p>
        </w:tc>
        <w:tc>
          <w:tcPr>
            <w:tcW w:w="5560" w:type="dxa"/>
            <w:vAlign w:val="bottom"/>
            <w:gridSpan w:val="12"/>
          </w:tcPr>
          <w:p>
            <w:pPr>
              <w:spacing w:after="0"/>
              <w:rPr>
                <w:rFonts w:ascii="Arial" w:cs="Arial" w:eastAsia="Arial" w:hAnsi="Arial"/>
                <w:sz w:val="18"/>
                <w:szCs w:val="18"/>
                <w:color w:val="0000FF"/>
                <w:w w:val="95"/>
              </w:rPr>
            </w:pPr>
            <w:hyperlink r:id="rId107">
              <w:r>
                <w:rPr>
                  <w:rFonts w:ascii="Arial" w:cs="Arial" w:eastAsia="Arial" w:hAnsi="Arial"/>
                  <w:sz w:val="18"/>
                  <w:szCs w:val="18"/>
                  <w:color w:val="0000FF"/>
                  <w:w w:val="95"/>
                </w:rPr>
                <w:t>Amendment No. 4 to Digital Currency Trading, Clearing, and Warehouse</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July 25, 2022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560" w:type="dxa"/>
            <w:vAlign w:val="bottom"/>
            <w:gridSpan w:val="12"/>
          </w:tcPr>
          <w:p>
            <w:pPr>
              <w:spacing w:after="0" w:line="196" w:lineRule="exact"/>
              <w:rPr>
                <w:rFonts w:ascii="Arial" w:cs="Arial" w:eastAsia="Arial" w:hAnsi="Arial"/>
                <w:sz w:val="18"/>
                <w:szCs w:val="18"/>
                <w:color w:val="0000FF"/>
                <w:w w:val="92"/>
              </w:rPr>
            </w:pPr>
            <w:hyperlink r:id="rId107">
              <w:r>
                <w:rPr>
                  <w:rFonts w:ascii="Arial" w:cs="Arial" w:eastAsia="Arial" w:hAnsi="Arial"/>
                  <w:sz w:val="18"/>
                  <w:szCs w:val="18"/>
                  <w:color w:val="0000FF"/>
                  <w:w w:val="92"/>
                </w:rPr>
                <w:t>Services Agreement, dated as of July 21, 2022, by and among ICE Futures</w:t>
              </w:r>
            </w:hyperlink>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55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107">
              <w:r>
                <w:rPr>
                  <w:rFonts w:ascii="Arial" w:cs="Arial" w:eastAsia="Arial" w:hAnsi="Arial"/>
                  <w:sz w:val="18"/>
                  <w:szCs w:val="18"/>
                  <w:color w:val="0000FF"/>
                </w:rPr>
                <w:t>U.S., Inc., ICE Clear US, Inc. and Bakkt Trust Company LLC</w:t>
              </w:r>
            </w:hyperlink>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260" w:type="dxa"/>
            <w:vAlign w:val="bottom"/>
          </w:tcPr>
          <w:p>
            <w:pPr>
              <w:ind w:left="20"/>
              <w:spacing w:after="0"/>
              <w:rPr>
                <w:sz w:val="20"/>
                <w:szCs w:val="20"/>
                <w:color w:val="auto"/>
              </w:rPr>
            </w:pPr>
            <w:r>
              <w:rPr>
                <w:rFonts w:ascii="Arial" w:cs="Arial" w:eastAsia="Arial" w:hAnsi="Arial"/>
                <w:sz w:val="18"/>
                <w:szCs w:val="18"/>
                <w:color w:val="auto"/>
              </w:rPr>
              <w:t>31.1*</w:t>
            </w:r>
          </w:p>
        </w:tc>
        <w:tc>
          <w:tcPr>
            <w:tcW w:w="5560" w:type="dxa"/>
            <w:vAlign w:val="bottom"/>
            <w:gridSpan w:val="12"/>
          </w:tcPr>
          <w:p>
            <w:pPr>
              <w:spacing w:after="0"/>
              <w:rPr>
                <w:sz w:val="20"/>
                <w:szCs w:val="20"/>
                <w:color w:val="auto"/>
              </w:rPr>
            </w:pPr>
            <w:r>
              <w:rPr>
                <w:rFonts w:ascii="Arial" w:cs="Arial" w:eastAsia="Arial" w:hAnsi="Arial"/>
                <w:sz w:val="18"/>
                <w:szCs w:val="18"/>
                <w:color w:val="0000FF"/>
                <w:w w:val="92"/>
              </w:rPr>
              <w:t>Certification of Principal Executive Officer Pursuant to Rules 13a-14(a) and</w:t>
            </w: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5520" w:type="dxa"/>
            <w:vAlign w:val="bottom"/>
            <w:tcBorders>
              <w:top w:val="single" w:sz="8" w:color="0000FF"/>
            </w:tcBorders>
            <w:gridSpan w:val="11"/>
          </w:tcPr>
          <w:p>
            <w:pPr>
              <w:spacing w:after="0" w:line="169" w:lineRule="exact"/>
              <w:rPr>
                <w:sz w:val="20"/>
                <w:szCs w:val="20"/>
                <w:color w:val="auto"/>
              </w:rPr>
            </w:pPr>
            <w:r>
              <w:rPr>
                <w:rFonts w:ascii="Arial" w:cs="Arial" w:eastAsia="Arial" w:hAnsi="Arial"/>
                <w:sz w:val="18"/>
                <w:szCs w:val="18"/>
                <w:color w:val="0000FF"/>
                <w:w w:val="90"/>
              </w:rPr>
              <w:t>15d-14(a) under the Securities Exchange Act of 1934, as Adopted Pursuant</w:t>
            </w: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0"/>
              </w:rPr>
              <w:t>to Section 302 of the Sarbanes-Oxley Act of 2002.</w:t>
            </w:r>
          </w:p>
        </w:tc>
        <w:tc>
          <w:tcPr>
            <w:tcW w:w="17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ind w:left="20"/>
              <w:spacing w:after="0"/>
              <w:rPr>
                <w:sz w:val="20"/>
                <w:szCs w:val="20"/>
                <w:color w:val="auto"/>
              </w:rPr>
            </w:pPr>
            <w:r>
              <w:rPr>
                <w:rFonts w:ascii="Arial" w:cs="Arial" w:eastAsia="Arial" w:hAnsi="Arial"/>
                <w:sz w:val="18"/>
                <w:szCs w:val="18"/>
                <w:color w:val="auto"/>
              </w:rPr>
              <w:t>31.2*</w:t>
            </w:r>
          </w:p>
        </w:tc>
        <w:tc>
          <w:tcPr>
            <w:tcW w:w="5560" w:type="dxa"/>
            <w:vAlign w:val="bottom"/>
            <w:gridSpan w:val="12"/>
          </w:tcPr>
          <w:p>
            <w:pPr>
              <w:spacing w:after="0"/>
              <w:rPr>
                <w:sz w:val="20"/>
                <w:szCs w:val="20"/>
                <w:color w:val="auto"/>
              </w:rPr>
            </w:pPr>
            <w:r>
              <w:rPr>
                <w:rFonts w:ascii="Arial" w:cs="Arial" w:eastAsia="Arial" w:hAnsi="Arial"/>
                <w:sz w:val="18"/>
                <w:szCs w:val="18"/>
                <w:color w:val="0000FF"/>
                <w:w w:val="93"/>
              </w:rPr>
              <w:t>Certification of Principal Financial Officer Pursuant to Rules 13a-14(a) and</w:t>
            </w: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5440" w:type="dxa"/>
            <w:vAlign w:val="bottom"/>
            <w:tcBorders>
              <w:top w:val="single" w:sz="8" w:color="0000FF"/>
            </w:tcBorders>
            <w:gridSpan w:val="10"/>
          </w:tcPr>
          <w:p>
            <w:pPr>
              <w:spacing w:after="0" w:line="169" w:lineRule="exact"/>
              <w:rPr>
                <w:sz w:val="20"/>
                <w:szCs w:val="20"/>
                <w:color w:val="auto"/>
              </w:rPr>
            </w:pPr>
            <w:r>
              <w:rPr>
                <w:rFonts w:ascii="Arial" w:cs="Arial" w:eastAsia="Arial" w:hAnsi="Arial"/>
                <w:sz w:val="18"/>
                <w:szCs w:val="18"/>
                <w:color w:val="0000FF"/>
                <w:w w:val="89"/>
              </w:rPr>
              <w:t>15d-14(a) under the Securities Exchange Act of 1934, as Adopted Pursuant</w:t>
            </w:r>
          </w:p>
        </w:tc>
        <w:tc>
          <w:tcPr>
            <w:tcW w:w="12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0"/>
              </w:rPr>
              <w:t>to Section 302 of the Sarbanes-Oxley Act of 2002.</w:t>
            </w:r>
          </w:p>
        </w:tc>
        <w:tc>
          <w:tcPr>
            <w:tcW w:w="1780" w:type="dxa"/>
            <w:vAlign w:val="bottom"/>
            <w:tcBorders>
              <w:top w:val="single" w:sz="8" w:color="0000FF"/>
            </w:tcBorders>
            <w:gridSpan w:val="6"/>
          </w:tcPr>
          <w:p>
            <w:pPr>
              <w:spacing w:after="0"/>
              <w:rPr>
                <w:sz w:val="13"/>
                <w:szCs w:val="13"/>
                <w:color w:val="auto"/>
              </w:rPr>
            </w:pPr>
          </w:p>
        </w:tc>
        <w:tc>
          <w:tcPr>
            <w:tcW w:w="140" w:type="dxa"/>
            <w:vAlign w:val="bottom"/>
            <w:gridSpan w:val="3"/>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ind w:left="20"/>
              <w:spacing w:after="0"/>
              <w:rPr>
                <w:sz w:val="20"/>
                <w:szCs w:val="20"/>
                <w:color w:val="auto"/>
              </w:rPr>
            </w:pPr>
            <w:r>
              <w:rPr>
                <w:rFonts w:ascii="Arial" w:cs="Arial" w:eastAsia="Arial" w:hAnsi="Arial"/>
                <w:sz w:val="18"/>
                <w:szCs w:val="18"/>
                <w:color w:val="auto"/>
              </w:rPr>
              <w:t>32.1†</w:t>
            </w:r>
          </w:p>
        </w:tc>
        <w:tc>
          <w:tcPr>
            <w:tcW w:w="5560" w:type="dxa"/>
            <w:vAlign w:val="bottom"/>
            <w:gridSpan w:val="12"/>
          </w:tcPr>
          <w:p>
            <w:pPr>
              <w:spacing w:after="0"/>
              <w:rPr>
                <w:sz w:val="20"/>
                <w:szCs w:val="20"/>
                <w:color w:val="auto"/>
              </w:rPr>
            </w:pPr>
            <w:r>
              <w:rPr>
                <w:rFonts w:ascii="Arial" w:cs="Arial" w:eastAsia="Arial" w:hAnsi="Arial"/>
                <w:sz w:val="18"/>
                <w:szCs w:val="18"/>
                <w:color w:val="0000FF"/>
                <w:w w:val="96"/>
              </w:rPr>
              <w:t>Certification of Principal Executive Officer Pursuant to 18 U.S.C. Section</w:t>
            </w: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532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8"/>
                <w:szCs w:val="18"/>
                <w:color w:val="0000FF"/>
                <w:w w:val="92"/>
              </w:rPr>
              <w:t>1350, as Adopted Pursuant to Section 906 of the Sarbanes-Oxley Act of</w:t>
            </w:r>
          </w:p>
        </w:tc>
        <w:tc>
          <w:tcPr>
            <w:tcW w:w="240" w:type="dxa"/>
            <w:vAlign w:val="bottom"/>
            <w:gridSpan w:val="4"/>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4"/>
              </w:rPr>
              <w:t>2002.</w:t>
            </w:r>
          </w:p>
        </w:tc>
        <w:tc>
          <w:tcPr>
            <w:tcW w:w="29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260" w:type="dxa"/>
            <w:vAlign w:val="bottom"/>
          </w:tcPr>
          <w:p>
            <w:pPr>
              <w:ind w:left="20"/>
              <w:spacing w:after="0"/>
              <w:rPr>
                <w:sz w:val="20"/>
                <w:szCs w:val="20"/>
                <w:color w:val="auto"/>
              </w:rPr>
            </w:pPr>
            <w:r>
              <w:rPr>
                <w:rFonts w:ascii="Arial" w:cs="Arial" w:eastAsia="Arial" w:hAnsi="Arial"/>
                <w:sz w:val="18"/>
                <w:szCs w:val="18"/>
                <w:color w:val="auto"/>
              </w:rPr>
              <w:t>32.2†</w:t>
            </w:r>
          </w:p>
        </w:tc>
        <w:tc>
          <w:tcPr>
            <w:tcW w:w="5560" w:type="dxa"/>
            <w:vAlign w:val="bottom"/>
            <w:gridSpan w:val="12"/>
          </w:tcPr>
          <w:p>
            <w:pPr>
              <w:spacing w:after="0"/>
              <w:rPr>
                <w:sz w:val="20"/>
                <w:szCs w:val="20"/>
                <w:color w:val="auto"/>
              </w:rPr>
            </w:pPr>
            <w:r>
              <w:rPr>
                <w:rFonts w:ascii="Arial" w:cs="Arial" w:eastAsia="Arial" w:hAnsi="Arial"/>
                <w:sz w:val="18"/>
                <w:szCs w:val="18"/>
                <w:color w:val="0000FF"/>
                <w:w w:val="97"/>
              </w:rPr>
              <w:t>Certification of Principal Financial Officer Pursuant to 18 U.S.C. Section</w:t>
            </w: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526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91"/>
              </w:rPr>
              <w:t>1350, as Adopted Pursuant to Section 906 of the Sarbanes-Oxley Act of</w:t>
            </w:r>
          </w:p>
        </w:tc>
        <w:tc>
          <w:tcPr>
            <w:tcW w:w="300" w:type="dxa"/>
            <w:vAlign w:val="bottom"/>
            <w:gridSpan w:val="5"/>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4"/>
              </w:rPr>
              <w:t>2002.</w:t>
            </w:r>
          </w:p>
        </w:tc>
        <w:tc>
          <w:tcPr>
            <w:tcW w:w="29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260" w:type="dxa"/>
            <w:vAlign w:val="bottom"/>
          </w:tcPr>
          <w:p>
            <w:pPr>
              <w:ind w:left="20"/>
              <w:spacing w:after="0"/>
              <w:rPr>
                <w:sz w:val="20"/>
                <w:szCs w:val="20"/>
                <w:color w:val="auto"/>
              </w:rPr>
            </w:pPr>
            <w:r>
              <w:rPr>
                <w:rFonts w:ascii="Arial" w:cs="Arial" w:eastAsia="Arial" w:hAnsi="Arial"/>
                <w:sz w:val="18"/>
                <w:szCs w:val="18"/>
                <w:color w:val="auto"/>
              </w:rPr>
              <w:t>101.INS*</w:t>
            </w:r>
          </w:p>
        </w:tc>
        <w:tc>
          <w:tcPr>
            <w:tcW w:w="5560" w:type="dxa"/>
            <w:vAlign w:val="bottom"/>
            <w:gridSpan w:val="12"/>
          </w:tcPr>
          <w:p>
            <w:pPr>
              <w:spacing w:after="0"/>
              <w:rPr>
                <w:sz w:val="20"/>
                <w:szCs w:val="20"/>
                <w:color w:val="auto"/>
              </w:rPr>
            </w:pPr>
            <w:r>
              <w:rPr>
                <w:rFonts w:ascii="Arial" w:cs="Arial" w:eastAsia="Arial" w:hAnsi="Arial"/>
                <w:sz w:val="18"/>
                <w:szCs w:val="18"/>
                <w:color w:val="auto"/>
                <w:w w:val="90"/>
              </w:rPr>
              <w:t>Inline XBRL Instance Document – the instance document does not appear in</w:t>
            </w: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560" w:type="dxa"/>
            <w:vAlign w:val="bottom"/>
            <w:gridSpan w:val="12"/>
          </w:tcPr>
          <w:p>
            <w:pPr>
              <w:spacing w:after="0"/>
              <w:rPr>
                <w:sz w:val="20"/>
                <w:szCs w:val="20"/>
                <w:color w:val="auto"/>
              </w:rPr>
            </w:pPr>
            <w:r>
              <w:rPr>
                <w:rFonts w:ascii="Arial" w:cs="Arial" w:eastAsia="Arial" w:hAnsi="Arial"/>
                <w:sz w:val="18"/>
                <w:szCs w:val="18"/>
                <w:color w:val="auto"/>
                <w:w w:val="91"/>
              </w:rPr>
              <w:t>the Interactive Data File because XBRL tags are embedded within the Inline</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5560" w:type="dxa"/>
            <w:vAlign w:val="bottom"/>
            <w:gridSpan w:val="12"/>
          </w:tcPr>
          <w:p>
            <w:pPr>
              <w:spacing w:after="0"/>
              <w:rPr>
                <w:sz w:val="20"/>
                <w:szCs w:val="20"/>
                <w:color w:val="auto"/>
              </w:rPr>
            </w:pPr>
            <w:r>
              <w:rPr>
                <w:rFonts w:ascii="Arial" w:cs="Arial" w:eastAsia="Arial" w:hAnsi="Arial"/>
                <w:sz w:val="18"/>
                <w:szCs w:val="18"/>
                <w:color w:val="auto"/>
              </w:rPr>
              <w:t>XBRL document.</w:t>
            </w: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60" w:type="dxa"/>
            <w:vAlign w:val="bottom"/>
          </w:tcPr>
          <w:p>
            <w:pPr>
              <w:ind w:left="20"/>
              <w:spacing w:after="0"/>
              <w:rPr>
                <w:sz w:val="20"/>
                <w:szCs w:val="20"/>
                <w:color w:val="auto"/>
              </w:rPr>
            </w:pPr>
            <w:r>
              <w:rPr>
                <w:rFonts w:ascii="Arial" w:cs="Arial" w:eastAsia="Arial" w:hAnsi="Arial"/>
                <w:sz w:val="18"/>
                <w:szCs w:val="18"/>
                <w:color w:val="auto"/>
              </w:rPr>
              <w:t>101.SCH*</w:t>
            </w:r>
          </w:p>
        </w:tc>
        <w:tc>
          <w:tcPr>
            <w:tcW w:w="556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60" w:type="dxa"/>
            <w:vAlign w:val="bottom"/>
          </w:tcPr>
          <w:p>
            <w:pPr>
              <w:ind w:left="20"/>
              <w:spacing w:after="0"/>
              <w:rPr>
                <w:sz w:val="20"/>
                <w:szCs w:val="20"/>
                <w:color w:val="auto"/>
              </w:rPr>
            </w:pPr>
            <w:r>
              <w:rPr>
                <w:rFonts w:ascii="Arial" w:cs="Arial" w:eastAsia="Arial" w:hAnsi="Arial"/>
                <w:sz w:val="18"/>
                <w:szCs w:val="18"/>
                <w:color w:val="auto"/>
              </w:rPr>
              <w:t>101.CAL*</w:t>
            </w:r>
          </w:p>
        </w:tc>
        <w:tc>
          <w:tcPr>
            <w:tcW w:w="556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60" w:type="dxa"/>
            <w:vAlign w:val="bottom"/>
          </w:tcPr>
          <w:p>
            <w:pPr>
              <w:ind w:left="20"/>
              <w:spacing w:after="0"/>
              <w:rPr>
                <w:sz w:val="20"/>
                <w:szCs w:val="20"/>
                <w:color w:val="auto"/>
              </w:rPr>
            </w:pPr>
            <w:r>
              <w:rPr>
                <w:rFonts w:ascii="Arial" w:cs="Arial" w:eastAsia="Arial" w:hAnsi="Arial"/>
                <w:sz w:val="18"/>
                <w:szCs w:val="18"/>
                <w:color w:val="auto"/>
              </w:rPr>
              <w:t>101.DEF*</w:t>
            </w:r>
          </w:p>
        </w:tc>
        <w:tc>
          <w:tcPr>
            <w:tcW w:w="556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60" w:type="dxa"/>
            <w:vAlign w:val="bottom"/>
          </w:tcPr>
          <w:p>
            <w:pPr>
              <w:ind w:left="20"/>
              <w:spacing w:after="0"/>
              <w:rPr>
                <w:sz w:val="20"/>
                <w:szCs w:val="20"/>
                <w:color w:val="auto"/>
              </w:rPr>
            </w:pPr>
            <w:r>
              <w:rPr>
                <w:rFonts w:ascii="Arial" w:cs="Arial" w:eastAsia="Arial" w:hAnsi="Arial"/>
                <w:sz w:val="18"/>
                <w:szCs w:val="18"/>
                <w:color w:val="auto"/>
              </w:rPr>
              <w:t>101.LAB*</w:t>
            </w:r>
          </w:p>
        </w:tc>
        <w:tc>
          <w:tcPr>
            <w:tcW w:w="556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60" w:type="dxa"/>
            <w:vAlign w:val="bottom"/>
          </w:tcPr>
          <w:p>
            <w:pPr>
              <w:ind w:left="20"/>
              <w:spacing w:after="0"/>
              <w:rPr>
                <w:sz w:val="20"/>
                <w:szCs w:val="20"/>
                <w:color w:val="auto"/>
              </w:rPr>
            </w:pPr>
            <w:r>
              <w:rPr>
                <w:rFonts w:ascii="Arial" w:cs="Arial" w:eastAsia="Arial" w:hAnsi="Arial"/>
                <w:sz w:val="18"/>
                <w:szCs w:val="18"/>
                <w:color w:val="auto"/>
              </w:rPr>
              <w:t>101.PRE*</w:t>
            </w:r>
          </w:p>
        </w:tc>
        <w:tc>
          <w:tcPr>
            <w:tcW w:w="556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260" w:type="dxa"/>
            <w:vAlign w:val="bottom"/>
          </w:tcPr>
          <w:p>
            <w:pPr>
              <w:ind w:left="20"/>
              <w:spacing w:after="0"/>
              <w:rPr>
                <w:sz w:val="20"/>
                <w:szCs w:val="20"/>
                <w:color w:val="auto"/>
              </w:rPr>
            </w:pPr>
            <w:r>
              <w:rPr>
                <w:rFonts w:ascii="Arial" w:cs="Arial" w:eastAsia="Arial" w:hAnsi="Arial"/>
                <w:sz w:val="18"/>
                <w:szCs w:val="18"/>
                <w:color w:val="auto"/>
              </w:rPr>
              <w:t>104*</w:t>
            </w:r>
          </w:p>
        </w:tc>
        <w:tc>
          <w:tcPr>
            <w:tcW w:w="5560" w:type="dxa"/>
            <w:vAlign w:val="bottom"/>
            <w:gridSpan w:val="12"/>
          </w:tcPr>
          <w:p>
            <w:pPr>
              <w:spacing w:after="0"/>
              <w:rPr>
                <w:sz w:val="20"/>
                <w:szCs w:val="20"/>
                <w:color w:val="auto"/>
              </w:rPr>
            </w:pPr>
            <w:r>
              <w:rPr>
                <w:rFonts w:ascii="Arial" w:cs="Arial" w:eastAsia="Arial" w:hAnsi="Arial"/>
                <w:sz w:val="18"/>
                <w:szCs w:val="18"/>
                <w:color w:val="auto"/>
                <w:w w:val="94"/>
              </w:rPr>
              <w:t>Cover Page Interactive Data File (formatted as Inline XBRL and contained</w:t>
            </w: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5560" w:type="dxa"/>
            <w:vAlign w:val="bottom"/>
            <w:gridSpan w:val="12"/>
          </w:tcPr>
          <w:p>
            <w:pPr>
              <w:spacing w:after="0"/>
              <w:rPr>
                <w:sz w:val="20"/>
                <w:szCs w:val="20"/>
                <w:color w:val="auto"/>
              </w:rPr>
            </w:pPr>
            <w:r>
              <w:rPr>
                <w:rFonts w:ascii="Arial" w:cs="Arial" w:eastAsia="Arial" w:hAnsi="Arial"/>
                <w:sz w:val="18"/>
                <w:szCs w:val="18"/>
                <w:color w:val="auto"/>
              </w:rPr>
              <w:t>in Exhibit 101)</w:t>
            </w: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77" w:lineRule="exact"/>
        <w:rPr>
          <w:sz w:val="20"/>
          <w:szCs w:val="20"/>
          <w:color w:val="auto"/>
        </w:rPr>
      </w:pPr>
    </w:p>
    <w:p>
      <w:pPr>
        <w:ind w:left="440" w:hanging="432"/>
        <w:spacing w:after="0" w:line="356" w:lineRule="auto"/>
        <w:tabs>
          <w:tab w:leader="none" w:pos="288"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These exhibits are furnished with this Quarterly Report on Form 10-Q and are not deemed filed with the Securities and Exchange Commission and are not incorporated by reference in any filing of Bakkt Holdings, Inc. under the Securities Act of 1933, as amended, or the Securities Exchange Act of 1934, as amended, whether made before or after the date hereof and irrespective of any general incorporation language contained in such filings.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Bakkt Holdings, Inc.</w:t>
      </w:r>
    </w:p>
    <w:p>
      <w:pPr>
        <w:spacing w:after="0" w:line="239" w:lineRule="exact"/>
        <w:rPr>
          <w:sz w:val="20"/>
          <w:szCs w:val="20"/>
          <w:color w:val="auto"/>
        </w:rPr>
      </w:pPr>
    </w:p>
    <w:p>
      <w:pPr>
        <w:ind w:left="20"/>
        <w:spacing w:after="0"/>
        <w:tabs>
          <w:tab w:leader="none" w:pos="5120" w:val="left"/>
          <w:tab w:leader="none" w:pos="772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14605</wp:posOffset>
            </wp:positionV>
            <wp:extent cx="36087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16"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Gavin Michael</w:t>
      </w:r>
    </w:p>
    <w:p>
      <w:pPr>
        <w:spacing w:after="0" w:line="21"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Chief Executive Officer and President</w:t>
      </w:r>
    </w:p>
    <w:p>
      <w:pPr>
        <w:ind w:left="7340"/>
        <w:spacing w:after="0"/>
        <w:rPr>
          <w:sz w:val="20"/>
          <w:szCs w:val="20"/>
          <w:color w:val="auto"/>
        </w:rPr>
      </w:pPr>
      <w:r>
        <w:rPr>
          <w:rFonts w:ascii="Arial" w:cs="Arial" w:eastAsia="Arial" w:hAnsi="Arial"/>
          <w:sz w:val="18"/>
          <w:szCs w:val="18"/>
          <w:color w:val="auto"/>
        </w:rPr>
        <w:t>(Principal Executive Officer)</w:t>
      </w:r>
    </w:p>
    <w:p>
      <w:pPr>
        <w:spacing w:after="0" w:line="223" w:lineRule="exact"/>
        <w:rPr>
          <w:sz w:val="20"/>
          <w:szCs w:val="20"/>
          <w:color w:val="auto"/>
        </w:rPr>
      </w:pPr>
    </w:p>
    <w:p>
      <w:pPr>
        <w:ind w:left="20"/>
        <w:spacing w:after="0"/>
        <w:tabs>
          <w:tab w:leader="none" w:pos="5120" w:val="left"/>
          <w:tab w:leader="none" w:pos="764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14605</wp:posOffset>
            </wp:positionV>
            <wp:extent cx="36087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16"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Karen Alexander</w:t>
      </w:r>
    </w:p>
    <w:p>
      <w:pPr>
        <w:spacing w:after="0" w:line="21"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Chief Financial Officer</w:t>
      </w:r>
    </w:p>
    <w:p>
      <w:pPr>
        <w:ind w:left="7360"/>
        <w:spacing w:after="0"/>
        <w:rPr>
          <w:sz w:val="20"/>
          <w:szCs w:val="20"/>
          <w:color w:val="auto"/>
        </w:rPr>
      </w:pPr>
      <w:r>
        <w:rPr>
          <w:rFonts w:ascii="Arial" w:cs="Arial" w:eastAsia="Arial" w:hAnsi="Arial"/>
          <w:sz w:val="18"/>
          <w:szCs w:val="18"/>
          <w:color w:val="auto"/>
        </w:rPr>
        <w:t>(Principal Financial Officer)</w:t>
      </w:r>
    </w:p>
    <w:p>
      <w:pPr>
        <w:spacing w:after="0" w:line="277" w:lineRule="exact"/>
        <w:rPr>
          <w:sz w:val="20"/>
          <w:szCs w:val="20"/>
          <w:color w:val="auto"/>
        </w:rPr>
      </w:pPr>
    </w:p>
    <w:p>
      <w:pPr>
        <w:ind w:left="20"/>
        <w:spacing w:after="0"/>
        <w:tabs>
          <w:tab w:leader="none" w:pos="5120" w:val="left"/>
          <w:tab w:leader="none" w:pos="774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Chip Goodroe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14605</wp:posOffset>
            </wp:positionV>
            <wp:extent cx="36087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16"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Chip Goodroe</w:t>
      </w:r>
    </w:p>
    <w:p>
      <w:pPr>
        <w:spacing w:after="0" w:line="21"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Chief Accounting Officer</w:t>
      </w:r>
    </w:p>
    <w:p>
      <w:pPr>
        <w:ind w:left="72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918" w:right="339" w:bottom="1440" w:gutter="0" w:footer="0" w:header="0"/>
        </w:sectPr>
      </w:pPr>
    </w:p>
    <w:bookmarkStart w:id="60" w:name="page61"/>
    <w:bookmarkEnd w:id="60"/>
    <w:p>
      <w:pPr>
        <w:ind w:left="10320"/>
        <w:spacing w:after="0"/>
        <w:rPr>
          <w:sz w:val="20"/>
          <w:szCs w:val="20"/>
          <w:color w:val="auto"/>
        </w:rPr>
      </w:pPr>
      <w:r>
        <w:rPr>
          <w:rFonts w:ascii="Arial" w:cs="Arial" w:eastAsia="Arial" w:hAnsi="Arial"/>
          <w:sz w:val="16"/>
          <w:szCs w:val="16"/>
          <w:b w:val="1"/>
          <w:bCs w:val="1"/>
          <w:color w:val="auto"/>
        </w:rPr>
        <w:t>Exhibit 31.1</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03"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 Gavin Michael, certify that:</w:t>
      </w:r>
    </w:p>
    <w:p>
      <w:pPr>
        <w:spacing w:after="0" w:line="77" w:lineRule="exact"/>
        <w:rPr>
          <w:sz w:val="20"/>
          <w:szCs w:val="20"/>
          <w:color w:val="auto"/>
        </w:rPr>
      </w:pPr>
    </w:p>
    <w:p>
      <w:pPr>
        <w:ind w:left="440" w:hanging="432"/>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Bakkt Holdings, Inc.;</w:t>
      </w:r>
    </w:p>
    <w:p>
      <w:pPr>
        <w:spacing w:after="0" w:line="76" w:lineRule="exact"/>
        <w:rPr>
          <w:rFonts w:ascii="Arial" w:cs="Arial" w:eastAsia="Arial" w:hAnsi="Arial"/>
          <w:sz w:val="18"/>
          <w:szCs w:val="18"/>
          <w:color w:val="auto"/>
        </w:rPr>
      </w:pPr>
    </w:p>
    <w:p>
      <w:pPr>
        <w:jc w:val="both"/>
        <w:ind w:left="440" w:hanging="432"/>
        <w:spacing w:after="0" w:line="229" w:lineRule="auto"/>
        <w:tabs>
          <w:tab w:leader="none" w:pos="431"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ind w:left="440" w:hanging="432"/>
        <w:spacing w:after="0" w:line="246" w:lineRule="auto"/>
        <w:tabs>
          <w:tab w:leader="none" w:pos="431"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40" w:hanging="432"/>
        <w:spacing w:after="0" w:line="229" w:lineRule="auto"/>
        <w:tabs>
          <w:tab w:leader="none" w:pos="43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8"/>
          <w:szCs w:val="18"/>
          <w:color w:val="auto"/>
        </w:rPr>
      </w:pPr>
    </w:p>
    <w:p>
      <w:pPr>
        <w:jc w:val="both"/>
        <w:ind w:left="900" w:hanging="451"/>
        <w:spacing w:after="0" w:line="229" w:lineRule="auto"/>
        <w:tabs>
          <w:tab w:leader="none" w:pos="87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jc w:val="both"/>
        <w:ind w:left="900" w:hanging="451"/>
        <w:spacing w:after="0" w:line="229" w:lineRule="auto"/>
        <w:tabs>
          <w:tab w:leader="none" w:pos="95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ind w:left="900" w:hanging="451"/>
        <w:spacing w:after="0" w:line="258" w:lineRule="auto"/>
        <w:tabs>
          <w:tab w:leader="none" w:pos="971"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Arial" w:cs="Arial" w:eastAsia="Arial" w:hAnsi="Arial"/>
          <w:sz w:val="17"/>
          <w:szCs w:val="17"/>
          <w:color w:val="auto"/>
        </w:rPr>
      </w:pPr>
    </w:p>
    <w:p>
      <w:pPr>
        <w:jc w:val="both"/>
        <w:ind w:left="900" w:hanging="451"/>
        <w:spacing w:after="0" w:line="224" w:lineRule="auto"/>
        <w:tabs>
          <w:tab w:leader="none" w:pos="88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440" w:hanging="432"/>
        <w:spacing w:after="0" w:line="258" w:lineRule="auto"/>
        <w:tabs>
          <w:tab w:leader="none" w:pos="431"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hanging="451"/>
        <w:spacing w:after="0" w:line="246" w:lineRule="auto"/>
        <w:tabs>
          <w:tab w:leader="none" w:pos="84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900" w:hanging="451"/>
        <w:spacing w:after="0" w:line="235" w:lineRule="auto"/>
        <w:tabs>
          <w:tab w:leader="none" w:pos="852"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4" w:lineRule="exact"/>
        <w:rPr>
          <w:sz w:val="20"/>
          <w:szCs w:val="20"/>
          <w:color w:val="auto"/>
        </w:rPr>
      </w:pPr>
    </w:p>
    <w:p>
      <w:pPr>
        <w:ind w:left="20"/>
        <w:spacing w:after="0"/>
        <w:tabs>
          <w:tab w:leader="none" w:pos="5200" w:val="left"/>
          <w:tab w:leader="none" w:pos="7800" w:val="left"/>
        </w:tabs>
        <w:rPr>
          <w:sz w:val="20"/>
          <w:szCs w:val="20"/>
          <w:color w:val="auto"/>
        </w:rPr>
      </w:pPr>
      <w:r>
        <w:rPr>
          <w:rFonts w:ascii="Arial" w:cs="Arial" w:eastAsia="Arial" w:hAnsi="Arial"/>
          <w:sz w:val="16"/>
          <w:szCs w:val="16"/>
          <w:color w:val="auto"/>
        </w:rPr>
        <w:t>Date: November 10,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34925</wp:posOffset>
            </wp:positionV>
            <wp:extent cx="35833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66"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Gavin Michael</w:t>
      </w:r>
    </w:p>
    <w:p>
      <w:pPr>
        <w:spacing w:after="0" w:line="51" w:lineRule="exact"/>
        <w:rPr>
          <w:sz w:val="20"/>
          <w:szCs w:val="20"/>
          <w:color w:val="auto"/>
        </w:rPr>
      </w:pPr>
    </w:p>
    <w:p>
      <w:pPr>
        <w:ind w:left="7620"/>
        <w:spacing w:after="0"/>
        <w:rPr>
          <w:sz w:val="20"/>
          <w:szCs w:val="20"/>
          <w:color w:val="auto"/>
        </w:rPr>
      </w:pPr>
      <w:r>
        <w:rPr>
          <w:rFonts w:ascii="Arial" w:cs="Arial" w:eastAsia="Arial" w:hAnsi="Arial"/>
          <w:sz w:val="16"/>
          <w:szCs w:val="16"/>
          <w:color w:val="auto"/>
        </w:rPr>
        <w:t>Chief Executive Officer</w:t>
      </w:r>
    </w:p>
    <w:p>
      <w:pPr>
        <w:ind w:left="746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1404" w:right="339" w:bottom="1440" w:gutter="0" w:footer="0" w:header="0"/>
        </w:sectPr>
      </w:pPr>
    </w:p>
    <w:bookmarkStart w:id="61" w:name="page62"/>
    <w:bookmarkEnd w:id="61"/>
    <w:p>
      <w:pPr>
        <w:ind w:left="10320"/>
        <w:spacing w:after="0"/>
        <w:rPr>
          <w:sz w:val="20"/>
          <w:szCs w:val="20"/>
          <w:color w:val="auto"/>
        </w:rPr>
      </w:pPr>
      <w:r>
        <w:rPr>
          <w:rFonts w:ascii="Arial" w:cs="Arial" w:eastAsia="Arial" w:hAnsi="Arial"/>
          <w:sz w:val="16"/>
          <w:szCs w:val="16"/>
          <w:b w:val="1"/>
          <w:bCs w:val="1"/>
          <w:color w:val="auto"/>
        </w:rPr>
        <w:t>Exhibit 31.2</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03"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 Karen Alexander, certify that:</w:t>
      </w:r>
    </w:p>
    <w:p>
      <w:pPr>
        <w:spacing w:after="0" w:line="77" w:lineRule="exact"/>
        <w:rPr>
          <w:sz w:val="20"/>
          <w:szCs w:val="20"/>
          <w:color w:val="auto"/>
        </w:rPr>
      </w:pPr>
    </w:p>
    <w:p>
      <w:pPr>
        <w:ind w:left="440" w:hanging="432"/>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Bakkt Holdings, Inc.;</w:t>
      </w:r>
    </w:p>
    <w:p>
      <w:pPr>
        <w:spacing w:after="0" w:line="76" w:lineRule="exact"/>
        <w:rPr>
          <w:rFonts w:ascii="Arial" w:cs="Arial" w:eastAsia="Arial" w:hAnsi="Arial"/>
          <w:sz w:val="18"/>
          <w:szCs w:val="18"/>
          <w:color w:val="auto"/>
        </w:rPr>
      </w:pPr>
    </w:p>
    <w:p>
      <w:pPr>
        <w:jc w:val="both"/>
        <w:ind w:left="440" w:hanging="432"/>
        <w:spacing w:after="0" w:line="229" w:lineRule="auto"/>
        <w:tabs>
          <w:tab w:leader="none" w:pos="4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8"/>
          <w:szCs w:val="18"/>
          <w:color w:val="auto"/>
        </w:rPr>
      </w:pPr>
    </w:p>
    <w:p>
      <w:pPr>
        <w:ind w:left="440" w:hanging="432"/>
        <w:spacing w:after="0" w:line="246" w:lineRule="auto"/>
        <w:tabs>
          <w:tab w:leader="none" w:pos="4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40" w:hanging="432"/>
        <w:spacing w:after="0" w:line="229" w:lineRule="auto"/>
        <w:tabs>
          <w:tab w:leader="none" w:pos="4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8"/>
          <w:szCs w:val="18"/>
          <w:color w:val="auto"/>
        </w:rPr>
      </w:pPr>
    </w:p>
    <w:p>
      <w:pPr>
        <w:jc w:val="both"/>
        <w:ind w:left="900" w:hanging="451"/>
        <w:spacing w:after="0" w:line="229" w:lineRule="auto"/>
        <w:tabs>
          <w:tab w:leader="none" w:pos="874"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8"/>
          <w:szCs w:val="18"/>
          <w:color w:val="auto"/>
        </w:rPr>
      </w:pPr>
    </w:p>
    <w:p>
      <w:pPr>
        <w:jc w:val="both"/>
        <w:ind w:left="900" w:hanging="451"/>
        <w:spacing w:after="0" w:line="229" w:lineRule="auto"/>
        <w:tabs>
          <w:tab w:leader="none" w:pos="95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ind w:left="900" w:hanging="451"/>
        <w:spacing w:after="0" w:line="258" w:lineRule="auto"/>
        <w:tabs>
          <w:tab w:leader="none" w:pos="971"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Arial" w:cs="Arial" w:eastAsia="Arial" w:hAnsi="Arial"/>
          <w:sz w:val="17"/>
          <w:szCs w:val="17"/>
          <w:color w:val="auto"/>
        </w:rPr>
      </w:pPr>
    </w:p>
    <w:p>
      <w:pPr>
        <w:jc w:val="both"/>
        <w:ind w:left="900" w:hanging="451"/>
        <w:spacing w:after="0" w:line="224" w:lineRule="auto"/>
        <w:tabs>
          <w:tab w:leader="none" w:pos="885"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440" w:hanging="432"/>
        <w:spacing w:after="0" w:line="258" w:lineRule="auto"/>
        <w:tabs>
          <w:tab w:leader="none" w:pos="431"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hanging="451"/>
        <w:spacing w:after="0" w:line="246" w:lineRule="auto"/>
        <w:tabs>
          <w:tab w:leader="none" w:pos="84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900" w:hanging="451"/>
        <w:spacing w:after="0" w:line="235" w:lineRule="auto"/>
        <w:tabs>
          <w:tab w:leader="none" w:pos="852"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4" w:lineRule="exact"/>
        <w:rPr>
          <w:sz w:val="20"/>
          <w:szCs w:val="20"/>
          <w:color w:val="auto"/>
        </w:rPr>
      </w:pPr>
    </w:p>
    <w:p>
      <w:pPr>
        <w:ind w:left="20"/>
        <w:spacing w:after="0"/>
        <w:tabs>
          <w:tab w:leader="none" w:pos="5200" w:val="left"/>
          <w:tab w:leader="none" w:pos="7740" w:val="left"/>
        </w:tabs>
        <w:rPr>
          <w:sz w:val="20"/>
          <w:szCs w:val="20"/>
          <w:color w:val="auto"/>
        </w:rPr>
      </w:pPr>
      <w:r>
        <w:rPr>
          <w:rFonts w:ascii="Arial" w:cs="Arial" w:eastAsia="Arial" w:hAnsi="Arial"/>
          <w:sz w:val="16"/>
          <w:szCs w:val="16"/>
          <w:color w:val="auto"/>
        </w:rPr>
        <w:t>Date: November 10,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34925</wp:posOffset>
            </wp:positionV>
            <wp:extent cx="35833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66" w:lineRule="exact"/>
        <w:rPr>
          <w:sz w:val="20"/>
          <w:szCs w:val="20"/>
          <w:color w:val="auto"/>
        </w:rPr>
      </w:pPr>
    </w:p>
    <w:p>
      <w:pPr>
        <w:ind w:left="7840"/>
        <w:spacing w:after="0"/>
        <w:rPr>
          <w:sz w:val="20"/>
          <w:szCs w:val="20"/>
          <w:color w:val="auto"/>
        </w:rPr>
      </w:pPr>
      <w:r>
        <w:rPr>
          <w:rFonts w:ascii="Arial" w:cs="Arial" w:eastAsia="Arial" w:hAnsi="Arial"/>
          <w:sz w:val="16"/>
          <w:szCs w:val="16"/>
          <w:color w:val="auto"/>
        </w:rPr>
        <w:t>Karen Alexander</w:t>
      </w:r>
    </w:p>
    <w:p>
      <w:pPr>
        <w:spacing w:after="0" w:line="51" w:lineRule="exact"/>
        <w:rPr>
          <w:sz w:val="20"/>
          <w:szCs w:val="20"/>
          <w:color w:val="auto"/>
        </w:rPr>
      </w:pPr>
    </w:p>
    <w:p>
      <w:pPr>
        <w:ind w:left="7660"/>
        <w:spacing w:after="0"/>
        <w:rPr>
          <w:sz w:val="20"/>
          <w:szCs w:val="20"/>
          <w:color w:val="auto"/>
        </w:rPr>
      </w:pPr>
      <w:r>
        <w:rPr>
          <w:rFonts w:ascii="Arial" w:cs="Arial" w:eastAsia="Arial" w:hAnsi="Arial"/>
          <w:sz w:val="16"/>
          <w:szCs w:val="16"/>
          <w:color w:val="auto"/>
        </w:rPr>
        <w:t>Chief Financial Officer</w:t>
      </w:r>
    </w:p>
    <w:p>
      <w:pPr>
        <w:ind w:left="748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40"/>
          </w:cols>
          <w:pgMar w:left="320" w:top="1404"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ind w:left="3340"/>
        <w:spacing w:after="0" w:line="205" w:lineRule="auto"/>
        <w:rPr>
          <w:sz w:val="20"/>
          <w:szCs w:val="20"/>
          <w:color w:val="auto"/>
        </w:rPr>
      </w:pPr>
      <w:r>
        <w:rPr>
          <w:rFonts w:ascii="Arial" w:cs="Arial" w:eastAsia="Arial" w:hAnsi="Arial"/>
          <w:sz w:val="18"/>
          <w:szCs w:val="18"/>
          <w:b w:val="1"/>
          <w:bCs w:val="1"/>
          <w:color w:val="auto"/>
        </w:rPr>
        <w:t>18 U.S.C. SECTION 1350, AS ADOPTED PURSUANT TO</w:t>
      </w:r>
    </w:p>
    <w:p>
      <w:pPr>
        <w:spacing w:after="0" w:line="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connection with the Quarterly Report of Bakkt Holdings, Inc. (the “Company”) on Form 10-Q for the period ending September 30, 2022 as filed</w:t>
      </w:r>
    </w:p>
    <w:p>
      <w:pPr>
        <w:spacing w:after="0" w:line="2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with the Securities and Exchange Commission on the date hereof (the “Report”), I, Gavin Michael, the Chief Executive Officer of the Company, hereby certify, pursuant to 18 U.S.C. § 1350, as adopted pursuant to § 906 of the Sarbanes-Oxley Act of 2002, that:</w:t>
      </w:r>
    </w:p>
    <w:p>
      <w:pPr>
        <w:spacing w:after="0" w:line="161" w:lineRule="exact"/>
        <w:rPr>
          <w:sz w:val="20"/>
          <w:szCs w:val="20"/>
          <w:color w:val="auto"/>
        </w:rPr>
      </w:pPr>
    </w:p>
    <w:p>
      <w:pPr>
        <w:ind w:left="840" w:hanging="391"/>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840" w:hanging="391"/>
        <w:spacing w:after="0"/>
        <w:tabs>
          <w:tab w:leader="none" w:pos="8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02" w:lineRule="exact"/>
        <w:rPr>
          <w:sz w:val="20"/>
          <w:szCs w:val="20"/>
          <w:color w:val="auto"/>
        </w:rPr>
      </w:pPr>
    </w:p>
    <w:p>
      <w:pPr>
        <w:ind w:left="20"/>
        <w:spacing w:after="0"/>
        <w:tabs>
          <w:tab w:leader="none" w:pos="5620" w:val="left"/>
          <w:tab w:leader="none" w:pos="798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40640</wp:posOffset>
            </wp:positionV>
            <wp:extent cx="32918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70"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Gavin Michael</w:t>
      </w:r>
    </w:p>
    <w:p>
      <w:pPr>
        <w:spacing w:after="0" w:line="48"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Chief Executive Officer</w:t>
      </w: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04"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ind w:left="3340"/>
        <w:spacing w:after="0" w:line="205" w:lineRule="auto"/>
        <w:rPr>
          <w:sz w:val="20"/>
          <w:szCs w:val="20"/>
          <w:color w:val="auto"/>
        </w:rPr>
      </w:pPr>
      <w:r>
        <w:rPr>
          <w:rFonts w:ascii="Arial" w:cs="Arial" w:eastAsia="Arial" w:hAnsi="Arial"/>
          <w:sz w:val="18"/>
          <w:szCs w:val="18"/>
          <w:b w:val="1"/>
          <w:bCs w:val="1"/>
          <w:color w:val="auto"/>
        </w:rPr>
        <w:t>18 U.S.C. SECTION 1350, AS ADOPTED PURSUANT TO</w:t>
      </w:r>
    </w:p>
    <w:p>
      <w:pPr>
        <w:spacing w:after="0" w:line="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connection with the Quarterly Report of Bakkt Holdings, Inc. (the “Company”) on Form 10-Q for the period ending September 30, 2022 as filed</w:t>
      </w:r>
    </w:p>
    <w:p>
      <w:pPr>
        <w:spacing w:after="0" w:line="2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with the Securities and Exchange Commission on the date hereof (the “Report”), I, Karen Alexander, the Chief Financial Officer of the Company, hereby certify, pursuant to 18 U.S.C. § 1350, as adopted pursuant to § 906 of the Sarbanes-Oxley Act of 2002, that:</w:t>
      </w:r>
    </w:p>
    <w:p>
      <w:pPr>
        <w:spacing w:after="0" w:line="161" w:lineRule="exact"/>
        <w:rPr>
          <w:sz w:val="20"/>
          <w:szCs w:val="20"/>
          <w:color w:val="auto"/>
        </w:rPr>
      </w:pPr>
    </w:p>
    <w:p>
      <w:pPr>
        <w:ind w:left="840" w:hanging="391"/>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840" w:hanging="391"/>
        <w:spacing w:after="0"/>
        <w:tabs>
          <w:tab w:leader="none" w:pos="8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02" w:lineRule="exact"/>
        <w:rPr>
          <w:sz w:val="20"/>
          <w:szCs w:val="20"/>
          <w:color w:val="auto"/>
        </w:rPr>
      </w:pPr>
    </w:p>
    <w:p>
      <w:pPr>
        <w:ind w:left="20"/>
        <w:spacing w:after="0"/>
        <w:tabs>
          <w:tab w:leader="none" w:pos="5500" w:val="left"/>
          <w:tab w:leader="none" w:pos="784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40640</wp:posOffset>
            </wp:positionV>
            <wp:extent cx="33686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70"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Karen Alexander</w:t>
      </w:r>
    </w:p>
    <w:p>
      <w:pPr>
        <w:spacing w:after="0" w:line="77"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
    </w:lvl>
    <w:lvl w:ilvl="1">
      <w:lvlJc w:val="left"/>
      <w:lvlText w:val="•"/>
      <w:numFmt w:val="bullet"/>
      <w:start w:val="1"/>
    </w:lvl>
  </w:abstractNum>
  <w:abstractNum w:abstractNumId="8">
    <w:nsid w:val="2443A858"/>
    <w:multiLevelType w:val="hybridMultilevel"/>
    <w:lvl w:ilvl="0">
      <w:lvlJc w:val="left"/>
      <w:lvlText w:val="%1."/>
      <w:numFmt w:val="decimal"/>
      <w:start w:val="3"/>
    </w:lvl>
  </w:abstractNum>
  <w:abstractNum w:abstractNumId="9">
    <w:nsid w:val="2D1D5AE9"/>
    <w:multiLevelType w:val="hybridMultilevel"/>
    <w:lvl w:ilvl="0">
      <w:lvlJc w:val="left"/>
      <w:lvlText w:val="(%1)"/>
      <w:numFmt w:val="lowerLetter"/>
      <w:start w:val="1"/>
    </w:lvl>
  </w:abstractNum>
  <w:abstractNum w:abstractNumId="10">
    <w:nsid w:val="6763845E"/>
    <w:multiLevelType w:val="hybridMultilevel"/>
    <w:lvl w:ilvl="0">
      <w:lvlJc w:val="left"/>
      <w:lvlText w:val="(%1)"/>
      <w:numFmt w:val="lowerLetter"/>
      <w:start w:val="2"/>
    </w:lvl>
  </w:abstractNum>
  <w:abstractNum w:abstractNumId="11">
    <w:nsid w:val="75A2A8D4"/>
    <w:multiLevelType w:val="hybridMultilevel"/>
    <w:lvl w:ilvl="0">
      <w:lvlJc w:val="left"/>
      <w:lvlText w:val="%1."/>
      <w:numFmt w:val="decimal"/>
      <w:start w:val="4"/>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decimal"/>
      <w:start w:val="6"/>
    </w:lvl>
  </w:abstractNum>
  <w:abstractNum w:abstractNumId="15">
    <w:nsid w:val="B03E0C6"/>
    <w:multiLevelType w:val="hybridMultilevel"/>
    <w:lvl w:ilvl="0">
      <w:lvlJc w:val="left"/>
      <w:lvlText w:val="%1."/>
      <w:numFmt w:val="decimal"/>
      <w:start w:val="7"/>
    </w:lvl>
  </w:abstractNum>
  <w:abstractNum w:abstractNumId="16">
    <w:nsid w:val="189A769B"/>
    <w:multiLevelType w:val="hybridMultilevel"/>
    <w:lvl w:ilvl="0">
      <w:lvlJc w:val="left"/>
      <w:lvlText w:val="%1."/>
      <w:numFmt w:val="decimal"/>
      <w:start w:val="8"/>
    </w:lvl>
  </w:abstractNum>
  <w:abstractNum w:abstractNumId="17">
    <w:nsid w:val="54E49EB4"/>
    <w:multiLevelType w:val="hybridMultilevel"/>
    <w:lvl w:ilvl="0">
      <w:lvlJc w:val="left"/>
      <w:lvlText w:val="%1."/>
      <w:numFmt w:val="decimal"/>
      <w:start w:val="9"/>
    </w:lvl>
  </w:abstractNum>
  <w:abstractNum w:abstractNumId="18">
    <w:nsid w:val="71F32454"/>
    <w:multiLevelType w:val="hybridMultilevel"/>
    <w:lvl w:ilvl="0">
      <w:lvlJc w:val="left"/>
      <w:lvlText w:val="%1."/>
      <w:numFmt w:val="decimal"/>
      <w:start w:val="10"/>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decimal"/>
      <w:start w:val="10"/>
    </w:lvl>
    <w:lvl w:ilvl="1">
      <w:lvlJc w:val="left"/>
      <w:lvlText w:val="•"/>
      <w:numFmt w:val="bullet"/>
      <w:start w:val="1"/>
    </w:lvl>
  </w:abstractNum>
  <w:abstractNum w:abstractNumId="21">
    <w:nsid w:val="2901D82"/>
    <w:multiLevelType w:val="hybridMultilevel"/>
    <w:lvl w:ilvl="0">
      <w:lvlJc w:val="left"/>
      <w:lvlText w:val="%1."/>
      <w:numFmt w:val="decimal"/>
      <w:start w:val="18"/>
    </w:lvl>
  </w:abstractNum>
  <w:abstractNum w:abstractNumId="22">
    <w:nsid w:val="3A95F874"/>
    <w:multiLevelType w:val="hybridMultilevel"/>
    <w:lvl w:ilvl="0">
      <w:lvlJc w:val="left"/>
      <w:lvlText w:val="1"/>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05" Type="http://schemas.openxmlformats.org/officeDocument/2006/relationships/hyperlink" Target="https://www.sec.gov/Archives/edgar/data/0001820302/000119312521303985/d219325dex31.htm" TargetMode="External"/><Relationship Id="rId106" Type="http://schemas.openxmlformats.org/officeDocument/2006/relationships/hyperlink" Target="https://www.sec.gov/Archives/edgar/data/0001820302/000119312521303985/d219325dex32.htm" TargetMode="External"/><Relationship Id="rId107" Type="http://schemas.openxmlformats.org/officeDocument/2006/relationships/hyperlink" Target="https://www.sec.gov/Archives/edgar/data/1820302/000119312522200875/d36795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2022-11-10T17:58:16Z</dcterms:created>
  <dcterms:modified xsi:type="dcterms:W3CDTF">2022-11-10T17:58:16Z</dcterms:modified>
</cp:coreProperties>
</file>