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08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8952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Alexander Karen</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LIBERTY ST FL 3 STE 305-306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Bakkt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11/12/2025</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96"/>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10006</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4"/>
                <w:szCs w:val="14"/>
                <w:color w:val="auto"/>
              </w:rPr>
            </w:pPr>
          </w:p>
        </w:tc>
        <w:tc>
          <w:tcPr>
            <w:tcW w:w="18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82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6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11/12/2025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335</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69,620</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Expiration Date</w:t>
            </w:r>
          </w:p>
        </w:tc>
        <w:tc>
          <w:tcPr>
            <w:tcW w:w="6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008000"/>
              </w:rPr>
              <w:t>(2)(3)(4)</w:t>
            </w:r>
          </w:p>
        </w:tc>
        <w:tc>
          <w:tcPr>
            <w:tcW w:w="12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(2)(3)(4)</w:t>
            </w:r>
          </w:p>
        </w:tc>
        <w:tc>
          <w:tcPr>
            <w:tcW w:w="660" w:type="dxa"/>
            <w:vAlign w:val="bottom"/>
            <w:vMerge w:val="continue"/>
          </w:tcPr>
          <w:p>
            <w:pPr>
              <w:spacing w:after="0"/>
              <w:rPr>
                <w:sz w:val="5"/>
                <w:szCs w:val="5"/>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335</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3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10</w:t>
            </w:r>
          </w:p>
        </w:tc>
        <w:tc>
          <w:tcPr>
            <w:tcW w:w="160" w:type="dxa"/>
            <w:vAlign w:val="bottom"/>
          </w:tcPr>
          <w:p>
            <w:pPr>
              <w:spacing w:after="0"/>
              <w:rPr>
                <w:sz w:val="6"/>
                <w:szCs w:val="6"/>
                <w:color w:val="auto"/>
              </w:rPr>
            </w:pPr>
          </w:p>
        </w:tc>
        <w:tc>
          <w:tcPr>
            <w:tcW w:w="104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11/12/2025</w:t>
            </w: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6"/>
                <w:szCs w:val="6"/>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335</w:t>
            </w:r>
          </w:p>
        </w:tc>
        <w:tc>
          <w:tcPr>
            <w:tcW w:w="7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restart"/>
          </w:tcPr>
          <w:p>
            <w:pPr>
              <w:ind w:left="4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40"/>
              <w:spacing w:after="0" w:line="144" w:lineRule="exact"/>
              <w:rPr>
                <w:sz w:val="20"/>
                <w:szCs w:val="20"/>
                <w:color w:val="auto"/>
              </w:rPr>
            </w:pPr>
            <w:r>
              <w:rPr>
                <w:rFonts w:ascii="Times New Roman" w:cs="Times New Roman" w:eastAsia="Times New Roman" w:hAnsi="Times New Roman"/>
                <w:sz w:val="13"/>
                <w:szCs w:val="13"/>
                <w:color w:val="0000FF"/>
                <w:w w:val="94"/>
              </w:rPr>
              <w:t>26,511</w:t>
            </w:r>
          </w:p>
        </w:tc>
        <w:tc>
          <w:tcPr>
            <w:tcW w:w="28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-2204720</wp:posOffset>
            </wp:positionV>
            <wp:extent cx="29210" cy="2209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098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50,229 shares of Class A Common Stock subject to restricted stock units and performance stock units that remain subject to vesting.</w:t>
      </w:r>
    </w:p>
    <w:p>
      <w:pPr>
        <w:spacing w:after="0" w:line="45" w:lineRule="exact"/>
        <w:rPr>
          <w:rFonts w:ascii="Times New Roman" w:cs="Times New Roman" w:eastAsia="Times New Roman" w:hAnsi="Times New Roman"/>
          <w:sz w:val="13"/>
          <w:szCs w:val="13"/>
          <w:color w:val="008000"/>
        </w:rPr>
      </w:pPr>
    </w:p>
    <w:p>
      <w:pPr>
        <w:ind w:left="40" w:right="240" w:firstLine="3"/>
        <w:spacing w:after="0"/>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stock options to purchase shares of the Issuer's Class A Common Stock ("Options") granted on July 29, 2025, contingent on the Issuer's shareholder approval, which was obtained on October 31, 2025. The Options are a commitment by the grantee to exercise a predetermined number of Options every quarter for eight quarters (the "Committed Options") at an exercise price per share equal to $10,00, which reflects the fair market value of a share of Class A Common Stock on the grant date. If the reporting person does not exercise the Committed Options in any quarter, then all remaining Options are forfeited. One-eighth of the Options will become exercisable each quarter (each, a "Quarterly Tranche"). [Continued to footnote 3]</w:t>
      </w:r>
    </w:p>
    <w:p>
      <w:pPr>
        <w:spacing w:after="0" w:line="27" w:lineRule="exact"/>
        <w:rPr>
          <w:rFonts w:ascii="Times New Roman" w:cs="Times New Roman" w:eastAsia="Times New Roman" w:hAnsi="Times New Roman"/>
          <w:sz w:val="13"/>
          <w:szCs w:val="13"/>
          <w:color w:val="008000"/>
        </w:rPr>
      </w:pPr>
    </w:p>
    <w:p>
      <w:pPr>
        <w:ind w:left="40" w:right="220" w:firstLine="3"/>
        <w:spacing w:after="0" w:line="237"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Committed Options will be exercisable over a two-day period in the applicable quarter (the "Exercise Period"); provided that if the Exercise Period for a Quarterly Tranche occurs during a blackout period, then such Exercise Period shall instead be the next quarterly Exercise Period. If the reporting person exercises the Committed Option portion, the remainder of that Quarterly Tranche (the "Optional Exercise Options") will become exercisable for a period of one year. The Optional Exercise Option portion of any Quarterly Tranche will expire at the end of such one-year period.</w:t>
      </w:r>
    </w:p>
    <w:p>
      <w:pPr>
        <w:spacing w:after="0" w:line="1" w:lineRule="exact"/>
        <w:rPr>
          <w:rFonts w:ascii="Times New Roman" w:cs="Times New Roman" w:eastAsia="Times New Roman" w:hAnsi="Times New Roman"/>
          <w:sz w:val="13"/>
          <w:szCs w:val="13"/>
          <w:color w:val="008000"/>
        </w:rPr>
      </w:pPr>
    </w:p>
    <w:p>
      <w:pPr>
        <w:ind w:left="40"/>
        <w:spacing w:after="0"/>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to footnote 4]</w:t>
      </w:r>
    </w:p>
    <w:p>
      <w:pPr>
        <w:spacing w:after="0" w:line="31" w:lineRule="exact"/>
        <w:rPr>
          <w:rFonts w:ascii="Times New Roman" w:cs="Times New Roman" w:eastAsia="Times New Roman" w:hAnsi="Times New Roman"/>
          <w:sz w:val="13"/>
          <w:szCs w:val="13"/>
          <w:color w:val="008000"/>
        </w:rPr>
      </w:pPr>
    </w:p>
    <w:p>
      <w:pPr>
        <w:jc w:val="both"/>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3] Notwithstanding the foregoing exercise schedule, following the first quarter after stockholder approval of the Options, any portion of the Options may be exercised earlier than the applicable quarter, provided that shares of Class A Common Stock acquired on exercise of the Optional Exercise Options will be subject to a lock-up period so that the shares acquired on exercise may not be sold or transferred until the originally-scheduled exercise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Paul Simmons Attorney-in-  </w:t>
      </w:r>
      <w:r>
        <w:rPr>
          <w:rFonts w:ascii="Times New Roman" w:cs="Times New Roman" w:eastAsia="Times New Roman" w:hAnsi="Times New Roman"/>
          <w:sz w:val="32"/>
          <w:szCs w:val="32"/>
          <w:color w:val="0000FF"/>
          <w:vertAlign w:val="subscript"/>
        </w:rPr>
        <w:t>11/14/2025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17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Karen Alexander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101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0172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0910"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2025-11-14T19:59:57Z</dcterms:created>
  <dcterms:modified xsi:type="dcterms:W3CDTF">2025-11-14T19:59:57Z</dcterms:modified>
</cp:coreProperties>
</file>