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9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8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Jared Fishman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4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Sullivan &amp; Cromwell</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860" w:type="dxa"/>
            <w:vAlign w:val="bottom"/>
          </w:tcPr>
          <w:p>
            <w:pPr>
              <w:spacing w:after="0"/>
              <w:rPr>
                <w:sz w:val="18"/>
                <w:szCs w:val="18"/>
                <w:color w:val="auto"/>
              </w:rPr>
            </w:pPr>
          </w:p>
        </w:tc>
      </w:tr>
      <w:tr>
        <w:trPr>
          <w:trHeight w:val="238"/>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8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Post-Effective Amendment No. 1 (the “Amendment”) to the Registration Statement on Form S-3 (File No. 333-271362) (the “Registration Statement”) is being filed pursuant to Rule 414 under the Securities Act of 1933, as amended (the “Securities Act”), by Bakkt Holdings, Inc. (formerly “Bakkt NewCo Holdings, Inc.”), a Delaware corporation (the “Successor Registrant”), as the successor registrant to Bakkt Intermediate Holdings, Inc. (formerly “Bakkt Holdings, Inc.”), a Delaware corporation (the “Predecessor Registrant”), solely to reflect a holding company reorganization in accordance with Section 251(g) of the General Corporation Law of the State of Delaware (the “Reorganization”). No additional securities are being registered pursuant to this Amendment.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Reorganization was completed on November 3, 2025 pursuant to the Agreement and Plan of Merger, dated as of November 3, 2025 (the “Merger Agreement”), among the Successor Registrant, the Predecessor Registrant and Bakkt Merger Sub 1, Inc., a Delaware corporation (“Merger Sub”) and a direct wholly-owned subsidiary of the Successor Registrant, pursuant to which Merger Sub was merged with and into the Predecessor Registrant, with the Predecessor Registrant surviving as a direct wholly owned subsidiary of the Successor Registrant. The Successor Registrant changed its name from “Bakkt NewCo Holdings, Inc.” to “Bakkt Holdings, Inc.” and the Predecessor Registrant changed its name from “Bakkt Holdings, Inc.” to “Bakkt Intermediate Holdings, Inc.” In accordance with the terms of the Merger Agreement, (i) each outstanding share of the Predecessor Registrant’s Class A common stock, par value $0.0001 per share (the “Predecessor Class A Common Stock”), was converted into one share of the Successor Registrant’s Class A common stock, par value $0.0001 per share, evidencing the same proportional interests in the Successor Registrant and having the same designations, rights, powers and preferences, and the same qualifications, limitations and restrictions as a share of the Predecessor Class A Common Stock immediately prior to the Reorganization, and (ii) the Successor Registrant adopted organizational documents substantially identical to those of the Predecessor Registrant and assumed certain obligations of the Predecessor Registrant, in each case, to enable the Successor Registrant to offer and sell the securities listed in the Registration Statement on the same terms and conditions as the Predecessor Registrant prior to the Reorganization as required by Rule 414.</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Registration fees were paid at the time of filing of the original Registration Statement.</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 w:name="page4"/>
    <w:bookmarkEnd w:id="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14 of Registration Statement Form S-3, File No. 333-271362, effective as of February 14,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15 of Registration Statement on Form S-3, File No. 333-271362, effective as of February 14,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4"/>
                <w:szCs w:val="24"/>
                <w:color w:val="auto"/>
              </w:rPr>
            </w:pPr>
          </w:p>
        </w:tc>
        <w:tc>
          <w:tcPr>
            <w:tcW w:w="1014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20" w:hanging="884"/>
        <w:spacing w:after="0" w:line="266" w:lineRule="auto"/>
        <w:tabs>
          <w:tab w:leader="none" w:pos="8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21">
        <w:r>
          <w:rPr>
            <w:rFonts w:ascii="Times New Roman" w:cs="Times New Roman" w:eastAsia="Times New Roman" w:hAnsi="Times New Roman"/>
            <w:sz w:val="18"/>
            <w:szCs w:val="18"/>
            <w:u w:val="single" w:color="auto"/>
            <w:color w:val="0000EE"/>
          </w:rPr>
          <w:t>Agreement and Plan of Merger, dated as of November 3, 2025, by and among Bakkt Holdings, Inc. (formerly Bakkt NewCo Holdings,</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Inc.), Bakkt Intermediate Holdings, Inc. (formerly Bakkt Holdings, Inc.) and Bakkt Merger Sub 1, Inc. (incorporated by reference to Exhibit</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2.1 to Bakkt Holdings, Inc.’s Current Report on Form 8-K (File No. 001-39544) filed with the SEC on November 3, 2025).</w:t>
        </w:r>
      </w:hyperlink>
    </w:p>
    <w:p>
      <w:pPr>
        <w:spacing w:after="0" w:line="67" w:lineRule="exact"/>
        <w:rPr>
          <w:rFonts w:ascii="Times New Roman" w:cs="Times New Roman" w:eastAsia="Times New Roman" w:hAnsi="Times New Roman"/>
          <w:sz w:val="18"/>
          <w:szCs w:val="18"/>
          <w:u w:val="single" w:color="auto"/>
          <w:color w:val="0000EE"/>
        </w:rPr>
      </w:pPr>
    </w:p>
    <w:p>
      <w:pPr>
        <w:ind w:left="884" w:right="300" w:hanging="884"/>
        <w:spacing w:after="0" w:line="282" w:lineRule="auto"/>
        <w:tabs>
          <w:tab w:leader="none" w:pos="8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hyperlink r:id="rId22">
        <w:r>
          <w:rPr>
            <w:rFonts w:ascii="Times New Roman" w:cs="Times New Roman" w:eastAsia="Times New Roman" w:hAnsi="Times New Roman"/>
            <w:sz w:val="18"/>
            <w:szCs w:val="18"/>
            <w:u w:val="single" w:color="auto"/>
            <w:color w:val="0000EE"/>
          </w:rPr>
          <w:t>Amended and Restated Certificate of Incorporation of Bakkt Holdings, Inc. (incorporated by reference to Exhibit 3.1 to Bakkt Holdings,</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Inc.’s Current Report on Form 8-K (File No. 001-39544) filed with the SEC on November 3,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180" w:hanging="884"/>
        <w:spacing w:after="0" w:line="282" w:lineRule="auto"/>
        <w:tabs>
          <w:tab w:leader="none" w:pos="8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23">
        <w:r>
          <w:rPr>
            <w:rFonts w:ascii="Times New Roman" w:cs="Times New Roman" w:eastAsia="Times New Roman" w:hAnsi="Times New Roman"/>
            <w:sz w:val="18"/>
            <w:szCs w:val="18"/>
            <w:u w:val="single" w:color="auto"/>
            <w:color w:val="0000EE"/>
          </w:rPr>
          <w:t>Amended and Restated Bylaws of Bakkt Holdings, Inc. (incorporated by reference to Exhibit 3.2 to Bakkt Holdings, Inc.’s Current Report</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on Form 8-K (File No. 001-39544) filed with the SEC on November 3,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 of Bakkt Holdings, Inc.</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 of Bakkt Holdings, Inc.</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u w:val="single" w:color="auto"/>
          <w:color w:val="0000EE"/>
        </w:rPr>
        <w:t>Consent of Sullivan &amp; Cromwell LLP (included in the opinion filed as Exhibit 5.1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Powers of Attorney (included on the signature page to this Registration Statement).</w:t>
      </w:r>
    </w:p>
    <w:p>
      <w:pPr>
        <w:spacing w:after="0" w:line="158"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17. Undertakings</w:t>
      </w:r>
    </w:p>
    <w:p>
      <w:pPr>
        <w:spacing w:after="0" w:line="121" w:lineRule="exact"/>
        <w:rPr>
          <w:sz w:val="20"/>
          <w:szCs w:val="20"/>
          <w:color w:val="auto"/>
        </w:rPr>
      </w:pPr>
    </w:p>
    <w:p>
      <w:pPr>
        <w:ind w:left="680" w:hanging="24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firstLine="1428"/>
        <w:spacing w:after="0" w:line="255" w:lineRule="auto"/>
        <w:tabs>
          <w:tab w:leader="none" w:pos="169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right="60" w:firstLine="1428"/>
        <w:spacing w:after="0" w:line="282" w:lineRule="auto"/>
        <w:tabs>
          <w:tab w:leader="none" w:pos="174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right="60" w:firstLine="987"/>
        <w:spacing w:after="0" w:line="266"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20" w:firstLine="1428"/>
        <w:spacing w:after="0" w:line="253" w:lineRule="auto"/>
        <w:tabs>
          <w:tab w:leader="none" w:pos="16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440" w:top="266" w:right="479" w:bottom="1440" w:gutter="0" w:footer="0" w:header="0"/>
        </w:sectPr>
      </w:pPr>
    </w:p>
    <w:bookmarkStart w:id="5" w:name="page6"/>
    <w:bookmarkEnd w:id="5"/>
    <w:p>
      <w:pPr>
        <w:ind w:right="180" w:firstLine="987"/>
        <w:spacing w:after="0" w:line="258"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right="140" w:firstLine="1428"/>
        <w:spacing w:after="0" w:line="282" w:lineRule="auto"/>
        <w:tabs>
          <w:tab w:leader="none" w:pos="169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160" w:firstLine="1428"/>
        <w:spacing w:after="0" w:line="282" w:lineRule="auto"/>
        <w:tabs>
          <w:tab w:leader="none" w:pos="174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40"/>
          </w:cols>
          <w:pgMar w:left="440" w:top="270"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New York, State of New York, on December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Akshay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below by the following persons on behalf of the registrant in the capacities indicated on the 10th day of December,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020"/>
          </w:cols>
          <w:pgMar w:left="440" w:top="266" w:right="439" w:bottom="1440" w:gutter="0" w:footer="0" w:header="0"/>
        </w:sectPr>
      </w:pPr>
    </w:p>
    <w:bookmarkStart w:id="7" w:name="page8"/>
    <w:bookmarkEnd w:id="7"/>
    <w:p>
      <w:pPr>
        <w:ind w:left="184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Brown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70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Galvin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33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2">
            <w:col w:w="3660" w:space="720"/>
            <w:col w:w="5639"/>
          </w:cols>
          <w:pgMar w:left="440" w:top="26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r>
      <w:tr>
        <w:trPr>
          <w:trHeight w:val="923"/>
        </w:trPr>
        <w:tc>
          <w:tcPr>
            <w:tcW w:w="5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TELEPHONE: 1-212-558-4000</w:t>
            </w: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125 Broad Street</w:t>
            </w:r>
          </w:p>
        </w:tc>
      </w:tr>
      <w:tr>
        <w:trPr>
          <w:trHeight w:val="216"/>
        </w:trPr>
        <w:tc>
          <w:tcPr>
            <w:tcW w:w="5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FACSIMILE: 1-212-558-3588</w:t>
            </w: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New York, New York 10004-2498</w:t>
            </w:r>
          </w:p>
        </w:tc>
      </w:tr>
      <w:tr>
        <w:trPr>
          <w:trHeight w:val="198"/>
        </w:trPr>
        <w:tc>
          <w:tcPr>
            <w:tcW w:w="5140" w:type="dxa"/>
            <w:vAlign w:val="bottom"/>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w w:val="99"/>
              </w:rPr>
              <w:t>WWW.SULLCROM.COM</w:t>
            </w:r>
          </w:p>
        </w:tc>
        <w:tc>
          <w:tcPr>
            <w:tcW w:w="2780" w:type="dxa"/>
            <w:vAlign w:val="bottom"/>
          </w:tcPr>
          <w:p>
            <w:pPr>
              <w:spacing w:after="0"/>
              <w:rPr>
                <w:sz w:val="17"/>
                <w:szCs w:val="17"/>
                <w:color w:val="auto"/>
              </w:rPr>
            </w:pPr>
          </w:p>
        </w:tc>
        <w:tc>
          <w:tcPr>
            <w:tcW w:w="9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2200" w:type="dxa"/>
            <w:vAlign w:val="bottom"/>
          </w:tcPr>
          <w:p>
            <w:pPr>
              <w:spacing w:after="0"/>
              <w:rPr>
                <w:sz w:val="17"/>
                <w:szCs w:val="17"/>
                <w:color w:val="auto"/>
              </w:rPr>
            </w:pPr>
          </w:p>
        </w:tc>
      </w:tr>
      <w:tr>
        <w:trPr>
          <w:trHeight w:val="358"/>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LOS ANGELES • PALO ALTO • WASHINGTON, D.C.</w:t>
            </w:r>
          </w:p>
        </w:tc>
      </w:tr>
      <w:tr>
        <w:trPr>
          <w:trHeight w:val="283"/>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BRUSSELS • FRANKFURT • LONDON • PARIS</w:t>
            </w:r>
          </w:p>
        </w:tc>
      </w:tr>
      <w:tr>
        <w:trPr>
          <w:trHeight w:val="284"/>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BEIJING • HONG KONG • TOKYO</w:t>
            </w:r>
          </w:p>
        </w:tc>
      </w:tr>
      <w:tr>
        <w:trPr>
          <w:trHeight w:val="283"/>
        </w:trPr>
        <w:tc>
          <w:tcPr>
            <w:tcW w:w="5140" w:type="dxa"/>
            <w:vAlign w:val="bottom"/>
          </w:tcPr>
          <w:p>
            <w:pPr>
              <w:spacing w:after="0"/>
              <w:rPr>
                <w:sz w:val="24"/>
                <w:szCs w:val="24"/>
                <w:color w:val="auto"/>
              </w:rPr>
            </w:pPr>
          </w:p>
        </w:tc>
        <w:tc>
          <w:tcPr>
            <w:tcW w:w="58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MELBOURNE • SYDNEY</w:t>
            </w:r>
          </w:p>
        </w:tc>
      </w:tr>
      <w:tr>
        <w:trPr>
          <w:trHeight w:val="445"/>
        </w:trPr>
        <w:tc>
          <w:tcPr>
            <w:tcW w:w="5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10, 2025</w:t>
            </w: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 Liberty Plaza,</w:t>
            </w:r>
          </w:p>
        </w:tc>
        <w:tc>
          <w:tcPr>
            <w:tcW w:w="2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One Liberty Street, Suite 305-306,</w:t>
            </w:r>
          </w:p>
        </w:tc>
        <w:tc>
          <w:tcPr>
            <w:tcW w:w="2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4"/>
        </w:trPr>
        <w:tc>
          <w:tcPr>
            <w:tcW w:w="5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New York, New York, 10006.</w:t>
            </w:r>
          </w:p>
        </w:tc>
        <w:tc>
          <w:tcPr>
            <w:tcW w:w="2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-2442845</wp:posOffset>
            </wp:positionV>
            <wp:extent cx="2665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7,140,808 shares of Class A common stock, par value $0.0001 per share (“Class A Common Stock”), of Bakkt Holdings, Inc., a Delaware corporation (the “Company”), issuable upon the exercise of an aggregate of 7,140,808 warrants issued by the Company (the “Warrants” and, such shares of Class A Common Stock issuable upon exercise of the Warrants, the “Securities”), we, as your counsel, have examined such corporate records, certificates and other documents, and such questions of law, as we have considered necessary or appropriate for the purposes of this opinion.</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upon the exercise of the Warrants in accordance with the terms thereof, the Securities will be validly issued, fully paid and nonassessable.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ectPr>
          <w:pgSz w:w="11900" w:h="16838" w:orient="portrait"/>
          <w:cols w:equalWidth="0" w:num="1">
            <w:col w:w="11020"/>
          </w:cols>
          <w:pgMar w:left="440" w:top="11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270"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Post-Effective Amendment No. 1 to the Form S-3 Registration Statement (No. 333-271362) and related Prospectus of Bakkt Holdings, Inc. for the registration of 7,140,808 shares of Class A common stock issuable upon the exercise of 7,140,808 warrants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Holdings, Inc. for the fiscal year ended December 31, 2023, filed with the Securities and Exchange Commission.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except for the effects of the discontinued operations as discussed in Notes 3, 13, 18, 20 and 21, as to which the date is December 10, 2025, with respect to the consolidated financial statements of Bakkt Holdings, Inc., and the effectiveness of internal control over financial reporting,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
      <w:numFmt w:val="bullet"/>
      <w:start w:val="1"/>
    </w:lvl>
  </w:abstractNum>
  <w:abstractNum w:abstractNumId="1">
    <w:nsid w:val="2AE894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625558EC"/>
    <w:multiLevelType w:val="hybridMultilevel"/>
    <w:lvl w:ilvl="0">
      <w:lvlJc w:val="left"/>
      <w:lvlText w:val="(%1)"/>
      <w:numFmt w:val="decimal"/>
      <w:start w:val="2"/>
    </w:lvl>
    <w:lvl w:ilvl="1">
      <w:lvlJc w:val="left"/>
      <w:lvlText w:val="(%2)"/>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
    <w:nsid w:val="46E87C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33" Type="http://schemas.openxmlformats.org/officeDocument/2006/relationships/image" Target="media/image23.png"/><Relationship Id="rId21" Type="http://schemas.openxmlformats.org/officeDocument/2006/relationships/hyperlink" Target="http://www.sec.gov/Archives/edgar/data/1820302/000119312525262732/d83327dex21.htm" TargetMode="External"/><Relationship Id="rId22" Type="http://schemas.openxmlformats.org/officeDocument/2006/relationships/hyperlink" Target="http://www.sec.gov/Archives/edgar/data/1820302/000119312525262732/d83327dex31.htm" TargetMode="External"/><Relationship Id="rId23" Type="http://schemas.openxmlformats.org/officeDocument/2006/relationships/hyperlink" Target="http://www.sec.gov/Archives/edgar/data/1820302/000119312525262732/d8332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2025-12-10T15:27:38Z</dcterms:created>
  <dcterms:modified xsi:type="dcterms:W3CDTF">2025-12-10T15:27:38Z</dcterms:modified>
</cp:coreProperties>
</file>