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Zemlin Sheela</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85"/>
        <w:spacing w:after="0"/>
        <w:rPr>
          <w:sz w:val="20"/>
          <w:szCs w:val="20"/>
          <w:color w:val="auto"/>
        </w:rPr>
      </w:pPr>
      <w:r>
        <w:rPr>
          <w:rFonts w:ascii="Arial" w:cs="Arial" w:eastAsia="Arial" w:hAnsi="Arial"/>
          <w:sz w:val="17"/>
          <w:szCs w:val="17"/>
          <w:color w:val="0000FF"/>
        </w:rPr>
        <w:t>EVP, Chief Revenue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87,491</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354,158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354,158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Sheela</w:t>
      </w:r>
      <w:r>
        <w:rPr>
          <w:sz w:val="20"/>
          <w:szCs w:val="20"/>
          <w:color w:val="auto"/>
        </w:rPr>
        <w:tab/>
      </w:r>
      <w:r>
        <w:rPr>
          <w:rFonts w:ascii="Arial" w:cs="Arial" w:eastAsia="Arial" w:hAnsi="Arial"/>
          <w:sz w:val="15"/>
          <w:szCs w:val="15"/>
          <w:color w:val="0000FF"/>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Zemlin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28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2022-02-17T18:22:43Z</dcterms:created>
  <dcterms:modified xsi:type="dcterms:W3CDTF">2022-02-17T18:22:43Z</dcterms:modified>
</cp:coreProperties>
</file>