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74504dposam.htm"/>
        <w:bookmarkStart w:id="1" w:name="ksd474504dposam"/>
        <w:bookmarkEnd w:id="0"/>
        <w:bookmarkEnd w:id="1"/>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As filed with the Securities and Exchange Commission on April 20, 2023 </w:t>
      </w:r>
    </w:p>
    <w:p>
      <w:pPr>
        <w:pStyle w:val="TextBody"/>
        <w:spacing w:before="0" w:after="0"/>
        <w:jc w:val="right"/>
        <w:rPr>
          <w:rFonts w:ascii="Times New Roman" w:hAnsi="Times New Roman"/>
          <w:b/>
          <w:sz w:val="20"/>
        </w:rPr>
      </w:pPr>
      <w:r>
        <w:rPr>
          <w:rFonts w:ascii="Times New Roman" w:hAnsi="Times New Roman"/>
          <w:b/>
          <w:sz w:val="20"/>
        </w:rPr>
        <w:t xml:space="preserve">Registration No. 333-261034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Post-Effective Amendment No. 2 </w:t>
      </w:r>
    </w:p>
    <w:p>
      <w:pPr>
        <w:pStyle w:val="TextBody"/>
        <w:spacing w:before="0" w:after="0"/>
        <w:jc w:val="center"/>
        <w:rPr>
          <w:rFonts w:ascii="Times New Roman" w:hAnsi="Times New Roman"/>
          <w:b/>
          <w:sz w:val="36"/>
        </w:rPr>
      </w:pPr>
      <w:r>
        <w:rPr>
          <w:rFonts w:ascii="Times New Roman" w:hAnsi="Times New Roman"/>
          <w:b/>
          <w:sz w:val="36"/>
        </w:rPr>
        <w:t xml:space="preserve">to </w:t>
      </w:r>
    </w:p>
    <w:p>
      <w:pPr>
        <w:pStyle w:val="TextBody"/>
        <w:spacing w:before="0" w:after="0"/>
        <w:jc w:val="center"/>
        <w:rPr>
          <w:rFonts w:ascii="Times New Roman" w:hAnsi="Times New Roman"/>
          <w:b/>
          <w:sz w:val="36"/>
        </w:rPr>
      </w:pPr>
      <w:r>
        <w:rPr>
          <w:rFonts w:ascii="Times New Roman" w:hAnsi="Times New Roman"/>
          <w:b/>
          <w:sz w:val="36"/>
        </w:rPr>
        <w:t xml:space="preserve">FORM S-1 ON FORM S-3 </w:t>
      </w:r>
    </w:p>
    <w:p>
      <w:pPr>
        <w:pStyle w:val="TextBody"/>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spacing w:before="0" w:after="0"/>
        <w:jc w:val="center"/>
        <w:rPr>
          <w:rFonts w:ascii="Times New Roman" w:hAnsi="Times New Roman"/>
          <w:b/>
          <w:i/>
          <w:sz w:val="24"/>
        </w:rPr>
      </w:pPr>
      <w:r>
        <w:rPr>
          <w:rFonts w:ascii="Times New Roman" w:hAnsi="Times New Roman"/>
          <w:b/>
          <w:i/>
          <w:sz w:val="24"/>
        </w:rPr>
        <w:t xml:space="preserve">UNDER </w:t>
      </w:r>
    </w:p>
    <w:p>
      <w:pPr>
        <w:pStyle w:val="TextBody"/>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60" w:after="0"/>
        <w:jc w:val="center"/>
        <w:rPr>
          <w:rFonts w:ascii="Times New Roman" w:hAnsi="Times New Roman"/>
          <w:b/>
          <w:sz w:val="48"/>
        </w:rPr>
      </w:pPr>
      <w:r>
        <w:rPr>
          <w:rFonts w:ascii="Times New Roman" w:hAnsi="Times New Roman"/>
          <w:b/>
          <w:sz w:val="48"/>
        </w:rPr>
        <w:t xml:space="preserve">Bakkt Holdings, Inc. </w:t>
      </w:r>
    </w:p>
    <w:p>
      <w:pPr>
        <w:pStyle w:val="TextBody"/>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1"/>
        <w:gridCol w:w="4950"/>
      </w:tblGrid>
      <w:tr>
        <w:trPr/>
        <w:tc>
          <w:tcPr>
            <w:tcW w:w="515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950"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283"/>
              <w:jc w:val="center"/>
              <w:rPr>
                <w:b/>
              </w:rPr>
            </w:pPr>
            <w:r>
              <w:rPr>
                <w:b/>
              </w:rPr>
              <w:t>Delaware</w:t>
            </w:r>
          </w:p>
        </w:tc>
        <w:tc>
          <w:tcPr>
            <w:tcW w:w="101" w:type="dxa"/>
            <w:tcBorders/>
            <w:shd w:fill="auto" w:val="clear"/>
            <w:vAlign w:val="bottom"/>
          </w:tcPr>
          <w:p>
            <w:pPr>
              <w:pStyle w:val="TableContents"/>
              <w:spacing w:before="0" w:after="283"/>
              <w:rPr/>
            </w:pPr>
            <w:r>
              <w:rPr/>
              <w:t> </w:t>
            </w:r>
          </w:p>
        </w:tc>
        <w:tc>
          <w:tcPr>
            <w:tcW w:w="4950" w:type="dxa"/>
            <w:tcBorders/>
            <w:shd w:fill="auto" w:val="clear"/>
          </w:tcPr>
          <w:p>
            <w:pPr>
              <w:pStyle w:val="TableContents"/>
              <w:spacing w:before="0" w:after="283"/>
              <w:jc w:val="center"/>
              <w:rPr>
                <w:b/>
              </w:rPr>
            </w:pPr>
            <w:r>
              <w:rPr>
                <w:b/>
              </w:rPr>
              <w:t>98-1550750</w:t>
            </w:r>
          </w:p>
        </w:tc>
      </w:tr>
      <w:tr>
        <w:trPr/>
        <w:tc>
          <w:tcPr>
            <w:tcW w:w="5154"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 of</w:t>
            </w:r>
          </w:p>
          <w:p>
            <w:pPr>
              <w:pStyle w:val="TableContents"/>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shd w:fill="auto" w:val="clear"/>
            <w:vAlign w:val="bottom"/>
          </w:tcPr>
          <w:p>
            <w:pPr>
              <w:pStyle w:val="TableContents"/>
              <w:spacing w:before="0" w:after="283"/>
              <w:rPr/>
            </w:pPr>
            <w:r>
              <w:rPr/>
              <w:t> </w:t>
            </w:r>
          </w:p>
        </w:tc>
        <w:tc>
          <w:tcPr>
            <w:tcW w:w="4950"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20"/>
              <w:jc w:val="center"/>
              <w:rPr>
                <w:rFonts w:ascii="Times New Roman" w:hAnsi="Times New Roman"/>
                <w:b/>
                <w:sz w:val="14"/>
              </w:rPr>
            </w:pPr>
            <w:r>
              <w:rPr>
                <w:rFonts w:ascii="Times New Roman" w:hAnsi="Times New Roman"/>
                <w:b/>
                <w:sz w:val="14"/>
              </w:rPr>
              <w:t>Identification Number)</w:t>
            </w:r>
          </w:p>
        </w:tc>
      </w:tr>
    </w:tbl>
    <w:p>
      <w:pPr>
        <w:pStyle w:val="TextBody"/>
        <w:spacing w:before="60" w:after="0"/>
        <w:jc w:val="center"/>
        <w:rPr>
          <w:rFonts w:ascii="Times New Roman" w:hAnsi="Times New Roman"/>
          <w:b/>
          <w:sz w:val="16"/>
        </w:rPr>
      </w:pPr>
      <w:r>
        <w:rPr>
          <w:rFonts w:ascii="Times New Roman" w:hAnsi="Times New Roman"/>
          <w:b/>
          <w:sz w:val="16"/>
        </w:rPr>
        <w:t xml:space="preserve">10000 Avalon Boulevard, Suite 1000 </w:t>
      </w:r>
    </w:p>
    <w:p>
      <w:pPr>
        <w:pStyle w:val="TextBody"/>
        <w:spacing w:before="0" w:after="0"/>
        <w:jc w:val="center"/>
        <w:rPr>
          <w:rFonts w:ascii="Times New Roman" w:hAnsi="Times New Roman"/>
          <w:b/>
          <w:sz w:val="16"/>
        </w:rPr>
      </w:pPr>
      <w:r>
        <w:rPr>
          <w:rFonts w:ascii="Times New Roman" w:hAnsi="Times New Roman"/>
          <w:b/>
          <w:sz w:val="16"/>
        </w:rPr>
        <w:t xml:space="preserve">Alpharetta, Georgia 30009 </w:t>
      </w:r>
    </w:p>
    <w:p>
      <w:pPr>
        <w:pStyle w:val="TextBody"/>
        <w:spacing w:before="0" w:after="0"/>
        <w:jc w:val="center"/>
        <w:rPr>
          <w:rFonts w:ascii="Times New Roman" w:hAnsi="Times New Roman"/>
          <w:b/>
          <w:sz w:val="16"/>
        </w:rPr>
      </w:pPr>
      <w:r>
        <w:rPr>
          <w:rFonts w:ascii="Times New Roman" w:hAnsi="Times New Roman"/>
          <w:b/>
          <w:sz w:val="16"/>
        </w:rPr>
        <w:t xml:space="preserve">(678) 534-5849 </w:t>
      </w:r>
    </w:p>
    <w:p>
      <w:pPr>
        <w:pStyle w:val="TextBody"/>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60" w:after="0"/>
        <w:jc w:val="center"/>
        <w:rPr>
          <w:rFonts w:ascii="Times New Roman" w:hAnsi="Times New Roman"/>
          <w:b/>
          <w:sz w:val="16"/>
        </w:rPr>
      </w:pPr>
      <w:r>
        <w:rPr>
          <w:rFonts w:ascii="Times New Roman" w:hAnsi="Times New Roman"/>
          <w:b/>
          <w:sz w:val="16"/>
        </w:rPr>
        <w:t xml:space="preserve">Gavin Michael </w:t>
      </w:r>
    </w:p>
    <w:p>
      <w:pPr>
        <w:pStyle w:val="TextBody"/>
        <w:spacing w:before="0" w:after="0"/>
        <w:jc w:val="center"/>
        <w:rPr>
          <w:rFonts w:ascii="Times New Roman" w:hAnsi="Times New Roman"/>
          <w:b/>
          <w:sz w:val="16"/>
        </w:rPr>
      </w:pPr>
      <w:r>
        <w:rPr>
          <w:rFonts w:ascii="Times New Roman" w:hAnsi="Times New Roman"/>
          <w:b/>
          <w:sz w:val="16"/>
        </w:rPr>
        <w:t xml:space="preserve">Chief Executive Officer </w:t>
      </w:r>
    </w:p>
    <w:p>
      <w:pPr>
        <w:pStyle w:val="TextBody"/>
        <w:spacing w:before="0" w:after="0"/>
        <w:jc w:val="center"/>
        <w:rPr>
          <w:rFonts w:ascii="Times New Roman" w:hAnsi="Times New Roman"/>
          <w:b/>
          <w:sz w:val="16"/>
        </w:rPr>
      </w:pPr>
      <w:r>
        <w:rPr>
          <w:rFonts w:ascii="Times New Roman" w:hAnsi="Times New Roman"/>
          <w:b/>
          <w:sz w:val="16"/>
        </w:rPr>
        <w:t xml:space="preserve">10000 Avalon Boulevard, Suite 1000 </w:t>
      </w:r>
    </w:p>
    <w:p>
      <w:pPr>
        <w:pStyle w:val="TextBody"/>
        <w:spacing w:before="0" w:after="0"/>
        <w:jc w:val="center"/>
        <w:rPr>
          <w:rFonts w:ascii="Times New Roman" w:hAnsi="Times New Roman"/>
          <w:b/>
          <w:sz w:val="16"/>
        </w:rPr>
      </w:pPr>
      <w:r>
        <w:rPr>
          <w:rFonts w:ascii="Times New Roman" w:hAnsi="Times New Roman"/>
          <w:b/>
          <w:sz w:val="16"/>
        </w:rPr>
        <w:t xml:space="preserve">Alpharetta, Georgia 30009 </w:t>
      </w:r>
    </w:p>
    <w:p>
      <w:pPr>
        <w:pStyle w:val="TextBody"/>
        <w:spacing w:before="0" w:after="0"/>
        <w:jc w:val="center"/>
        <w:rPr>
          <w:rFonts w:ascii="Times New Roman" w:hAnsi="Times New Roman"/>
          <w:b/>
          <w:sz w:val="16"/>
        </w:rPr>
      </w:pPr>
      <w:r>
        <w:rPr>
          <w:rFonts w:ascii="Times New Roman" w:hAnsi="Times New Roman"/>
          <w:b/>
          <w:sz w:val="16"/>
        </w:rPr>
        <w:t xml:space="preserve">(678) 534-5849 </w:t>
      </w:r>
    </w:p>
    <w:p>
      <w:pPr>
        <w:pStyle w:val="TextBody"/>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60" w:after="0"/>
        <w:jc w:val="center"/>
        <w:rPr>
          <w:rFonts w:ascii="Times New Roman" w:hAnsi="Times New Roman"/>
          <w:b/>
          <w:i/>
          <w:sz w:val="16"/>
        </w:rPr>
      </w:pPr>
      <w:r>
        <w:rPr>
          <w:rFonts w:ascii="Times New Roman" w:hAnsi="Times New Roman"/>
          <w:b/>
          <w:i/>
          <w:sz w:val="16"/>
        </w:rPr>
        <w:t xml:space="preserve">Copies to: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5"/>
        <w:gridCol w:w="102"/>
        <w:gridCol w:w="4948"/>
      </w:tblGrid>
      <w:tr>
        <w:trPr/>
        <w:tc>
          <w:tcPr>
            <w:tcW w:w="515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8" w:type="dxa"/>
            <w:tcBorders/>
            <w:shd w:fill="auto" w:val="clear"/>
            <w:vAlign w:val="center"/>
          </w:tcPr>
          <w:p>
            <w:pPr>
              <w:pStyle w:val="TableContents"/>
              <w:spacing w:before="0" w:after="283"/>
              <w:rPr>
                <w:sz w:val="4"/>
                <w:szCs w:val="4"/>
              </w:rPr>
            </w:pPr>
            <w:r>
              <w:rPr>
                <w:sz w:val="4"/>
                <w:szCs w:val="4"/>
              </w:rPr>
            </w:r>
          </w:p>
        </w:tc>
      </w:tr>
      <w:tr>
        <w:trPr/>
        <w:tc>
          <w:tcPr>
            <w:tcW w:w="5155"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J. Matthew Lyons</w:t>
            </w:r>
          </w:p>
          <w:p>
            <w:pPr>
              <w:pStyle w:val="TableContents"/>
              <w:spacing w:before="0" w:after="0"/>
              <w:jc w:val="center"/>
              <w:rPr>
                <w:rFonts w:ascii="Times New Roman" w:hAnsi="Times New Roman"/>
                <w:b/>
                <w:sz w:val="16"/>
              </w:rPr>
            </w:pPr>
            <w:r>
              <w:rPr>
                <w:rFonts w:ascii="Times New Roman" w:hAnsi="Times New Roman"/>
                <w:b/>
                <w:sz w:val="16"/>
              </w:rPr>
              <w:t>Austin D. March</w:t>
            </w:r>
          </w:p>
          <w:p>
            <w:pPr>
              <w:pStyle w:val="TableContents"/>
              <w:spacing w:before="0" w:after="0"/>
              <w:jc w:val="center"/>
              <w:rPr>
                <w:rFonts w:ascii="Times New Roman" w:hAnsi="Times New Roman"/>
                <w:b/>
                <w:sz w:val="16"/>
              </w:rPr>
            </w:pPr>
            <w:r>
              <w:rPr>
                <w:rFonts w:ascii="Times New Roman" w:hAnsi="Times New Roman"/>
                <w:b/>
                <w:sz w:val="16"/>
              </w:rPr>
              <w:t>Wilson Sonsini Goodrich &amp; Rosati, P.C.</w:t>
            </w:r>
          </w:p>
          <w:p>
            <w:pPr>
              <w:pStyle w:val="TableContents"/>
              <w:spacing w:before="0" w:after="0"/>
              <w:jc w:val="center"/>
              <w:rPr>
                <w:rFonts w:ascii="Times New Roman" w:hAnsi="Times New Roman"/>
                <w:b/>
                <w:sz w:val="16"/>
              </w:rPr>
            </w:pPr>
            <w:r>
              <w:rPr>
                <w:rFonts w:ascii="Times New Roman" w:hAnsi="Times New Roman"/>
                <w:b/>
                <w:sz w:val="16"/>
              </w:rPr>
              <w:t>900 S. Capital of Texas Highway</w:t>
            </w:r>
          </w:p>
          <w:p>
            <w:pPr>
              <w:pStyle w:val="TableContents"/>
              <w:spacing w:before="0" w:after="0"/>
              <w:jc w:val="center"/>
              <w:rPr>
                <w:rFonts w:ascii="Times New Roman" w:hAnsi="Times New Roman"/>
                <w:b/>
                <w:sz w:val="16"/>
              </w:rPr>
            </w:pPr>
            <w:r>
              <w:rPr>
                <w:rFonts w:ascii="Times New Roman" w:hAnsi="Times New Roman"/>
                <w:b/>
                <w:sz w:val="16"/>
              </w:rPr>
              <w:t>Las Cimas IV, 5th Floor</w:t>
            </w:r>
          </w:p>
          <w:p>
            <w:pPr>
              <w:pStyle w:val="TableContents"/>
              <w:spacing w:before="0" w:after="0"/>
              <w:jc w:val="center"/>
              <w:rPr>
                <w:rFonts w:ascii="Times New Roman" w:hAnsi="Times New Roman"/>
                <w:b/>
                <w:sz w:val="16"/>
              </w:rPr>
            </w:pPr>
            <w:r>
              <w:rPr>
                <w:rFonts w:ascii="Times New Roman" w:hAnsi="Times New Roman"/>
                <w:b/>
                <w:sz w:val="16"/>
              </w:rPr>
              <w:t>Austin, TX 78746</w:t>
            </w:r>
          </w:p>
          <w:p>
            <w:pPr>
              <w:pStyle w:val="TableContents"/>
              <w:spacing w:before="0" w:after="20"/>
              <w:jc w:val="center"/>
              <w:rPr>
                <w:rFonts w:ascii="Times New Roman" w:hAnsi="Times New Roman"/>
                <w:b/>
                <w:sz w:val="16"/>
              </w:rPr>
            </w:pPr>
            <w:r>
              <w:rPr>
                <w:rFonts w:ascii="Times New Roman" w:hAnsi="Times New Roman"/>
                <w:b/>
                <w:sz w:val="16"/>
              </w:rPr>
              <w:t>(512) 338-5400</w:t>
            </w:r>
          </w:p>
        </w:tc>
        <w:tc>
          <w:tcPr>
            <w:tcW w:w="102" w:type="dxa"/>
            <w:tcBorders/>
            <w:shd w:fill="auto" w:val="clear"/>
            <w:vAlign w:val="bottom"/>
          </w:tcPr>
          <w:p>
            <w:pPr>
              <w:pStyle w:val="TableContents"/>
              <w:spacing w:before="0" w:after="283"/>
              <w:rPr/>
            </w:pPr>
            <w:r>
              <w:rPr/>
              <w:t> </w:t>
            </w:r>
          </w:p>
        </w:tc>
        <w:tc>
          <w:tcPr>
            <w:tcW w:w="4948"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Marc DAnnunzio</w:t>
            </w:r>
          </w:p>
          <w:p>
            <w:pPr>
              <w:pStyle w:val="TableContents"/>
              <w:spacing w:before="0" w:after="0"/>
              <w:jc w:val="center"/>
              <w:rPr>
                <w:rFonts w:ascii="Times New Roman" w:hAnsi="Times New Roman"/>
                <w:b/>
                <w:sz w:val="16"/>
              </w:rPr>
            </w:pPr>
            <w:r>
              <w:rPr>
                <w:rFonts w:ascii="Times New Roman" w:hAnsi="Times New Roman"/>
                <w:b/>
                <w:sz w:val="16"/>
              </w:rPr>
              <w:t>General Counsel</w:t>
            </w:r>
          </w:p>
          <w:p>
            <w:pPr>
              <w:pStyle w:val="TableContents"/>
              <w:spacing w:before="0" w:after="0"/>
              <w:jc w:val="center"/>
              <w:rPr>
                <w:rFonts w:ascii="Times New Roman" w:hAnsi="Times New Roman"/>
                <w:b/>
                <w:sz w:val="16"/>
              </w:rPr>
            </w:pPr>
            <w:r>
              <w:rPr>
                <w:rFonts w:ascii="Times New Roman" w:hAnsi="Times New Roman"/>
                <w:b/>
                <w:sz w:val="16"/>
              </w:rPr>
              <w:t>10000 Avalon Boulevard, Suite 1000</w:t>
            </w:r>
          </w:p>
          <w:p>
            <w:pPr>
              <w:pStyle w:val="TableContents"/>
              <w:spacing w:before="0" w:after="0"/>
              <w:jc w:val="center"/>
              <w:rPr>
                <w:rFonts w:ascii="Times New Roman" w:hAnsi="Times New Roman"/>
                <w:b/>
                <w:sz w:val="16"/>
              </w:rPr>
            </w:pPr>
            <w:r>
              <w:rPr>
                <w:rFonts w:ascii="Times New Roman" w:hAnsi="Times New Roman"/>
                <w:b/>
                <w:sz w:val="16"/>
              </w:rPr>
              <w:t>Alpharetta, Georgia 30009</w:t>
            </w:r>
          </w:p>
          <w:p>
            <w:pPr>
              <w:pStyle w:val="TableContents"/>
              <w:spacing w:before="0" w:after="20"/>
              <w:jc w:val="center"/>
              <w:rPr>
                <w:rFonts w:ascii="Times New Roman" w:hAnsi="Times New Roman"/>
                <w:b/>
                <w:sz w:val="16"/>
              </w:rPr>
            </w:pPr>
            <w:r>
              <w:rPr>
                <w:rFonts w:ascii="Times New Roman" w:hAnsi="Times New Roman"/>
                <w:b/>
                <w:sz w:val="16"/>
              </w:rPr>
              <w:t>(678) 534-5849</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60" w:after="0"/>
        <w:jc w:val="left"/>
        <w:rPr>
          <w:rFonts w:ascii="Times New Roman" w:hAnsi="Times New Roman"/>
          <w:sz w:val="16"/>
        </w:rPr>
      </w:pPr>
      <w:r>
        <w:rPr>
          <w:rFonts w:ascii="Times New Roman" w:hAnsi="Times New Roman"/>
          <w:b/>
          <w:sz w:val="16"/>
        </w:rPr>
        <w:t xml:space="preserve">Approximate date of commencement of proposed sale to the public: </w:t>
      </w:r>
      <w:r>
        <w:rPr>
          <w:rFonts w:ascii="Times New Roman" w:hAnsi="Times New Roman"/>
          <w:sz w:val="16"/>
        </w:rPr>
        <w:t xml:space="preserve">From time to time after the effective date of this registration statement. </w:t>
      </w:r>
    </w:p>
    <w:p>
      <w:pPr>
        <w:pStyle w:val="TextBody"/>
        <w:spacing w:before="6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spacing w:before="6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spacing w:before="6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spacing w:before="6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spacing w:before="6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spacing w:before="6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spacing w:before="6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68"/>
        <w:gridCol w:w="106"/>
        <w:gridCol w:w="4320"/>
        <w:gridCol w:w="150"/>
        <w:gridCol w:w="2920"/>
        <w:gridCol w:w="106"/>
        <w:gridCol w:w="235"/>
      </w:tblGrid>
      <w:tr>
        <w:trPr/>
        <w:tc>
          <w:tcPr>
            <w:tcW w:w="236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432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sz w:val="4"/>
                <w:szCs w:val="4"/>
              </w:rPr>
            </w:pPr>
            <w:r>
              <w:rPr>
                <w:sz w:val="4"/>
                <w:szCs w:val="4"/>
              </w:rPr>
            </w:r>
          </w:p>
        </w:tc>
        <w:tc>
          <w:tcPr>
            <w:tcW w:w="292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2368" w:type="dxa"/>
            <w:tcBorders/>
            <w:shd w:fill="auto" w:val="clear"/>
            <w:vAlign w:val="bottom"/>
          </w:tcPr>
          <w:p>
            <w:pPr>
              <w:pStyle w:val="TableContents"/>
              <w:spacing w:before="0" w:after="283"/>
              <w:rPr/>
            </w:pPr>
            <w:r>
              <w:rPr/>
              <w:t>Large accelerated filer</w:t>
            </w:r>
          </w:p>
        </w:tc>
        <w:tc>
          <w:tcPr>
            <w:tcW w:w="106" w:type="dxa"/>
            <w:tcBorders/>
            <w:shd w:fill="auto" w:val="clear"/>
            <w:vAlign w:val="bottom"/>
          </w:tcPr>
          <w:p>
            <w:pPr>
              <w:pStyle w:val="TableContents"/>
              <w:spacing w:before="0" w:after="283"/>
              <w:rPr/>
            </w:pPr>
            <w:r>
              <w:rPr/>
              <w:t> </w:t>
            </w:r>
          </w:p>
        </w:tc>
        <w:tc>
          <w:tcPr>
            <w:tcW w:w="4320" w:type="dxa"/>
            <w:tcBorders/>
            <w:shd w:fill="auto" w:val="clear"/>
            <w:vAlign w:val="bottom"/>
          </w:tcPr>
          <w:p>
            <w:pPr>
              <w:pStyle w:val="TableContents"/>
              <w:spacing w:before="0" w:after="283"/>
              <w:rPr/>
            </w:pPr>
            <w:r>
              <w:rPr/>
              <w:t>☐</w:t>
            </w:r>
          </w:p>
        </w:tc>
        <w:tc>
          <w:tcPr>
            <w:tcW w:w="150" w:type="dxa"/>
            <w:tcBorders/>
            <w:shd w:fill="auto" w:val="clear"/>
            <w:vAlign w:val="bottom"/>
          </w:tcPr>
          <w:p>
            <w:pPr>
              <w:pStyle w:val="TableContents"/>
              <w:spacing w:before="0" w:after="283"/>
              <w:rPr/>
            </w:pPr>
            <w:r>
              <w:rPr/>
              <w:t>  </w:t>
            </w:r>
          </w:p>
        </w:tc>
        <w:tc>
          <w:tcPr>
            <w:tcW w:w="2920" w:type="dxa"/>
            <w:tcBorders/>
            <w:shd w:fill="auto" w:val="clear"/>
            <w:vAlign w:val="bottom"/>
          </w:tcPr>
          <w:p>
            <w:pPr>
              <w:pStyle w:val="TableContents"/>
              <w:spacing w:before="0" w:after="283"/>
              <w:rPr/>
            </w:pPr>
            <w:r>
              <w:rPr/>
              <w:t>Accelerated filer</w:t>
            </w:r>
          </w:p>
        </w:tc>
        <w:tc>
          <w:tcPr>
            <w:tcW w:w="10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w:t>
            </w:r>
          </w:p>
        </w:tc>
      </w:tr>
      <w:tr>
        <w:trPr>
          <w:trHeight w:val="60" w:hRule="atLeast"/>
        </w:trPr>
        <w:tc>
          <w:tcPr>
            <w:tcW w:w="2368" w:type="dxa"/>
            <w:tcBorders/>
            <w:shd w:fill="auto" w:val="clear"/>
            <w:vAlign w:val="center"/>
          </w:tcPr>
          <w:p>
            <w:pPr>
              <w:pStyle w:val="TableContents"/>
              <w:spacing w:before="0" w:after="283"/>
              <w:rPr>
                <w:sz w:val="4"/>
                <w:szCs w:val="4"/>
              </w:rPr>
            </w:pPr>
            <w:r>
              <w:rPr>
                <w:sz w:val="4"/>
                <w:szCs w:val="4"/>
              </w:rPr>
            </w:r>
          </w:p>
        </w:tc>
        <w:tc>
          <w:tcPr>
            <w:tcW w:w="4426" w:type="dxa"/>
            <w:gridSpan w:val="2"/>
            <w:tcBorders/>
            <w:shd w:fill="auto" w:val="clear"/>
            <w:vAlign w:val="center"/>
          </w:tcPr>
          <w:p>
            <w:pPr>
              <w:pStyle w:val="TableContents"/>
              <w:spacing w:before="0" w:after="283"/>
              <w:rPr>
                <w:sz w:val="4"/>
                <w:szCs w:val="4"/>
              </w:rPr>
            </w:pPr>
            <w:r>
              <w:rPr>
                <w:sz w:val="4"/>
                <w:szCs w:val="4"/>
              </w:rPr>
            </w:r>
          </w:p>
        </w:tc>
        <w:tc>
          <w:tcPr>
            <w:tcW w:w="3070" w:type="dxa"/>
            <w:gridSpan w:val="2"/>
            <w:tcBorders/>
            <w:shd w:fill="auto" w:val="clear"/>
            <w:vAlign w:val="center"/>
          </w:tcPr>
          <w:p>
            <w:pPr>
              <w:pStyle w:val="TableContents"/>
              <w:spacing w:before="0" w:after="283"/>
              <w:rPr>
                <w:sz w:val="4"/>
                <w:szCs w:val="4"/>
              </w:rPr>
            </w:pPr>
            <w:r>
              <w:rPr>
                <w:sz w:val="4"/>
                <w:szCs w:val="4"/>
              </w:rPr>
            </w:r>
          </w:p>
        </w:tc>
        <w:tc>
          <w:tcPr>
            <w:tcW w:w="341" w:type="dxa"/>
            <w:gridSpan w:val="2"/>
            <w:tcBorders/>
            <w:shd w:fill="auto" w:val="clear"/>
            <w:vAlign w:val="center"/>
          </w:tcPr>
          <w:p>
            <w:pPr>
              <w:pStyle w:val="TableContents"/>
              <w:spacing w:before="0" w:after="283"/>
              <w:rPr>
                <w:sz w:val="4"/>
                <w:szCs w:val="4"/>
              </w:rPr>
            </w:pPr>
            <w:r>
              <w:rPr>
                <w:sz w:val="4"/>
                <w:szCs w:val="4"/>
              </w:rPr>
            </w:r>
          </w:p>
        </w:tc>
      </w:tr>
      <w:tr>
        <w:trPr/>
        <w:tc>
          <w:tcPr>
            <w:tcW w:w="2368" w:type="dxa"/>
            <w:tcBorders/>
            <w:shd w:fill="auto" w:val="clear"/>
            <w:vAlign w:val="bottom"/>
          </w:tcPr>
          <w:p>
            <w:pPr>
              <w:pStyle w:val="TableContents"/>
              <w:spacing w:before="0" w:after="283"/>
              <w:rPr/>
            </w:pPr>
            <w:r>
              <w:rPr/>
              <w:t>Non-accelerated filer</w:t>
            </w:r>
          </w:p>
        </w:tc>
        <w:tc>
          <w:tcPr>
            <w:tcW w:w="106" w:type="dxa"/>
            <w:tcBorders/>
            <w:shd w:fill="auto" w:val="clear"/>
            <w:vAlign w:val="bottom"/>
          </w:tcPr>
          <w:p>
            <w:pPr>
              <w:pStyle w:val="TableContents"/>
              <w:spacing w:before="0" w:after="283"/>
              <w:rPr/>
            </w:pPr>
            <w:r>
              <w:rPr/>
              <w:t> </w:t>
            </w:r>
          </w:p>
        </w:tc>
        <w:tc>
          <w:tcPr>
            <w:tcW w:w="4320" w:type="dxa"/>
            <w:tcBorders/>
            <w:shd w:fill="auto" w:val="clear"/>
            <w:vAlign w:val="bottom"/>
          </w:tcPr>
          <w:p>
            <w:pPr>
              <w:pStyle w:val="TableContents"/>
              <w:spacing w:before="0" w:after="283"/>
              <w:rPr/>
            </w:pPr>
            <w:r>
              <w:rPr/>
              <w:t>☒</w:t>
            </w:r>
          </w:p>
        </w:tc>
        <w:tc>
          <w:tcPr>
            <w:tcW w:w="150" w:type="dxa"/>
            <w:tcBorders/>
            <w:shd w:fill="auto" w:val="clear"/>
            <w:vAlign w:val="bottom"/>
          </w:tcPr>
          <w:p>
            <w:pPr>
              <w:pStyle w:val="TableContents"/>
              <w:spacing w:before="0" w:after="283"/>
              <w:rPr/>
            </w:pPr>
            <w:r>
              <w:rPr/>
              <w:t>  </w:t>
            </w:r>
          </w:p>
        </w:tc>
        <w:tc>
          <w:tcPr>
            <w:tcW w:w="2920" w:type="dxa"/>
            <w:tcBorders/>
            <w:shd w:fill="auto" w:val="clear"/>
            <w:vAlign w:val="bottom"/>
          </w:tcPr>
          <w:p>
            <w:pPr>
              <w:pStyle w:val="TableContents"/>
              <w:spacing w:before="0" w:after="283"/>
              <w:rPr/>
            </w:pPr>
            <w:r>
              <w:rPr/>
              <w:t>Smaller reporting company</w:t>
            </w:r>
          </w:p>
        </w:tc>
        <w:tc>
          <w:tcPr>
            <w:tcW w:w="10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w:t>
            </w:r>
          </w:p>
        </w:tc>
      </w:tr>
      <w:tr>
        <w:trPr>
          <w:trHeight w:val="60" w:hRule="atLeast"/>
        </w:trPr>
        <w:tc>
          <w:tcPr>
            <w:tcW w:w="2368" w:type="dxa"/>
            <w:tcBorders/>
            <w:shd w:fill="auto" w:val="clear"/>
            <w:vAlign w:val="center"/>
          </w:tcPr>
          <w:p>
            <w:pPr>
              <w:pStyle w:val="TableContents"/>
              <w:spacing w:before="0" w:after="283"/>
              <w:rPr>
                <w:sz w:val="4"/>
                <w:szCs w:val="4"/>
              </w:rPr>
            </w:pPr>
            <w:r>
              <w:rPr>
                <w:sz w:val="4"/>
                <w:szCs w:val="4"/>
              </w:rPr>
            </w:r>
          </w:p>
        </w:tc>
        <w:tc>
          <w:tcPr>
            <w:tcW w:w="4426" w:type="dxa"/>
            <w:gridSpan w:val="2"/>
            <w:tcBorders/>
            <w:shd w:fill="auto" w:val="clear"/>
            <w:vAlign w:val="center"/>
          </w:tcPr>
          <w:p>
            <w:pPr>
              <w:pStyle w:val="TableContents"/>
              <w:spacing w:before="0" w:after="283"/>
              <w:rPr>
                <w:sz w:val="4"/>
                <w:szCs w:val="4"/>
              </w:rPr>
            </w:pPr>
            <w:r>
              <w:rPr>
                <w:sz w:val="4"/>
                <w:szCs w:val="4"/>
              </w:rPr>
            </w:r>
          </w:p>
        </w:tc>
        <w:tc>
          <w:tcPr>
            <w:tcW w:w="3070" w:type="dxa"/>
            <w:gridSpan w:val="2"/>
            <w:tcBorders/>
            <w:shd w:fill="auto" w:val="clear"/>
            <w:vAlign w:val="center"/>
          </w:tcPr>
          <w:p>
            <w:pPr>
              <w:pStyle w:val="TableContents"/>
              <w:spacing w:before="0" w:after="283"/>
              <w:rPr>
                <w:sz w:val="4"/>
                <w:szCs w:val="4"/>
              </w:rPr>
            </w:pPr>
            <w:r>
              <w:rPr>
                <w:sz w:val="4"/>
                <w:szCs w:val="4"/>
              </w:rPr>
            </w:r>
          </w:p>
        </w:tc>
        <w:tc>
          <w:tcPr>
            <w:tcW w:w="341" w:type="dxa"/>
            <w:gridSpan w:val="2"/>
            <w:tcBorders/>
            <w:shd w:fill="auto" w:val="clear"/>
            <w:vAlign w:val="center"/>
          </w:tcPr>
          <w:p>
            <w:pPr>
              <w:pStyle w:val="TableContents"/>
              <w:spacing w:before="0" w:after="283"/>
              <w:rPr>
                <w:sz w:val="4"/>
                <w:szCs w:val="4"/>
              </w:rPr>
            </w:pPr>
            <w:r>
              <w:rPr>
                <w:sz w:val="4"/>
                <w:szCs w:val="4"/>
              </w:rPr>
            </w:r>
          </w:p>
        </w:tc>
      </w:tr>
      <w:tr>
        <w:trPr/>
        <w:tc>
          <w:tcPr>
            <w:tcW w:w="2368"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4320"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bottom"/>
          </w:tcPr>
          <w:p>
            <w:pPr>
              <w:pStyle w:val="TableContents"/>
              <w:spacing w:before="0" w:after="283"/>
              <w:rPr/>
            </w:pPr>
            <w:r>
              <w:rPr/>
              <w:t>  </w:t>
            </w:r>
          </w:p>
        </w:tc>
        <w:tc>
          <w:tcPr>
            <w:tcW w:w="2920" w:type="dxa"/>
            <w:tcBorders/>
            <w:shd w:fill="auto" w:val="clear"/>
            <w:vAlign w:val="bottom"/>
          </w:tcPr>
          <w:p>
            <w:pPr>
              <w:pStyle w:val="TableContents"/>
              <w:spacing w:before="0" w:after="283"/>
              <w:rPr/>
            </w:pPr>
            <w:r>
              <w:rPr/>
              <w:t>Emerging growth company</w:t>
            </w:r>
          </w:p>
        </w:tc>
        <w:tc>
          <w:tcPr>
            <w:tcW w:w="106"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w:t>
            </w:r>
          </w:p>
        </w:tc>
      </w:tr>
    </w:tbl>
    <w:p>
      <w:pPr>
        <w:pStyle w:val="TextBody"/>
        <w:spacing w:before="60" w:after="0"/>
        <w:jc w:val="left"/>
        <w:rPr>
          <w:rFonts w:ascii="Times New Roman" w:hAnsi="Times New Roman"/>
          <w:sz w:val="16"/>
        </w:rPr>
      </w:pPr>
      <w:r>
        <w:rPr>
          <w:rFonts w:ascii="Times New Roman" w:hAnsi="Times New Roman"/>
          <w:sz w:val="16"/>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6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EXPLANATORY NOTE </w:t>
      </w:r>
    </w:p>
    <w:p>
      <w:pPr>
        <w:pStyle w:val="TextBody"/>
        <w:spacing w:before="240" w:after="0"/>
        <w:jc w:val="left"/>
        <w:rPr>
          <w:rFonts w:ascii="Times New Roman" w:hAnsi="Times New Roman"/>
          <w:sz w:val="20"/>
        </w:rPr>
      </w:pPr>
      <w:r>
        <w:rPr>
          <w:rFonts w:ascii="Times New Roman" w:hAnsi="Times New Roman"/>
          <w:sz w:val="20"/>
        </w:rPr>
        <w:t xml:space="preserve">On November 12, 2021, Bakkt Holdings, Inc. (the Company, we, us, and our) filed a registration statement with the Securities and Exchange Commission (the SEC), on Form S-1 (File No. 333-261034), as amended by Amendment No. 1 thereto filed with the SEC on December 8, 2021, initially declared effective by the SEC on December 15, 2021 (as amended, the Initial Registration Statement). The Initial Registration Statement registered (i) the issuance and sale by us, and the resale by the Selling Securityholders, from time to time, of up to 190,726,638 shares of Class A common stock, par value $0.0001 per share (Class A Common Stock), issuable upon the exchange of an equal number of Paired Interests and (ii) the resale from time to time by the Selling Securityholders of (a) 32,500,000 shares of Class A Common Stock issued in the PIPE Financing; (b) 5,184,300 shares of Class A Common Stock issued to VPC Impact Acquisition Holdings Sponsor, LLC (the Sponsor) and certain of its affiliates that relate to securities acquired by them prior to the initial public offering; and (c) 3,967,362 shares of Class A Common Stock issued to the Sponsor upon the exercise of a portion of the Private Placement Warrants. </w:t>
      </w:r>
    </w:p>
    <w:p>
      <w:pPr>
        <w:pStyle w:val="TextBody"/>
        <w:spacing w:before="240" w:after="0"/>
        <w:jc w:val="left"/>
        <w:rPr>
          <w:rFonts w:ascii="Times New Roman" w:hAnsi="Times New Roman"/>
          <w:sz w:val="20"/>
        </w:rPr>
      </w:pPr>
      <w:r>
        <w:rPr>
          <w:rFonts w:ascii="Times New Roman" w:hAnsi="Times New Roman"/>
          <w:sz w:val="20"/>
        </w:rPr>
        <w:t xml:space="preserve">On April 5, 2022, we filed a post-effective amendment on Form S-1 (Post-Effective Amendment No. 1) to the Initial Registration Statement to (i) include information from the Companys Annual Report on Form 10-K for the year ended December 31, 2021 that was filed on March 31, 2022 and (ii) update certain other information in the Initial Registration Statement. No additional securities were registered under Post-Effective Amendment No. 1, which was declared effective by the SEC on April 12, 2022. </w:t>
      </w:r>
    </w:p>
    <w:p>
      <w:pPr>
        <w:pStyle w:val="TextBody"/>
        <w:spacing w:before="240" w:after="0"/>
        <w:jc w:val="left"/>
        <w:rPr>
          <w:rFonts w:ascii="Times New Roman" w:hAnsi="Times New Roman"/>
          <w:sz w:val="20"/>
        </w:rPr>
      </w:pPr>
      <w:r>
        <w:rPr>
          <w:rFonts w:ascii="Times New Roman" w:hAnsi="Times New Roman"/>
          <w:sz w:val="20"/>
        </w:rPr>
        <w:t xml:space="preserve">This post-effective amendment No. 2 to Form S-1 on Form S-3 (Post-Effective Amendment No. 2) is being filed to (i) convert the Initial Registration Statement, as amended by Post-Effective Amendment No. 1, into a registration statement on Form S-3, (ii) update certain information regarding the Selling Securityholders. No additional securities are being registered under this post-effective amendment and all applicable registration and filing fees were paid in connection with prior filings of the Initial Registration Statement. </w:t>
      </w:r>
    </w:p>
    <w:p>
      <w:pPr>
        <w:pStyle w:val="TextBody"/>
        <w:spacing w:before="240" w:after="0"/>
        <w:jc w:val="left"/>
        <w:rPr>
          <w:rFonts w:ascii="Times New Roman" w:hAnsi="Times New Roman"/>
          <w:sz w:val="20"/>
        </w:rPr>
      </w:pPr>
      <w:r>
        <w:rPr>
          <w:rFonts w:ascii="Times New Roman" w:hAnsi="Times New Roman"/>
          <w:sz w:val="20"/>
        </w:rPr>
        <w:t>Unless otherwise defined, capitalized terms have the meanings ascribed to them in the section titled </w:t>
      </w:r>
      <w:r>
        <w:rPr>
          <w:rFonts w:ascii="Times New Roman" w:hAnsi="Times New Roman"/>
          <w:i/>
          <w:sz w:val="20"/>
        </w:rPr>
        <w:t>About this Prospectus</w:t>
      </w:r>
      <w:r>
        <w:rPr>
          <w:rFonts w:ascii="Times New Roman" w:hAnsi="Times New Roman"/>
          <w:sz w:val="20"/>
        </w:rPr>
        <w:t xml:space="preserve"> below.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082"/>
        <w:gridCol w:w="101"/>
        <w:gridCol w:w="6022"/>
      </w:tblGrid>
      <w:tr>
        <w:trPr/>
        <w:tc>
          <w:tcPr>
            <w:tcW w:w="408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602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b/>
              </w:rPr>
            </w:pPr>
            <w:r>
              <w:rPr>
                <w:b/>
              </w:rPr>
              <w:t>PROSPECTUS</w:t>
            </w:r>
          </w:p>
        </w:tc>
        <w:tc>
          <w:tcPr>
            <w:tcW w:w="101" w:type="dxa"/>
            <w:tcBorders/>
            <w:shd w:fill="auto" w:val="clear"/>
            <w:vAlign w:val="bottom"/>
          </w:tcPr>
          <w:p>
            <w:pPr>
              <w:pStyle w:val="TableContents"/>
              <w:spacing w:before="0" w:after="283"/>
              <w:rPr/>
            </w:pPr>
            <w:r>
              <w:rPr/>
              <w:t> </w:t>
            </w:r>
          </w:p>
        </w:tc>
        <w:tc>
          <w:tcPr>
            <w:tcW w:w="6022" w:type="dxa"/>
            <w:tcBorders/>
            <w:shd w:fill="auto" w:val="clear"/>
          </w:tcPr>
          <w:p>
            <w:pPr>
              <w:pStyle w:val="TableContents"/>
              <w:spacing w:before="0" w:after="283"/>
              <w:jc w:val="right"/>
              <w:rPr>
                <w:b/>
                <w:color w:val="FF4338"/>
              </w:rPr>
            </w:pPr>
            <w:r>
              <w:rPr>
                <w:b/>
                <w:color w:val="FF4338"/>
              </w:rPr>
              <w:t>Subject to Completion April 20, 2023</w:t>
            </w:r>
          </w:p>
        </w:tc>
      </w:tr>
    </w:tbl>
    <w:p>
      <w:pPr>
        <w:pStyle w:val="TextBody"/>
        <w:spacing w:before="120" w:after="0"/>
        <w:jc w:val="center"/>
        <w:rPr>
          <w:rFonts w:ascii="Times New Roman" w:hAnsi="Times New Roman"/>
          <w:b/>
          <w:sz w:val="24"/>
        </w:rPr>
      </w:pPr>
      <w:r>
        <w:rPr>
          <w:rFonts w:ascii="Times New Roman" w:hAnsi="Times New Roman"/>
          <w:b/>
          <w:sz w:val="24"/>
        </w:rPr>
        <w:t xml:space="preserve">175,982,478 Shares of Class A Common Stock Issuable Upon the Exchange of Paired Interests </w:t>
      </w:r>
    </w:p>
    <w:p>
      <w:pPr>
        <w:pStyle w:val="TextBody"/>
        <w:spacing w:before="0" w:after="0"/>
        <w:jc w:val="center"/>
        <w:rPr>
          <w:rFonts w:ascii="Times New Roman" w:hAnsi="Times New Roman"/>
          <w:b/>
          <w:sz w:val="24"/>
        </w:rPr>
      </w:pPr>
      <w:r>
        <w:rPr>
          <w:rFonts w:ascii="Times New Roman" w:hAnsi="Times New Roman"/>
          <w:b/>
          <w:sz w:val="24"/>
        </w:rPr>
        <w:t xml:space="preserve">5,380,793 Shares of Class A Common Stock Issued in the PIPE Financing </w:t>
      </w:r>
    </w:p>
    <w:p>
      <w:pPr>
        <w:pStyle w:val="TextBody"/>
        <w:spacing w:before="0" w:after="0"/>
        <w:jc w:val="center"/>
        <w:rPr>
          <w:rFonts w:ascii="Times New Roman" w:hAnsi="Times New Roman"/>
          <w:b/>
          <w:sz w:val="24"/>
        </w:rPr>
      </w:pPr>
      <w:r>
        <w:rPr>
          <w:rFonts w:ascii="Times New Roman" w:hAnsi="Times New Roman"/>
          <w:b/>
          <w:sz w:val="24"/>
        </w:rPr>
        <w:t xml:space="preserve">4,685,529 Shares of Class A Common Stock Issued in Respect of Founder Shares </w:t>
      </w:r>
    </w:p>
    <w:p>
      <w:pPr>
        <w:pStyle w:val="TextBody"/>
        <w:spacing w:before="0" w:after="0"/>
        <w:jc w:val="center"/>
        <w:rPr>
          <w:rFonts w:ascii="Times New Roman" w:hAnsi="Times New Roman"/>
          <w:b/>
          <w:sz w:val="24"/>
        </w:rPr>
      </w:pPr>
      <w:r>
        <w:rPr>
          <w:rFonts w:ascii="Times New Roman" w:hAnsi="Times New Roman"/>
          <w:b/>
          <w:sz w:val="24"/>
        </w:rPr>
        <w:t xml:space="preserve">2,831,028 shares of Class A Common Stock Issued Upon the Exchange of a Portion of the Private Placement Warrants </w:t>
      </w:r>
    </w:p>
    <w:p>
      <w:pPr>
        <w:pStyle w:val="TextBody"/>
        <w:spacing w:before="0" w:after="0"/>
        <w:jc w:val="center"/>
        <w:rPr>
          <w:rFonts w:ascii="Times New Roman" w:hAnsi="Times New Roman"/>
          <w:b/>
          <w:sz w:val="24"/>
        </w:rPr>
      </w:pPr>
      <w:r>
        <w:rPr>
          <w:rFonts w:ascii="Times New Roman" w:hAnsi="Times New Roman"/>
          <w:b/>
          <w:sz w:val="24"/>
        </w:rPr>
        <w:t xml:space="preserve">2,365,192 Shares of Class A Common Stock Previously Issued upon the Exchange of Paired Interests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100965" cy="38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965" cy="38100"/>
                    </a:xfrm>
                    <a:prstGeom prst="rect">
                      <a:avLst/>
                    </a:prstGeom>
                  </pic:spPr>
                </pic:pic>
              </a:graphicData>
            </a:graphic>
          </wp:inline>
        </w:drawing>
      </w:r>
      <w:r>
        <w:rPr/>
        <w:t xml:space="preserv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18"/>
        </w:rPr>
      </w:pPr>
      <w:r>
        <w:rPr>
          <w:rFonts w:ascii="Times New Roman" w:hAnsi="Times New Roman"/>
          <w:sz w:val="18"/>
        </w:rPr>
        <w:t>This prospectus relates to the issuance by us and the resale by the Selling Securityholders (as defined in </w:t>
      </w:r>
      <w:r>
        <w:rPr>
          <w:rFonts w:ascii="Times New Roman" w:hAnsi="Times New Roman"/>
          <w:i/>
          <w:sz w:val="18"/>
        </w:rPr>
        <w:t>Selling Securityholders</w:t>
      </w:r>
      <w:r>
        <w:rPr>
          <w:rFonts w:ascii="Times New Roman" w:hAnsi="Times New Roman"/>
          <w:sz w:val="18"/>
        </w:rPr>
        <w:t> below) of up to 175,982,478 shares of Class A common stock, par value $0.0001 per share (Class A Common Stock), issuable upon the exchange of an equal number of Paired Interests. This prospectus also relates to the resale by the Selling Securityholders of (i) 5,380,793 shares of Class A Common Stock (the PIPE Shares) issued in the PIPE Financing; (ii) 4,685,529 shares of Class A Common Stock issued to VPC Impact Acquisition Holdings Sponsor, LLC (the Sponsor) and certain of its affiliates that relate to securities acquired by them prior to the IPO (the Founder Shares); (iii) 2,831,028 shares of Class A Common Stock issued to the Sponsor upon the exercise of a portion of the Private Placement Warrants (the Private Warrant Shares); and (iv) up to 2,365,192 shares of Class A Common Stock previously issued upon the exchange of an equal number of Paired Interests. Unless otherwise defined, capitalized terms have the meanings ascribed to them in the section titled </w:t>
      </w:r>
      <w:r>
        <w:rPr>
          <w:rFonts w:ascii="Times New Roman" w:hAnsi="Times New Roman"/>
          <w:i/>
          <w:sz w:val="18"/>
        </w:rPr>
        <w:t>About this Prospectus</w:t>
      </w:r>
      <w:r>
        <w:rPr>
          <w:rFonts w:ascii="Times New Roman" w:hAnsi="Times New Roman"/>
          <w:sz w:val="18"/>
        </w:rPr>
        <w:t xml:space="preserve"> below. </w:t>
      </w:r>
    </w:p>
    <w:p>
      <w:pPr>
        <w:pStyle w:val="TextBody"/>
        <w:spacing w:before="240" w:after="0"/>
        <w:jc w:val="left"/>
        <w:rPr>
          <w:rFonts w:ascii="Times New Roman" w:hAnsi="Times New Roman"/>
          <w:sz w:val="18"/>
        </w:rPr>
      </w:pPr>
      <w:r>
        <w:rPr>
          <w:rFonts w:ascii="Times New Roman" w:hAnsi="Times New Roman"/>
          <w:sz w:val="18"/>
        </w:rPr>
        <w:t>The Selling Securityholders may sell any, all or none of the securities and we do not know when or in what amount the Selling Securityholders may sell their securities hereunder following the date of this prospectus. The Selling Securityholders may sell the securities described in this prospectus in a number of different ways and at varying prices. See </w:t>
      </w:r>
      <w:r>
        <w:rPr>
          <w:rFonts w:ascii="Times New Roman" w:hAnsi="Times New Roman"/>
          <w:i/>
          <w:sz w:val="18"/>
        </w:rPr>
        <w:t>Plan of Distribution</w:t>
      </w:r>
      <w:r>
        <w:rPr>
          <w:rFonts w:ascii="Times New Roman" w:hAnsi="Times New Roman"/>
          <w:sz w:val="18"/>
        </w:rPr>
        <w:t xml:space="preserve"> for more information about how the Selling Securityholders may sell their securities. </w:t>
      </w:r>
    </w:p>
    <w:p>
      <w:pPr>
        <w:pStyle w:val="TextBody"/>
        <w:spacing w:before="240" w:after="0"/>
        <w:jc w:val="left"/>
        <w:rPr>
          <w:rFonts w:ascii="Times New Roman" w:hAnsi="Times New Roman"/>
          <w:sz w:val="18"/>
        </w:rPr>
      </w:pPr>
      <w:r>
        <w:rPr>
          <w:rFonts w:ascii="Times New Roman" w:hAnsi="Times New Roman"/>
          <w:sz w:val="18"/>
        </w:rPr>
        <w:t>We are registering the offer and sale of these securities to satisfy certain registration rights we have granted under certain agreements between us and the Selling Securityholders. We will not receive any of the proceeds from the sale of the securities by the Selling Securityholders. We will pay the expenses associated with registering the sales by the Selling Securityholders other than any underwriting discounts and commissions; see </w:t>
      </w:r>
      <w:r>
        <w:rPr>
          <w:rFonts w:ascii="Times New Roman" w:hAnsi="Times New Roman"/>
          <w:i/>
          <w:sz w:val="18"/>
        </w:rPr>
        <w:t>Use of Proceeds</w:t>
      </w:r>
      <w:r>
        <w:rPr>
          <w:rFonts w:ascii="Times New Roman" w:hAnsi="Times New Roman"/>
          <w:sz w:val="18"/>
        </w:rPr>
        <w:t xml:space="preserve"> for more information. </w:t>
      </w:r>
    </w:p>
    <w:p>
      <w:pPr>
        <w:pStyle w:val="TextBody"/>
        <w:spacing w:before="240" w:after="0"/>
        <w:jc w:val="left"/>
        <w:rPr>
          <w:rFonts w:ascii="Times New Roman" w:hAnsi="Times New Roman"/>
          <w:sz w:val="18"/>
        </w:rPr>
      </w:pPr>
      <w:r>
        <w:rPr>
          <w:rFonts w:ascii="Times New Roman" w:hAnsi="Times New Roman"/>
          <w:sz w:val="18"/>
        </w:rPr>
        <w:t xml:space="preserve">Our Class A Common Stock is listed on The New York Stock Exchange (NYSE) under the symbol BKKT and our warrants to purchase Class A Common Stock (the Warrants) are listed on NYSE under the symbol BKKT WS. On April 19, 2023, the last quoted sale price for our Class A Common Stock as reported on NYSE was $1.37 per share and the last quoted sale price for our Warrants as reported on NYSE was $0.21 per warrant. </w:t>
      </w:r>
    </w:p>
    <w:p>
      <w:pPr>
        <w:pStyle w:val="TextBody"/>
        <w:spacing w:before="240" w:after="0"/>
        <w:jc w:val="left"/>
        <w:rPr>
          <w:rFonts w:ascii="Times New Roman" w:hAnsi="Times New Roman"/>
          <w:b/>
          <w:sz w:val="18"/>
        </w:rPr>
      </w:pPr>
      <w:r>
        <w:rPr>
          <w:rFonts w:ascii="Times New Roman" w:hAnsi="Times New Roman"/>
          <w:b/>
          <w:sz w:val="18"/>
        </w:rPr>
        <w:t xml:space="preserve">We are an emerging growth company, as defined under the federal securities laws, and have elected to comply with certain reduced public company reporting requirements for this prospectus and for future filings.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pPr>
      <w:r>
        <w:rPr>
          <w:rFonts w:ascii="Times New Roman" w:hAnsi="Times New Roman"/>
          <w:b/>
          <w:sz w:val="22"/>
        </w:rPr>
        <w:t>Investing in our securities involves a high degree of risk. Before buying any securities, you should carefully read the discussion of the risks of investing in our securities in </w:t>
      </w:r>
      <w:hyperlink w:anchor="toc474504_4">
        <w:r>
          <w:rPr>
            <w:rStyle w:val="InternetLink"/>
            <w:rFonts w:ascii="Times New Roman" w:hAnsi="Times New Roman"/>
            <w:b/>
            <w:i/>
            <w:sz w:val="22"/>
          </w:rPr>
          <w:t>Risk Factors</w:t>
        </w:r>
      </w:hyperlink>
      <w:r>
        <w:rPr>
          <w:rFonts w:ascii="Times New Roman" w:hAnsi="Times New Roman"/>
          <w:b/>
          <w:sz w:val="22"/>
        </w:rPr>
        <w:t xml:space="preserve"> of this prospectus and any risk factors described in any amendments or supplements to this prospectus and in the documents incorporated by reference herein. </w:t>
      </w:r>
    </w:p>
    <w:p>
      <w:pPr>
        <w:pStyle w:val="TextBody"/>
        <w:spacing w:before="240" w:after="0"/>
        <w:jc w:val="left"/>
        <w:rPr>
          <w:rFonts w:ascii="Times New Roman" w:hAnsi="Times New Roman"/>
          <w:b/>
          <w:sz w:val="18"/>
        </w:rPr>
      </w:pPr>
      <w:r>
        <w:rPr>
          <w:rFonts w:ascii="Times New Roman" w:hAnsi="Times New Roman"/>
          <w:b/>
          <w:sz w:val="18"/>
        </w:rPr>
        <w:t xml:space="preserve">You should rely only on the information contained in this prospectus or any prospectus supplement or amendment hereto. We have not authorized anyone to provide you with different information. </w:t>
      </w:r>
    </w:p>
    <w:p>
      <w:pPr>
        <w:pStyle w:val="TextBody"/>
        <w:spacing w:before="24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18"/>
        </w:rPr>
      </w:pPr>
      <w:r>
        <w:rPr>
          <w:rFonts w:ascii="Times New Roman" w:hAnsi="Times New Roman"/>
          <w:b/>
          <w:sz w:val="18"/>
        </w:rPr>
        <w:t xml:space="preserve">Prospectus dated                  , 2023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284"/>
        <w:gridCol w:w="342"/>
        <w:gridCol w:w="96"/>
        <w:gridCol w:w="421"/>
        <w:gridCol w:w="62"/>
      </w:tblGrid>
      <w:tr>
        <w:trPr/>
        <w:tc>
          <w:tcPr>
            <w:tcW w:w="9284"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284"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5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toc474504_1">
              <w:r>
                <w:rPr>
                  <w:rStyle w:val="InternetLink"/>
                  <w:rFonts w:ascii="Times New Roman" w:hAnsi="Times New Roman"/>
                  <w:sz w:val="20"/>
                </w:rPr>
                <w:t>ABOUT THIS PROSPECTUS</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toc474504_2">
              <w:r>
                <w:rPr>
                  <w:rStyle w:val="InternetLink"/>
                  <w:rFonts w:ascii="Times New Roman" w:hAnsi="Times New Roman"/>
                  <w:sz w:val="20"/>
                </w:rPr>
                <w:t>PROSPECTUS SUMMARY</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3</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toc474504_3">
              <w:r>
                <w:rPr>
                  <w:rStyle w:val="InternetLink"/>
                  <w:rFonts w:ascii="Times New Roman" w:hAnsi="Times New Roman"/>
                  <w:sz w:val="20"/>
                </w:rPr>
                <w:t>THE OFFERING</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5</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toc474504_4">
              <w:r>
                <w:rPr>
                  <w:rStyle w:val="InternetLink"/>
                  <w:rFonts w:ascii="Times New Roman" w:hAnsi="Times New Roman"/>
                  <w:sz w:val="20"/>
                </w:rPr>
                <w:t>RISK FACTORS</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6</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toc474504_5">
              <w:r>
                <w:rPr>
                  <w:rStyle w:val="InternetLink"/>
                  <w:rFonts w:ascii="Times New Roman" w:hAnsi="Times New Roman"/>
                  <w:sz w:val="20"/>
                </w:rPr>
                <w:t>CAUTIONARY NOTE REGARDING FORWARD-LOOKING STATEMENTS</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7</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toc474504_6">
              <w:r>
                <w:rPr>
                  <w:rStyle w:val="InternetLink"/>
                  <w:rFonts w:ascii="Times New Roman" w:hAnsi="Times New Roman"/>
                  <w:sz w:val="20"/>
                </w:rPr>
                <w:t>USE OF PROCEEDS</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9</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toc474504_7">
              <w:r>
                <w:rPr>
                  <w:rStyle w:val="InternetLink"/>
                  <w:rFonts w:ascii="Times New Roman" w:hAnsi="Times New Roman"/>
                  <w:sz w:val="20"/>
                </w:rPr>
                <w:t>SELLING SECURITYHOLDERS</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10</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toc474504_8">
              <w:r>
                <w:rPr>
                  <w:rStyle w:val="InternetLink"/>
                  <w:rFonts w:ascii="Times New Roman" w:hAnsi="Times New Roman"/>
                  <w:sz w:val="20"/>
                </w:rPr>
                <w:t>DESCRIPTION OF SECURITIES</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13</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toc474504_9">
              <w:r>
                <w:rPr>
                  <w:rStyle w:val="InternetLink"/>
                  <w:rFonts w:ascii="Times New Roman" w:hAnsi="Times New Roman"/>
                  <w:sz w:val="20"/>
                </w:rPr>
                <w:t>PLAN OF DISTRIBUTION</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15</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toc474504_10">
              <w:r>
                <w:rPr>
                  <w:rStyle w:val="InternetLink"/>
                  <w:rFonts w:ascii="Times New Roman" w:hAnsi="Times New Roman"/>
                  <w:sz w:val="20"/>
                </w:rPr>
                <w:t>LEGAL MATTERS</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20</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toc474504_11">
              <w:r>
                <w:rPr>
                  <w:rStyle w:val="InternetLink"/>
                  <w:rFonts w:ascii="Times New Roman" w:hAnsi="Times New Roman"/>
                  <w:sz w:val="20"/>
                </w:rPr>
                <w:t>EXPERTS</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20</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toc474504_12">
              <w:r>
                <w:rPr>
                  <w:rStyle w:val="InternetLink"/>
                  <w:rFonts w:ascii="Times New Roman" w:hAnsi="Times New Roman"/>
                  <w:sz w:val="20"/>
                </w:rPr>
                <w:t>WHERE YOU CAN FIND ADDITIONAL INFORMATION</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20</w:t>
            </w:r>
          </w:p>
        </w:tc>
        <w:tc>
          <w:tcPr>
            <w:tcW w:w="62" w:type="dxa"/>
            <w:tcBorders/>
            <w:shd w:fill="auto" w:val="clear"/>
            <w:vAlign w:val="bottom"/>
          </w:tcPr>
          <w:p>
            <w:pPr>
              <w:pStyle w:val="TableContents"/>
              <w:spacing w:before="0" w:after="283"/>
              <w:rPr/>
            </w:pPr>
            <w:r>
              <w:rPr/>
              <w:t> </w:t>
            </w:r>
          </w:p>
        </w:tc>
      </w:tr>
      <w:tr>
        <w:trPr/>
        <w:tc>
          <w:tcPr>
            <w:tcW w:w="9284" w:type="dxa"/>
            <w:tcBorders/>
            <w:shd w:fill="auto" w:val="clear"/>
            <w:vAlign w:val="bottom"/>
          </w:tcPr>
          <w:p>
            <w:pPr>
              <w:pStyle w:val="TableContents"/>
              <w:spacing w:before="0" w:after="0"/>
              <w:rPr/>
            </w:pPr>
            <w:hyperlink w:anchor="toc474504_13">
              <w:r>
                <w:rPr>
                  <w:rStyle w:val="InternetLink"/>
                  <w:rFonts w:ascii="Times New Roman" w:hAnsi="Times New Roman"/>
                  <w:sz w:val="20"/>
                </w:rPr>
                <w:t>INCORPORATION BY REFERENCE</w:t>
              </w:r>
            </w:hyperlink>
          </w:p>
        </w:tc>
        <w:tc>
          <w:tcPr>
            <w:tcW w:w="34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jc w:val="right"/>
              <w:rPr/>
            </w:pPr>
            <w:r>
              <w:rPr/>
              <w:t>20</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oc474504_1"/>
      <w:bookmarkEnd w:id="3"/>
      <w:r>
        <w:rPr>
          <w:rFonts w:ascii="Times New Roman" w:hAnsi="Times New Roman"/>
          <w:b/>
          <w:sz w:val="20"/>
        </w:rPr>
        <w:t xml:space="preserve">ABOUT THIS PROSPECTUS </w:t>
      </w:r>
    </w:p>
    <w:p>
      <w:pPr>
        <w:pStyle w:val="TextBody"/>
        <w:spacing w:before="240" w:after="0"/>
        <w:jc w:val="left"/>
        <w:rPr>
          <w:rFonts w:ascii="Times New Roman" w:hAnsi="Times New Roman"/>
          <w:sz w:val="20"/>
        </w:rPr>
      </w:pPr>
      <w:r>
        <w:rPr>
          <w:rFonts w:ascii="Times New Roman" w:hAnsi="Times New Roman"/>
          <w:sz w:val="20"/>
        </w:rPr>
        <w:t>This prospectus is part of a registration statement on Form S-3 that we filed with the Securities and Exchange Commission (the SEC) using a shelf registration process. Under this shelf registration process, the Selling Securityholders and their permitted transferees may, from time to time, sell the securities offered by them described in this prospectus in one or more offerings through any means described in the section entitled </w:t>
      </w:r>
      <w:r>
        <w:rPr>
          <w:rFonts w:ascii="Times New Roman" w:hAnsi="Times New Roman"/>
          <w:i/>
          <w:sz w:val="20"/>
        </w:rPr>
        <w:t>Plan of Distribution</w:t>
      </w:r>
      <w:r>
        <w:rPr>
          <w:rFonts w:ascii="Times New Roman" w:hAnsi="Times New Roman"/>
          <w:sz w:val="20"/>
        </w:rPr>
        <w:t xml:space="preserve">. We will not receive any proceeds from the sale by such Selling Securityholders of the securities offered by them described in this prospectus. </w:t>
      </w:r>
    </w:p>
    <w:p>
      <w:pPr>
        <w:pStyle w:val="TextBody"/>
        <w:spacing w:before="240" w:after="0"/>
        <w:jc w:val="left"/>
        <w:rPr>
          <w:rFonts w:ascii="Times New Roman" w:hAnsi="Times New Roman"/>
          <w:sz w:val="20"/>
        </w:rPr>
      </w:pPr>
      <w:r>
        <w:rPr>
          <w:rFonts w:ascii="Times New Roman" w:hAnsi="Times New Roman"/>
          <w:sz w:val="20"/>
        </w:rPr>
        <w:t>This prospectus provides you with a general description of the securities that may be offered. To the extent necessary, each time that the Selling Securityholders offer and sell securities, we or the Selling Securityholders may provide a prospectus supplement to this prospectus that contains specific information about the securities being offered and sold and the specific terms of that offering. To the extent permitted by law, we may also authorize one or more free writing prospectuses that may contain material information relating to these offerings. Such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any applicable prospectus supplement (and any applicable free writing prospectuses), together with the additional information described under the heading </w:t>
      </w:r>
      <w:r>
        <w:rPr>
          <w:rFonts w:ascii="Times New Roman" w:hAnsi="Times New Roman"/>
          <w:i/>
          <w:sz w:val="20"/>
        </w:rPr>
        <w:t>Where You Can Find Additional Information</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Neither we nor the Selling Securityholders have authorized anyone to provide you with any information or to make any representations other than those contained, or incorporated by reference, in this prospectus, any applicable prospectus supplement or in any related free writing prospectus. Neither we nor the Selling Securityholders take any responsibility for, nor provide any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and any applicable prospectus supplement to this prospectus is accurate only as of the date on the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materially since those dates. </w:t>
      </w:r>
    </w:p>
    <w:p>
      <w:pPr>
        <w:pStyle w:val="TextBody"/>
        <w:spacing w:before="240" w:after="0"/>
        <w:jc w:val="left"/>
        <w:rPr>
          <w:rFonts w:ascii="Times New Roman" w:hAnsi="Times New Roman"/>
          <w:sz w:val="20"/>
        </w:rPr>
      </w:pPr>
      <w:r>
        <w:rPr>
          <w:rFonts w:ascii="Times New Roman" w:hAnsi="Times New Roman"/>
          <w:sz w:val="20"/>
        </w:rPr>
        <w:t>This prospectus, any prospectus supplement or free writing prospectus, and the documents incorporated by reference therein, contain summaries of certain provisions contained in some of the documents described or incorporated by reference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t>
      </w:r>
      <w:r>
        <w:rPr>
          <w:rFonts w:ascii="Times New Roman" w:hAnsi="Times New Roman"/>
          <w:i/>
          <w:sz w:val="20"/>
        </w:rPr>
        <w:t>Where You Can Find Additional Information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For investors outside of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 </w:t>
      </w:r>
    </w:p>
    <w:p>
      <w:pPr>
        <w:pStyle w:val="TextBody"/>
        <w:spacing w:before="240" w:after="0"/>
        <w:jc w:val="left"/>
        <w:rPr>
          <w:rFonts w:ascii="Times New Roman" w:hAnsi="Times New Roman"/>
          <w:sz w:val="20"/>
        </w:rPr>
      </w:pPr>
      <w:r>
        <w:rPr>
          <w:rFonts w:ascii="Times New Roman" w:hAnsi="Times New Roman"/>
          <w:sz w:val="20"/>
        </w:rPr>
        <w:t xml:space="preserve">Reference is made in this prospectus to the business combination that Bakkt Holdings, Inc., a Delaware corporation (f/k/a VPC Impact Acquisition Holdings, a Cayman Islands exempted company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consummated on October 15, 2021 (the Closing) pursuant to that certain Agreement and Plan of Merger, dated as of January 11, 2021 (as amended, the Merger Agreement), by and among the Company, Pylon Merger Company LLC, a Delaware limited liability company and wholly owned subsidiary of the Company (Merger Sub), and Bakkt Opco Holdings, LLC, a Delaware limited liability company (f/k/a/ Bakkt Holdings, LLC (Opco)). Pursuant to the terms of the Merger Agreement, Merger Sub merged with and into Opco, with Opco surviving as a direct subsidiary of the Company (the Merger). Unless otherwise noted or the context otherwise requires, references to we, us, our, Bakkt and like terms refer (i) prior to the Closing, to Opco and its subsidiaries and (ii) after the Closing, to Bakkt Holdings, Inc. and its subsidiaries, including Opco. In connection with the transactions contemplated by the Merger Agreement (the Business Combination), the Company effected a deregistration under the Cayman Islands Companies Law (2020 Revision) and a domestication under Section 388 of the Delaware General Corporation Law (DGCL), pursuant to which the Companys jurisdiction of incorporation was changed from the Cayman Islands to the State of Delaware and changed its name to Bakkt Holdings, Inc. </w:t>
      </w:r>
    </w:p>
    <w:p>
      <w:pPr>
        <w:pStyle w:val="TextBody"/>
        <w:spacing w:before="240" w:after="0"/>
        <w:jc w:val="left"/>
        <w:rPr>
          <w:rFonts w:ascii="Times New Roman" w:hAnsi="Times New Roman"/>
          <w:sz w:val="20"/>
        </w:rPr>
      </w:pPr>
      <w:r>
        <w:rPr>
          <w:rFonts w:ascii="Times New Roman" w:hAnsi="Times New Roman"/>
          <w:sz w:val="20"/>
        </w:rPr>
        <w:t xml:space="preserve">As a result of the domestication, (i) all 12,285,160 outstanding Class A ordinary shares of the Company, par value $0.0001 per share, and 5,184,300 Class B ordinary shares of the Company, par value $0.0001 per share (the Founder Shares), issued to the Sponsor and certain of its affiliates, were exchanged for an equivalent number of shares of Class A Common Stock and (ii) all 10,368,601 outstanding warrants to purchase Class A ordinary shares at $11.50 per share issued in connection with the Companys initial public offering (the IPO) and the 6,147,440 warrants issued to the Sponsor in a private placement concurrently with the IPO (the Private Placement Warrants) were exchanged for an equivalent number of Warrants to purchase Class A Common Stock. On November 17, 2021, in accordance with the terms of the Warrant Agreement governing the Companys warrants (as amended, the Warrant Agreement), the Company issued and delivered the Private Warrant Shares to the Sponsor in satisfaction of the cashless exercise of all 6,147,440 of the Private Placement Warrants. The Company received no consideration from the delivery of the Private Warrant Shares. </w:t>
      </w:r>
    </w:p>
    <w:p>
      <w:pPr>
        <w:pStyle w:val="TextBody"/>
        <w:spacing w:before="240" w:after="0"/>
        <w:jc w:val="left"/>
        <w:rPr>
          <w:rFonts w:ascii="Times New Roman" w:hAnsi="Times New Roman"/>
          <w:sz w:val="20"/>
        </w:rPr>
      </w:pPr>
      <w:r>
        <w:rPr>
          <w:rFonts w:ascii="Times New Roman" w:hAnsi="Times New Roman"/>
          <w:sz w:val="20"/>
        </w:rPr>
        <w:t xml:space="preserve">At the Closing, in accordance with the Merger Agreement, Opco equity holders (the Opco Equity Holders) received an aggregate of 208,200,000 common units of Opco (Opco Common Units) and a corresponding number of shares of Class V common stock, par value $0.0001 per share, of the Company (Class V Common Stock, and each share of Class V Common Stock, when coupled with one Opco Common Unit, a Paired Interest) or warrants to purchase Opco Common Units and an equal number of Class V Common Stock. Pursuant to the Third Amended and Restated LLC Agreement of Opco (the Opco LLC Agreement), and an exchange agreement among the Company, Opco and the Opco Equity Holders (the Exchange Agreement), each entered into in connection with the Business Combination, each Paired Interest may be exchanged for one share of Class A Common Stock or a specified cash amount, subject to certain limitations. Also concurrently with the Closing, the Company entered into a Registration Rights Agreement (the Registration Rights Agreement) with the Sponsor, the Opco Equity Holders and certain other parties named therein, pursuant to which we gave certain registration rights to the Opco Equity Holders. </w:t>
      </w:r>
    </w:p>
    <w:p>
      <w:pPr>
        <w:pStyle w:val="TextBody"/>
        <w:spacing w:before="240" w:after="0"/>
        <w:jc w:val="left"/>
        <w:rPr>
          <w:rFonts w:ascii="Times New Roman" w:hAnsi="Times New Roman"/>
          <w:sz w:val="20"/>
        </w:rPr>
      </w:pPr>
      <w:r>
        <w:rPr>
          <w:rFonts w:ascii="Times New Roman" w:hAnsi="Times New Roman"/>
          <w:sz w:val="20"/>
        </w:rPr>
        <w:t xml:space="preserve">In connection with the consummation of the Business Combination, certain qualified institutional buyers and accredited investors (the PIPE Investors) purchased the PIPE Shares from the Company for a purchase price of $10.00 per share and an aggregate purchase price of $325 million (the PIPE Financing), pursuant to Subscription Agreements between the several PIPE Investors and the Company (the Subscription Agreements). Pursuant to the Subscription Agreements, the Company gave certain registration rights to the PIPE Investors with respect to the PIPE Shares.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4" w:name="toc474504_2"/>
      <w:bookmarkEnd w:id="4"/>
      <w:r>
        <w:rPr>
          <w:rFonts w:ascii="Times New Roman" w:hAnsi="Times New Roman"/>
          <w:b/>
          <w:sz w:val="20"/>
          <w:bdr w:val="single" w:sz="8" w:space="1" w:color="000000"/>
        </w:rPr>
        <w:t xml:space="preserve">PROSPECTUS SUMMARY </w:t>
      </w:r>
    </w:p>
    <w:p>
      <w:pPr>
        <w:pStyle w:val="TextBody"/>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highlights information contained elsewhere in this prospectus or incorporated by reference into this prospectus. It does not contain all the information you should consider before investing in our securities. Before making an investment decision, you should read this entire prospectus carefully, including the sections titled Risk Factors, and in the documents we have incorporated by reference in this prospectus, along with our consolidated financial statements and related notes and other information that we incorporate by reference herein, including our most recent Annual Report on Form 10-K and our Quarterly Reports on Form 10-Q filed subsequently to such Form 10-K. For certain defined terms and background information, please see About this Prospectus.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interfaces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or are working to provide, simplified solutions focused in the following areas: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Crypto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Custody</w:t>
            </w:r>
            <w:r>
              <w:rPr>
                <w:rFonts w:ascii="Times New Roman" w:hAnsi="Times New Roman"/>
                <w:sz w:val="20"/>
              </w:rPr>
              <w:t xml:space="preserve">. Our institutional-grade qualified custody solution caters to more experienced market participants, offering a highly secure and compliance-focused infrastructure.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Crypto Connect</w:t>
            </w:r>
            <w:r>
              <w:rPr>
                <w:rFonts w:ascii="Times New Roman" w:hAnsi="Times New Roman"/>
                <w:sz w:val="20"/>
              </w:rPr>
              <w:t xml:space="preserve">. Our platform provides consumers, businesses and institutions with the ability to buy, sell and store crypto in a simple, intuitive digital experience accessed via APIs or embedded web experience.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Crypto Rewards</w:t>
            </w:r>
            <w:r>
              <w:rPr>
                <w:rFonts w:ascii="Times New Roman" w:hAnsi="Times New Roman"/>
                <w:sz w:val="20"/>
              </w:rPr>
              <w:t xml:space="preserve">. We are in the process of enabling clients of all sizes to offer loyalty and rewards to their customers in the form of crypto  either by earning crypto rewards, or by redeeming existing reward currencies, such as points or miles, into crypto.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Crypto Payouts</w:t>
            </w:r>
            <w:r>
              <w:rPr>
                <w:rFonts w:ascii="Times New Roman" w:hAnsi="Times New Roman"/>
                <w:sz w:val="20"/>
              </w:rPr>
              <w:t xml:space="preserve">. We are in the process of enabling consumers to automatically invest a portion of payments into crypto. Crypto payouts allow for new cases (for instance, for gig economy or marketplace participants such as freelancers, content providers, and delivery workers to receive their wages in crypto). </w:t>
            </w:r>
          </w:p>
        </w:tc>
      </w:tr>
    </w:tbl>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Loyalty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w:t>
            </w:r>
          </w:p>
        </w:tc>
      </w:tr>
    </w:tbl>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10000 Avalon Boulevard, Suite 1000, Alpharetta, Georgia 30009. Our telephone number is (678) 534-5849. Our website is </w:t>
      </w:r>
      <w:r>
        <w:rPr>
          <w:rFonts w:ascii="Times New Roman" w:hAnsi="Times New Roman"/>
          <w:i/>
          <w:sz w:val="20"/>
          <w:bdr w:val="single" w:sz="8" w:space="1" w:color="000000"/>
        </w:rPr>
        <w:t>https://www.bakkt.com</w:t>
      </w:r>
      <w:r>
        <w:rPr>
          <w:rFonts w:ascii="Times New Roman" w:hAnsi="Times New Roman"/>
          <w:sz w:val="20"/>
          <w:bdr w:val="single" w:sz="8" w:space="1" w:color="000000"/>
        </w:rPr>
        <w:t xml:space="preserve">. Information contained on, or that can be accessed through, our website is not a part of, and is not incorporated into, this prospectus, and the inclusion of our website address in this prospectus is an inactive textual reference only.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Jumpstart Our Business Startups Act of 2012, as amended, (the JOBS Act). As such, we may take advantage of reduced disclosure and other requirements otherwise generally applicable to public companies, including: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presentation of only two years of audited financial statements and related financial disclosure;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exemption from the requirement to have our registered independent public accounting firm attest to managements assessment of our internal control over financial reporting;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exemption from compliance with the requirement of the Public Company Accounting Oversight Board, or PCAOB, regarding the communication of critical audit matters in the auditors report on the financial statements;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reduced disclosure about our executive compensation arrangements;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exemption from the requirement to hold non-binding advisory votes on executive compensation or golden parachute arrangements.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earliest to occur of: (1) the last day of the fiscal year in which we have at least $1.07 billion in annual revenue; (2) the date we qualify as a large accelerated filer,  with at least $700.0 million of equity securities held by non-affiliates; (3) the date on which we have issued more than $1.0 billion in non-convertible debt securities during the prior three-year period; and (4) the last day of the fiscal year ending after the fifth anniversary of the IPO.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result of this status, we have taken advantage of reduced reporting requirements in the documents incorporated by reference in this prospectus and may elect to take advantage of other reduced reporting requirements in our future filings with the SEC. In particular, in the documents incorporated by reference in this prospectus, we have provided only two years of audited financial statements and only two years of related managements discussion and analysis of financial condition and results of operations, and we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Rule 12b-2 promulgated under the Securities Exchange Act of 1934, as amended (the Exchange Act). We will remain a smaller reporting company until the last day of the fiscal year in which the aggregate market value of our common stock that is held by non-affiliates is at least $250 million or the last day of the fiscal year in which we have at least $100 million in revenue and the aggregate market value of our common stock that is held by non-affiliates is at least $700 million (in each case, with respect to the aggregate market value of our common stock held by non-affiliates, as measured as of the last business day of the second quarter of such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5" w:name="toc474504_3"/>
      <w:bookmarkEnd w:id="5"/>
      <w:r>
        <w:rPr>
          <w:rFonts w:ascii="Times New Roman" w:hAnsi="Times New Roman"/>
          <w:b/>
          <w:sz w:val="20"/>
          <w:bdr w:val="single" w:sz="8" w:space="1" w:color="000000"/>
        </w:rPr>
        <w:t xml:space="preserve">THE OFFERING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Shares of Common Stock Offered Hereunder </w:t>
            </w:r>
          </w:p>
        </w:tc>
        <w:tc>
          <w:tcPr>
            <w:tcW w:w="6329" w:type="dxa"/>
            <w:tcBorders/>
            <w:shd w:fill="auto" w:val="clear"/>
          </w:tcPr>
          <w:p>
            <w:pPr>
              <w:pStyle w:val="TableContents"/>
              <w:spacing w:before="0" w:after="283"/>
              <w:rPr/>
            </w:pPr>
            <w:r>
              <w:rPr/>
              <w:t xml:space="preserve">We are registering the issuance by us and the resale by the Selling Securityholders of up to 175,982,478 shares Class A Common Stock issuable upon the exchange of an equal number of Paired Interests. We are also registering the resale by the Selling Securityholders of (i) 5,380,793 PIPE Shares, (ii) 4,685,529 shares of Class A Common Stock issued in respect of Founder Shares, (iii) 2,831,028 Private Warrant Shares and (iv) 2,365,192 shares of Class A Common Stock previously issued upon the exchange of an equal number of Paired Interests.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All aforementioned shares of Common Stock were initially registered in our Initial Registration Statement, and no new shares are being registered hereunder.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Use of Proceeds </w:t>
            </w:r>
          </w:p>
        </w:tc>
        <w:tc>
          <w:tcPr>
            <w:tcW w:w="6326" w:type="dxa"/>
            <w:tcBorders/>
            <w:shd w:fill="auto" w:val="clear"/>
          </w:tcPr>
          <w:p>
            <w:pPr>
              <w:pStyle w:val="TableContents"/>
              <w:spacing w:before="0" w:after="283"/>
              <w:rPr/>
            </w:pPr>
            <w:r>
              <w:rPr/>
              <w:t>All of the securities offered by the Selling Securityholders pursuant to this prospectus will be sold by the Selling Securityholders for their respective accounts. We will not receive any of the proceeds from the sale of the securities hereunder. See </w:t>
            </w:r>
            <w:r>
              <w:rPr>
                <w:i/>
              </w:rPr>
              <w:t>Use of Proceeds</w:t>
            </w:r>
            <w:r>
              <w:rPr/>
              <w:t xml:space="preserve"> for more information.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Common Stock Outstanding </w:t>
            </w:r>
          </w:p>
        </w:tc>
        <w:tc>
          <w:tcPr>
            <w:tcW w:w="6328" w:type="dxa"/>
            <w:tcBorders/>
            <w:shd w:fill="auto" w:val="clear"/>
          </w:tcPr>
          <w:p>
            <w:pPr>
              <w:pStyle w:val="TableContents"/>
              <w:spacing w:before="0" w:after="283"/>
              <w:rPr/>
            </w:pPr>
            <w:r>
              <w:rPr/>
              <w:t xml:space="preserve">82,624,773 shares of Class A Common Stock as of April 14, 2023.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183,476,887 shares of Class V Common Stock (which, together with an equal number of Opco Common Units comprise an equal number of Paired Interests, please see </w:t>
            </w:r>
            <w:r>
              <w:rPr>
                <w:i/>
              </w:rPr>
              <w:t>Description of SecuritiesCommon Stock</w:t>
            </w:r>
            <w:r>
              <w:rPr/>
              <w:t xml:space="preserve"> for more information) as of April 14, 2023. An additional 793,352 shares of Class V Common Stock (along with an equal number of Opco Common Units) are issuable upon the exercise of a warrant.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Risk Factors </w:t>
            </w:r>
          </w:p>
        </w:tc>
        <w:tc>
          <w:tcPr>
            <w:tcW w:w="6328" w:type="dxa"/>
            <w:tcBorders/>
            <w:shd w:fill="auto" w:val="clear"/>
          </w:tcPr>
          <w:p>
            <w:pPr>
              <w:pStyle w:val="TableContents"/>
              <w:spacing w:before="0" w:after="283"/>
              <w:rPr/>
            </w:pPr>
            <w:r>
              <w:rPr/>
              <w:t>See </w:t>
            </w:r>
            <w:r>
              <w:rPr>
                <w:i/>
              </w:rPr>
              <w:t>Risk Factors</w:t>
            </w:r>
            <w:r>
              <w:rPr/>
              <w:t xml:space="preserve"> and other information included or incorporated by reference in this prospectus for a discussion of factors that you should consider carefully before deciding to invest in our common stock.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NYSE Symbol </w:t>
            </w:r>
          </w:p>
        </w:tc>
        <w:tc>
          <w:tcPr>
            <w:tcW w:w="6327" w:type="dxa"/>
            <w:tcBorders/>
            <w:shd w:fill="auto" w:val="clear"/>
          </w:tcPr>
          <w:p>
            <w:pPr>
              <w:pStyle w:val="TableContents"/>
              <w:spacing w:before="0" w:after="283"/>
              <w:rPr/>
            </w:pPr>
            <w:r>
              <w:rPr/>
              <w:t xml:space="preserve">BKKT for our Class A Common Stock and BKKT WS for our Warrants.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oc474504_4"/>
      <w:bookmarkEnd w:id="6"/>
      <w:r>
        <w:rPr>
          <w:rFonts w:ascii="Times New Roman" w:hAnsi="Times New Roman"/>
          <w:b/>
          <w:sz w:val="20"/>
        </w:rPr>
        <w:t xml:space="preserve">RISK FACTORS </w:t>
      </w:r>
    </w:p>
    <w:p>
      <w:pPr>
        <w:pStyle w:val="TextBody"/>
        <w:spacing w:before="240" w:after="0"/>
        <w:jc w:val="left"/>
        <w:rPr>
          <w:rFonts w:ascii="Times New Roman" w:hAnsi="Times New Roman"/>
          <w:sz w:val="20"/>
        </w:rPr>
      </w:pPr>
      <w:r>
        <w:rPr>
          <w:rFonts w:ascii="Times New Roman" w:hAnsi="Times New Roman"/>
          <w:sz w:val="20"/>
        </w:rPr>
        <w:t>Investing in our securities involves a high degree of risk. Before making an investment decision, you should consider carefully the risks, uncertainties and assumptions discussed under </w:t>
      </w:r>
      <w:r>
        <w:rPr>
          <w:rFonts w:ascii="Times New Roman" w:hAnsi="Times New Roman"/>
          <w:i/>
          <w:sz w:val="20"/>
        </w:rPr>
        <w:t>Part IItem 1ARisk Factors</w:t>
      </w:r>
      <w:r>
        <w:rPr>
          <w:rFonts w:ascii="Times New Roman" w:hAnsi="Times New Roman"/>
          <w:sz w:val="20"/>
        </w:rPr>
        <w:t> of our most recent Annual Report on Form 10-K and in </w:t>
      </w:r>
      <w:r>
        <w:rPr>
          <w:rFonts w:ascii="Times New Roman" w:hAnsi="Times New Roman"/>
          <w:i/>
          <w:sz w:val="20"/>
        </w:rPr>
        <w:t>Part IIItem 1ARisk Factors</w:t>
      </w:r>
      <w:r>
        <w:rPr>
          <w:rFonts w:ascii="Times New Roman" w:hAnsi="Times New Roman"/>
          <w:sz w:val="20"/>
        </w:rPr>
        <w:t> in our Quarterly Reports on Form 10-Q filed subsequently to such Form 10-K that are incorporated herein by reference, as may be amended, supplemented or superseded from time to time by other reports we file with the SEC in the future, and all other information contained or incorporated by reference into this prospectus, as updated by our subsequent filings under the Exchange Act, and the risk factors and other information contained in any applicable prospectus supplement and any applicable free writing prospectus. The risks described in these documents are not the only ones we face</w:t>
      </w:r>
      <w:r>
        <w:rPr>
          <w:rFonts w:ascii="Times New Roman" w:hAnsi="Times New Roman"/>
          <w:i/>
          <w:sz w:val="20"/>
        </w:rPr>
        <w:t xml:space="preserve">. </w:t>
      </w:r>
      <w:r>
        <w:rPr>
          <w:rFonts w:ascii="Times New Roman" w:hAnsi="Times New Roman"/>
          <w:sz w:val="20"/>
        </w:rPr>
        <w:t>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securities could decline, and you could lose part or all of your investment. Please also carefully read the section titled </w:t>
      </w:r>
      <w:r>
        <w:rPr>
          <w:rFonts w:ascii="Times New Roman" w:hAnsi="Times New Roman"/>
          <w:i/>
          <w:sz w:val="20"/>
        </w:rPr>
        <w:t>Cautionary Note Regarding Forward-Looking Statements</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oc474504_5"/>
      <w:bookmarkEnd w:id="7"/>
      <w:r>
        <w:rPr>
          <w:rFonts w:ascii="Times New Roman" w:hAnsi="Times New Roman"/>
          <w:b/>
          <w:sz w:val="20"/>
        </w:rPr>
        <w:t xml:space="preserve">CAUTIONARY NOTE REGARDING 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future financial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market for our products and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our acquisition of Apex Crypto, LLC (Apex Crypto);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expansion plans and opportunities. </w:t>
            </w:r>
          </w:p>
        </w:tc>
      </w:tr>
    </w:tbl>
    <w:p>
      <w:pPr>
        <w:pStyle w:val="TextBody"/>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they were made and reflect managements expectations, forecasts and assumptions as of such date,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 </w:t>
      </w:r>
    </w:p>
    <w:p>
      <w:pPr>
        <w:pStyle w:val="TextBody"/>
        <w:spacing w:before="240" w:after="0"/>
        <w:jc w:val="left"/>
        <w:rPr>
          <w:rFonts w:ascii="Times New Roman" w:hAnsi="Times New Roman"/>
          <w:sz w:val="20"/>
        </w:rPr>
      </w:pPr>
      <w:r>
        <w:rPr>
          <w:rFonts w:ascii="Times New Roman" w:hAnsi="Times New Roman"/>
          <w:sz w:val="20"/>
        </w:rPr>
        <w:t xml:space="preserve">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grow and manage growth profitably;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our business strategy;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market in which we compete, including with respect to our competitive landscape, technology evolution or changes in applicable laws or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the markets that we target;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disruptions in the crypto market that subject us to additional risks, including the risk that banks may not provide banking services to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possibility that we may be adversely affected by other economic, business, and/or competitive factors;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to launch new services and products or to profitably expand into new markets and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to execute our growth strategies, including identifying and executing acquisitions and our initiatives to add new clients;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successfully integrate the Apex Crypto business and employees, and to achieve the expected benefits from the acquisition;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failure to comply with extensive government regulation, oversight, licensure and appraisals;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uncertain regulatory regime governing blockchain technologies and crypto;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to develop and maintain effective internal controls and procedures;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exposure to any liability, protracted and costly litigation or reputational damage relating to our data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any goodwill or other intangible assets impairments on our operating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any pandemics or other public health emergencies;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inability to maintain the listing of our securities on the NYSE;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other risks and uncertainties indicated in this prospectus, including those set forth under </w:t>
            </w:r>
            <w:r>
              <w:rPr>
                <w:rFonts w:ascii="Times New Roman" w:hAnsi="Times New Roman"/>
                <w:i/>
                <w:sz w:val="20"/>
              </w:rPr>
              <w:t>Risk Factors</w:t>
            </w:r>
            <w:r>
              <w:rPr>
                <w:rFonts w:ascii="Times New Roman" w:hAnsi="Times New Roman"/>
                <w:sz w:val="20"/>
              </w:rPr>
              <w:t xml:space="preserve"> and any risk factors described in any amendments or supplements to this prospectus and in the documents incorporated by reference herein.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oc474504_6"/>
      <w:bookmarkEnd w:id="8"/>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All of the securities offered by the Selling Securityholders pursuant to this prospectus will be sold by the Selling Securityholders for their respective accounts. We will not receive any of the proceeds from the sale of the securities hereunder. </w:t>
      </w:r>
    </w:p>
    <w:p>
      <w:pPr>
        <w:pStyle w:val="TextBody"/>
        <w:spacing w:before="240" w:after="0"/>
        <w:jc w:val="left"/>
        <w:rPr>
          <w:rFonts w:ascii="Times New Roman" w:hAnsi="Times New Roman"/>
          <w:sz w:val="20"/>
        </w:rPr>
      </w:pPr>
      <w:r>
        <w:rPr>
          <w:rFonts w:ascii="Times New Roman" w:hAnsi="Times New Roman"/>
          <w:sz w:val="20"/>
        </w:rPr>
        <w:t xml:space="preserve">With respect to the registration of all shares of Class A Common Stock that may be offered for resale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would not receive any proceeds from the resale of such securities but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oc474504_7"/>
      <w:bookmarkEnd w:id="9"/>
      <w:r>
        <w:rPr>
          <w:rFonts w:ascii="Times New Roman" w:hAnsi="Times New Roman"/>
          <w:b/>
          <w:sz w:val="20"/>
        </w:rPr>
        <w:t xml:space="preserve">SELLING SECURITYHOLDERS </w:t>
      </w:r>
    </w:p>
    <w:p>
      <w:pPr>
        <w:pStyle w:val="TextBody"/>
        <w:spacing w:before="240" w:after="0"/>
        <w:jc w:val="left"/>
        <w:rPr>
          <w:rFonts w:ascii="Times New Roman" w:hAnsi="Times New Roman"/>
          <w:sz w:val="20"/>
        </w:rPr>
      </w:pPr>
      <w:r>
        <w:rPr>
          <w:rFonts w:ascii="Times New Roman" w:hAnsi="Times New Roman"/>
          <w:sz w:val="20"/>
        </w:rPr>
        <w:t xml:space="preserve">This prospectus relates to the issuance by us and the resale by the Selling Securityholders of up to 175,982,478 shares Class A Common Stock issuable upon the exchange of an equal number of Paired Interests. This prospectus also relates to the resale by the Selling Securityholders of (i) 5,380,793 PIPE Shares, (ii) 4,685,529 Shares of Class A Common Stock issued in respect of Founder Shares, (iii) 2,831,028 Private Warrant Shares and (iv) and 2,365,192 shares of Class A Common Stock previously issued upon the exchange of an equal number of Paired Interests, which we are registering pursuant to the Registration Rights Agreement and the Subscription Agreements, as applicable.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may from time to time offer and sell any or all of the Class A Common Stock set forth below pursuant to this prospectus and any accompanying prospectus supplement. When we refer to the Selling Securityholders in this prospectus, we mean the persons listed in the table below, including those aggregated as part of a group, and the pledgees, distributees, donees, transferees, assignees, successors, designees and others who later come to hold any of the Selling Securityholders interest in the Class A Common Stock other than through a public sale. We cannot advise you as to whether the Selling Securityholders will in fact sell any or all of such Class A Common Stock. In addition, the Selling Securityholders may sell, transfer or otherwise dispose of, at any time and from time to time, the Class A Common Stock in transactions exempt from the registration requirements of the Securities Act of 1933, as amended (the Securities Act), after the date of this prospectus. For purposes of this table, we have assumed that the Selling Securityholders will have sold all of the Securities covered by this prospectus upon the completion of the offering. </w:t>
      </w:r>
    </w:p>
    <w:p>
      <w:pPr>
        <w:pStyle w:val="TextBody"/>
        <w:spacing w:before="240" w:after="0"/>
        <w:jc w:val="left"/>
        <w:rPr>
          <w:rFonts w:ascii="Times New Roman" w:hAnsi="Times New Roman"/>
          <w:sz w:val="20"/>
        </w:rPr>
      </w:pPr>
      <w:r>
        <w:rPr>
          <w:rFonts w:ascii="Times New Roman" w:hAnsi="Times New Roman"/>
          <w:sz w:val="20"/>
        </w:rPr>
        <w:t>For information regarding transactions between us and the Selling Securityholders, see the section titled </w:t>
      </w:r>
      <w:r>
        <w:rPr>
          <w:rFonts w:ascii="Times New Roman" w:hAnsi="Times New Roman"/>
          <w:i/>
          <w:sz w:val="20"/>
        </w:rPr>
        <w:t>Related Person Transactions</w:t>
      </w:r>
      <w:r>
        <w:rPr>
          <w:rFonts w:ascii="Times New Roman" w:hAnsi="Times New Roman"/>
          <w:sz w:val="20"/>
        </w:rPr>
        <w:t xml:space="preserve"> of our proxy statement filed with the SEC on April 28, 2022, which is incorporated by reference herein. </w:t>
      </w:r>
    </w:p>
    <w:p>
      <w:pPr>
        <w:pStyle w:val="TextBody"/>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the shares of Common Stock set forth below, subject to community property laws where applicable. </w:t>
      </w:r>
    </w:p>
    <w:p>
      <w:pPr>
        <w:pStyle w:val="TextBody"/>
        <w:spacing w:before="240" w:after="0"/>
        <w:jc w:val="left"/>
        <w:rPr>
          <w:rFonts w:ascii="Times New Roman" w:hAnsi="Times New Roman"/>
          <w:sz w:val="20"/>
        </w:rPr>
      </w:pPr>
      <w:r>
        <w:rPr>
          <w:rFonts w:ascii="Times New Roman" w:hAnsi="Times New Roman"/>
          <w:sz w:val="20"/>
        </w:rPr>
        <w:t>A Selling Securityholder may sell or otherwise transfer all, some or none of such shares in this offering. See </w:t>
      </w:r>
      <w:r>
        <w:rPr>
          <w:rFonts w:ascii="Times New Roman" w:hAnsi="Times New Roman"/>
          <w:i/>
          <w:sz w:val="20"/>
        </w:rPr>
        <w:t>Plan of Distribution</w:t>
      </w:r>
      <w:r>
        <w:rPr>
          <w:rFonts w:ascii="Times New Roman" w:hAnsi="Times New Roman"/>
          <w:sz w:val="20"/>
        </w:rPr>
        <w:t xml:space="preserve"> for more information.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as of April 14, 2023 the names of the Selling Securityholders, the aggregate number of shares of Class A Common Stock that the Selling Securityholders may offer pursuant to this prospectus, the beneficial ownership of the Selling Securityholders both before and after the offering, and the shares of Class A Common Stock being offered by the Selling Securityholders. The following table does not reflect any other Company securities that the Selling Securityholder may own, beneficially or otherwise. For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purposes of the table below, we have assumed that all of the shares covered by this prospectus will be sold and that the Company will deliver shares of Class A Common Stock upon exchange of all Paired Interests.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776"/>
        <w:gridCol w:w="248"/>
        <w:gridCol w:w="60"/>
        <w:gridCol w:w="1294"/>
        <w:gridCol w:w="60"/>
        <w:gridCol w:w="248"/>
        <w:gridCol w:w="60"/>
        <w:gridCol w:w="1255"/>
        <w:gridCol w:w="60"/>
        <w:gridCol w:w="248"/>
        <w:gridCol w:w="137"/>
        <w:gridCol w:w="765"/>
        <w:gridCol w:w="60"/>
        <w:gridCol w:w="250"/>
        <w:gridCol w:w="124"/>
        <w:gridCol w:w="678"/>
        <w:gridCol w:w="65"/>
      </w:tblGrid>
      <w:tr>
        <w:trPr/>
        <w:tc>
          <w:tcPr>
            <w:tcW w:w="377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776"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Selling Securityholder</w:t>
            </w:r>
          </w:p>
        </w:tc>
        <w:tc>
          <w:tcPr>
            <w:tcW w:w="248" w:type="dxa"/>
            <w:tcBorders/>
            <w:shd w:fill="auto" w:val="clear"/>
            <w:vAlign w:val="bottom"/>
          </w:tcPr>
          <w:p>
            <w:pPr>
              <w:pStyle w:val="TableContents"/>
              <w:spacing w:before="0" w:after="283"/>
              <w:rPr/>
            </w:pPr>
            <w:r>
              <w:rPr/>
              <w:t>  </w:t>
            </w:r>
          </w:p>
        </w:tc>
        <w:tc>
          <w:tcPr>
            <w:tcW w:w="135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 of</w:t>
              <w:br/>
              <w:t>Class A</w:t>
              <w:br/>
              <w:t>Common</w:t>
              <w:br/>
              <w:t>Stock Held of</w:t>
              <w:br/>
              <w:t>Record Prior</w:t>
              <w:br/>
              <w:t>to the</w:t>
              <w:br/>
              <w:t>Offering</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3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Shares of</w:t>
              <w:br/>
              <w:t>Class A</w:t>
              <w:br/>
              <w:t>Common</w:t>
              <w:br/>
              <w:t>Stock Being</w:t>
              <w:br/>
              <w:t>Offered</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201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Shares of Class A</w:t>
              <w:br/>
              <w:t>Common Stock</w:t>
              <w:br/>
              <w:t>Held of Record</w:t>
              <w:br/>
              <w:t>After the Offering</w:t>
            </w:r>
          </w:p>
        </w:tc>
        <w:tc>
          <w:tcPr>
            <w:tcW w:w="65" w:type="dxa"/>
            <w:tcBorders/>
            <w:shd w:fill="auto" w:val="clear"/>
            <w:vAlign w:val="bottom"/>
          </w:tcPr>
          <w:p>
            <w:pPr>
              <w:pStyle w:val="TableContents"/>
              <w:spacing w:before="0" w:after="283"/>
              <w:rPr/>
            </w:pPr>
            <w:r>
              <w:rPr/>
              <w:t> </w:t>
            </w:r>
          </w:p>
        </w:tc>
      </w:tr>
      <w:tr>
        <w:trPr/>
        <w:tc>
          <w:tcPr>
            <w:tcW w:w="3776"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35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3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90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w:t>
            </w:r>
          </w:p>
        </w:tc>
        <w:tc>
          <w:tcPr>
            <w:tcW w:w="60"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80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w:t>
            </w:r>
          </w:p>
        </w:tc>
        <w:tc>
          <w:tcPr>
            <w:tcW w:w="65" w:type="dxa"/>
            <w:tcBorders/>
            <w:shd w:fill="auto" w:val="clear"/>
            <w:vAlign w:val="bottom"/>
          </w:tcPr>
          <w:p>
            <w:pPr>
              <w:pStyle w:val="TableContents"/>
              <w:spacing w:before="0" w:after="283"/>
              <w:rPr/>
            </w:pPr>
            <w:r>
              <w:rPr/>
              <w:t> </w:t>
            </w:r>
          </w:p>
        </w:tc>
      </w:tr>
      <w:tr>
        <w:trPr/>
        <w:tc>
          <w:tcPr>
            <w:tcW w:w="3776" w:type="dxa"/>
            <w:tcBorders/>
            <w:shd w:fill="CCEEFF" w:val="clear"/>
          </w:tcPr>
          <w:p>
            <w:pPr>
              <w:pStyle w:val="TableContents"/>
              <w:spacing w:before="0" w:after="0"/>
              <w:rPr>
                <w:rFonts w:ascii="Times New Roman" w:hAnsi="Times New Roman"/>
                <w:sz w:val="20"/>
              </w:rPr>
            </w:pPr>
            <w:r>
              <w:rPr>
                <w:rFonts w:ascii="Times New Roman" w:hAnsi="Times New Roman"/>
                <w:sz w:val="20"/>
              </w:rPr>
              <w:t>Intercontinental Exchange Holdings, Inc.(1)</w:t>
            </w:r>
          </w:p>
        </w:tc>
        <w:tc>
          <w:tcPr>
            <w:tcW w:w="2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174,793,798</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174,793,798</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3776" w:type="dxa"/>
            <w:tcBorders/>
            <w:shd w:fill="auto" w:val="clear"/>
          </w:tcPr>
          <w:p>
            <w:pPr>
              <w:pStyle w:val="TableContents"/>
              <w:spacing w:before="0" w:after="0"/>
              <w:rPr>
                <w:rFonts w:ascii="Times New Roman" w:hAnsi="Times New Roman"/>
                <w:sz w:val="20"/>
              </w:rPr>
            </w:pPr>
            <w:r>
              <w:rPr>
                <w:rFonts w:ascii="Times New Roman" w:hAnsi="Times New Roman"/>
                <w:sz w:val="20"/>
              </w:rPr>
              <w:t>VPC Impact Acquisition Holdings Sponsor, LLC(2)</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7,456,557</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7,456,557</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3776" w:type="dxa"/>
            <w:tcBorders/>
            <w:shd w:fill="CCEEFF" w:val="clear"/>
          </w:tcPr>
          <w:p>
            <w:pPr>
              <w:pStyle w:val="TableContents"/>
              <w:spacing w:before="0" w:after="0"/>
              <w:rPr>
                <w:rFonts w:ascii="Times New Roman" w:hAnsi="Times New Roman"/>
                <w:sz w:val="20"/>
              </w:rPr>
            </w:pPr>
            <w:r>
              <w:rPr>
                <w:rFonts w:ascii="Times New Roman" w:hAnsi="Times New Roman"/>
                <w:sz w:val="20"/>
              </w:rPr>
              <w:t>Securityholders Affiliated with Goldfinch(3)</w:t>
            </w:r>
          </w:p>
        </w:tc>
        <w:tc>
          <w:tcPr>
            <w:tcW w:w="2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3,490,433</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3,490,433</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3776" w:type="dxa"/>
            <w:tcBorders/>
            <w:shd w:fill="auto" w:val="clear"/>
          </w:tcPr>
          <w:p>
            <w:pPr>
              <w:pStyle w:val="TableContents"/>
              <w:spacing w:before="0" w:after="0"/>
              <w:rPr>
                <w:rFonts w:ascii="Times New Roman" w:hAnsi="Times New Roman"/>
                <w:sz w:val="20"/>
              </w:rPr>
            </w:pPr>
            <w:r>
              <w:rPr>
                <w:rFonts w:ascii="Times New Roman" w:hAnsi="Times New Roman"/>
                <w:sz w:val="20"/>
              </w:rPr>
              <w:t>Beaumont Glory Limited(4)</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2,263,876</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2,263,876</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3776" w:type="dxa"/>
            <w:tcBorders/>
            <w:shd w:fill="CCEEFF" w:val="clear"/>
          </w:tcPr>
          <w:p>
            <w:pPr>
              <w:pStyle w:val="TableContents"/>
              <w:spacing w:before="0" w:after="0"/>
              <w:rPr>
                <w:rFonts w:ascii="Times New Roman" w:hAnsi="Times New Roman"/>
                <w:sz w:val="20"/>
              </w:rPr>
            </w:pPr>
            <w:r>
              <w:rPr>
                <w:rFonts w:ascii="Times New Roman" w:hAnsi="Times New Roman"/>
                <w:sz w:val="20"/>
              </w:rPr>
              <w:t>Galaxy Digital Ventures LLC(5)</w:t>
            </w:r>
          </w:p>
        </w:tc>
        <w:tc>
          <w:tcPr>
            <w:tcW w:w="2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1,100,777</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1,100,777</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3776" w:type="dxa"/>
            <w:tcBorders/>
            <w:shd w:fill="auto" w:val="clear"/>
          </w:tcPr>
          <w:p>
            <w:pPr>
              <w:pStyle w:val="TableContents"/>
              <w:spacing w:before="0" w:after="0"/>
              <w:rPr>
                <w:rFonts w:ascii="Times New Roman" w:hAnsi="Times New Roman"/>
                <w:sz w:val="20"/>
              </w:rPr>
            </w:pPr>
            <w:r>
              <w:rPr>
                <w:rFonts w:ascii="Times New Roman" w:hAnsi="Times New Roman"/>
                <w:sz w:val="20"/>
              </w:rPr>
              <w:t>The Boston Consulting Group, Inc.(6)</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793,352</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793,352</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3776" w:type="dxa"/>
            <w:tcBorders/>
            <w:shd w:fill="CCEEFF" w:val="clear"/>
          </w:tcPr>
          <w:p>
            <w:pPr>
              <w:pStyle w:val="TableContents"/>
              <w:spacing w:before="0" w:after="0"/>
              <w:rPr>
                <w:rFonts w:ascii="Times New Roman" w:hAnsi="Times New Roman"/>
                <w:sz w:val="20"/>
              </w:rPr>
            </w:pPr>
            <w:r>
              <w:rPr>
                <w:rFonts w:ascii="Times New Roman" w:hAnsi="Times New Roman"/>
                <w:sz w:val="20"/>
              </w:rPr>
              <w:t>Securityholders Affiliated with CMT(7)</w:t>
            </w:r>
          </w:p>
        </w:tc>
        <w:tc>
          <w:tcPr>
            <w:tcW w:w="2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714,026</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714,026</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3776" w:type="dxa"/>
            <w:tcBorders/>
            <w:shd w:fill="auto" w:val="clear"/>
          </w:tcPr>
          <w:p>
            <w:pPr>
              <w:pStyle w:val="TableContents"/>
              <w:spacing w:before="0" w:after="0"/>
              <w:rPr>
                <w:rFonts w:ascii="Times New Roman" w:hAnsi="Times New Roman"/>
                <w:sz w:val="20"/>
              </w:rPr>
            </w:pPr>
            <w:r>
              <w:rPr>
                <w:rFonts w:ascii="Times New Roman" w:hAnsi="Times New Roman"/>
                <w:sz w:val="20"/>
              </w:rPr>
              <w:t>Eagle Seven Digital Investments, LLC(8)</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565,969</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565,969</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3776" w:type="dxa"/>
            <w:tcBorders/>
            <w:shd w:fill="CCEEFF" w:val="clear"/>
          </w:tcPr>
          <w:p>
            <w:pPr>
              <w:pStyle w:val="TableContents"/>
              <w:spacing w:before="0" w:after="0"/>
              <w:rPr>
                <w:rFonts w:ascii="Times New Roman" w:hAnsi="Times New Roman"/>
                <w:sz w:val="20"/>
              </w:rPr>
            </w:pPr>
            <w:r>
              <w:rPr>
                <w:rFonts w:ascii="Times New Roman" w:hAnsi="Times New Roman"/>
                <w:sz w:val="20"/>
              </w:rPr>
              <w:t>Richard Marini</w:t>
            </w:r>
          </w:p>
        </w:tc>
        <w:tc>
          <w:tcPr>
            <w:tcW w:w="2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6,232</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6,232</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3776" w:type="dxa"/>
            <w:tcBorders/>
            <w:shd w:fill="auto" w:val="clear"/>
          </w:tcPr>
          <w:p>
            <w:pPr>
              <w:pStyle w:val="TableContents"/>
              <w:spacing w:before="0" w:after="0"/>
              <w:rPr>
                <w:rFonts w:ascii="Times New Roman" w:hAnsi="Times New Roman"/>
                <w:sz w:val="20"/>
              </w:rPr>
            </w:pPr>
            <w:r>
              <w:rPr>
                <w:rFonts w:ascii="Times New Roman" w:hAnsi="Times New Roman"/>
                <w:sz w:val="20"/>
              </w:rPr>
              <w:t>Kurt Summers(9)</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20,000</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20,000</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3776" w:type="dxa"/>
            <w:tcBorders/>
            <w:shd w:fill="CCEEFF" w:val="clear"/>
          </w:tcPr>
          <w:p>
            <w:pPr>
              <w:pStyle w:val="TableContents"/>
              <w:spacing w:before="0" w:after="0"/>
              <w:rPr>
                <w:rFonts w:ascii="Times New Roman" w:hAnsi="Times New Roman"/>
                <w:sz w:val="20"/>
              </w:rPr>
            </w:pPr>
            <w:r>
              <w:rPr>
                <w:rFonts w:ascii="Times New Roman" w:hAnsi="Times New Roman"/>
                <w:sz w:val="20"/>
              </w:rPr>
              <w:t>Kai Schmitz(10)</w:t>
            </w:r>
          </w:p>
        </w:tc>
        <w:tc>
          <w:tcPr>
            <w:tcW w:w="2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20,000</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283"/>
              <w:jc w:val="right"/>
              <w:rPr/>
            </w:pPr>
            <w:r>
              <w:rPr/>
              <w:t>20,000</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5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78" w:type="dxa"/>
            <w:tcBorders/>
            <w:shd w:fill="CCEEFF" w:val="clear"/>
            <w:vAlign w:val="bottom"/>
          </w:tcPr>
          <w:p>
            <w:pPr>
              <w:pStyle w:val="TableContents"/>
              <w:spacing w:before="0" w:after="283"/>
              <w:jc w:val="right"/>
              <w:rPr/>
            </w:pPr>
            <w:r>
              <w:rPr/>
              <w:t>  </w:t>
            </w:r>
          </w:p>
        </w:tc>
        <w:tc>
          <w:tcPr>
            <w:tcW w:w="65" w:type="dxa"/>
            <w:tcBorders/>
            <w:shd w:fill="CCEEFF" w:val="clear"/>
            <w:vAlign w:val="bottom"/>
          </w:tcPr>
          <w:p>
            <w:pPr>
              <w:pStyle w:val="TableContents"/>
              <w:spacing w:before="0" w:after="283"/>
              <w:rPr/>
            </w:pPr>
            <w:r>
              <w:rPr/>
              <w:t> </w:t>
            </w:r>
          </w:p>
        </w:tc>
      </w:tr>
      <w:tr>
        <w:trPr/>
        <w:tc>
          <w:tcPr>
            <w:tcW w:w="3776" w:type="dxa"/>
            <w:tcBorders/>
            <w:shd w:fill="auto" w:val="clear"/>
          </w:tcPr>
          <w:p>
            <w:pPr>
              <w:pStyle w:val="TableContents"/>
              <w:spacing w:before="0" w:after="0"/>
              <w:rPr>
                <w:rFonts w:ascii="Times New Roman" w:hAnsi="Times New Roman"/>
                <w:sz w:val="20"/>
              </w:rPr>
            </w:pPr>
            <w:r>
              <w:rPr>
                <w:rFonts w:ascii="Times New Roman" w:hAnsi="Times New Roman"/>
                <w:sz w:val="20"/>
              </w:rPr>
              <w:t>Adrienne Harris(11)</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20,000</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20,000</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78"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Consists of (i) 4,714,336 shares of Class A Common Stock held directly and (ii) 170,079,462 shares of Class A Common Stock that may be acquired upon the exchange of a corresponding number of Paired Interests. For information regarding the relationship between the Selling Securityholder and the Company, please see </w:t>
            </w:r>
            <w:r>
              <w:rPr>
                <w:rFonts w:ascii="Times New Roman" w:hAnsi="Times New Roman"/>
                <w:i/>
                <w:sz w:val="20"/>
              </w:rPr>
              <w:t>Related Person Transactions</w:t>
            </w:r>
            <w:r>
              <w:rPr>
                <w:rFonts w:ascii="Times New Roman" w:hAnsi="Times New Roman"/>
                <w:sz w:val="20"/>
              </w:rPr>
              <w:t xml:space="preserve"> of our proxy statement filed with the SEC on April 28, 2022, which is incorporated by reference herein.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Richard N. Levy, as Chief Executive Officer and Founder of Victory Park Capital Advisors, LLC, has voting and investment discretion with respect to the securities held of record by VPC Impact Acquisition Holdings Sponsor, LLC. Mr. Levy disclaims any beneficial ownership of the securities held by VPC Impact Acquisition Holdings Sponsor, LLC other than to the extent of any pecuniary interest he may have therein, directly or indirectly.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582,323 shares of Class A Common Stock held directly by Goldfinch Co-Invest IC LP, (ii) 2,751,943 shares of Class A Common Stock that may be acquired by Goldfinch Co-Invest I LP upon the exchange of a corresponding number of Paired Interests and (iii) 156,167 shares of Class A Common Stock that may be acquired by Goldfinch Co-Invest IB LP upon the exchange of a corresponding number of Paired Interests. Sean Collins, a member of our Board and prior to the Closing, a member of the board of managers of Opco, is a Managing Partner of Goldfinch Co-Invest I GP LLC, the general partner of each of Goldfinch Co-Invest IC LP, Goldfinch Co-Invest I, LP and Goldfinch Co-Invest IB, LP, which has voting and investment discretion over these shares. Mr. Collins disclaims beneficial ownership of the shares except to the extent of his pecuniary interest therein.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62,322 shares of Class A Common Stock held directly and (ii) 2,201,554 shares of Class A Common Stock that may be acquired upon the exchange of a corresponding number of Paired Interests.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Mr. Michael Novogratz may be deemed the beneficial owner of the shares held directly by the Selling Securityholder.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793,352 shares of Class A Common Stock that may be acquired upon the exchange of a corresponding number of Paired Interests, which Paired Interests may be acquired upon the exercise of outstanding warrants held directly by The Boston Consulting Group (BCG). A portion of such warrants are subject to ongoing vesting requirements. The resale of such warrants is not registered hereby. BCG had certain Opco board observer rights prior to the Closing, and it has provided, and may in the future provide,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Opco with certain consulting services. Paul Tranter as CFO of BCG has the power to vote or dispose of these securities pursuant to authority delegated to him under BCGs governance structure. Mr. Tranter disclaims beneficial ownership of these securities except to the extent of his indirect pecuniary interest therein.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(7)</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(i) 539,480 shares of Class A Common Stock held directly by CMT Digital Ventures Fund I LLC, (ii) 69,418 shares of Class A Common Stock held directly by CMT Digital Investments I LLCSeries I, (iii) 52,564 shares of Class A Common Stock held directly by CMT Capital Markets Trading 401(k) Plan #2B and (iv) 52,564 shares of Class A Common Stock held directly by MACWA 401(k) Plan (CMT).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Stuart Shalowitz may be deemed the beneficial owner of the shares held directly by the Selling Securityholder.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(9)</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Selling Securityholder was a member of the Board prior to the Business Combination.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Selling Securityholder was a member of the Board prior to the Business Combination.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Selling Securityholder was a member of the Board prior to the Business Combination.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oc474504_8"/>
      <w:bookmarkEnd w:id="10"/>
      <w:r>
        <w:rPr>
          <w:rFonts w:ascii="Times New Roman" w:hAnsi="Times New Roman"/>
          <w:b/>
          <w:sz w:val="20"/>
        </w:rPr>
        <w:t xml:space="preserve">DESCRIPTION OF SECURITIES </w:t>
      </w:r>
    </w:p>
    <w:p>
      <w:pPr>
        <w:pStyle w:val="TextBody"/>
        <w:spacing w:before="240" w:after="0"/>
        <w:jc w:val="left"/>
        <w:rPr>
          <w:rFonts w:ascii="Times New Roman" w:hAnsi="Times New Roman"/>
          <w:sz w:val="20"/>
        </w:rPr>
      </w:pPr>
      <w:r>
        <w:rPr>
          <w:rFonts w:ascii="Times New Roman" w:hAnsi="Times New Roman"/>
          <w:sz w:val="20"/>
        </w:rPr>
        <w:t xml:space="preserve">The description of our capital stock and warrants is incorporated by reference to Exhibit 4.7 to our Annual Report on Form 10-K for the fiscal year ended December 31, 2022, filed with the SEC on March 24, 2023. </w:t>
      </w:r>
    </w:p>
    <w:p>
      <w:pPr>
        <w:pStyle w:val="TextBody"/>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spacing w:before="120" w:after="0"/>
        <w:jc w:val="left"/>
        <w:rPr>
          <w:rFonts w:ascii="Times New Roman" w:hAnsi="Times New Roman"/>
          <w:sz w:val="20"/>
        </w:rPr>
      </w:pPr>
      <w:r>
        <w:rPr>
          <w:rFonts w:ascii="Times New Roman" w:hAnsi="Times New Roman"/>
          <w:sz w:val="20"/>
        </w:rPr>
        <w:t xml:space="preserve">The Transfer Agent and registrar for the Class A Common Stock and warrants is American Stock Transfer &amp; Trust Company. The transfer agent and registrars address is 6201 15th Avenue, Brooklyn, New York 11219. </w:t>
      </w:r>
    </w:p>
    <w:p>
      <w:pPr>
        <w:pStyle w:val="TextBody"/>
        <w:spacing w:before="360" w:after="0"/>
        <w:jc w:val="left"/>
        <w:rPr>
          <w:rFonts w:ascii="Times New Roman" w:hAnsi="Times New Roman"/>
          <w:b/>
          <w:sz w:val="20"/>
        </w:rPr>
      </w:pPr>
      <w:r>
        <w:rPr>
          <w:rFonts w:ascii="Times New Roman" w:hAnsi="Times New Roman"/>
          <w:b/>
          <w:sz w:val="20"/>
        </w:rPr>
        <w:t xml:space="preserve">Listing </w:t>
      </w:r>
    </w:p>
    <w:p>
      <w:pPr>
        <w:pStyle w:val="TextBody"/>
        <w:spacing w:before="120" w:after="0"/>
        <w:jc w:val="left"/>
        <w:rPr>
          <w:rFonts w:ascii="Times New Roman" w:hAnsi="Times New Roman"/>
          <w:sz w:val="20"/>
        </w:rPr>
      </w:pPr>
      <w:r>
        <w:rPr>
          <w:rFonts w:ascii="Times New Roman" w:hAnsi="Times New Roman"/>
          <w:sz w:val="20"/>
        </w:rPr>
        <w:t xml:space="preserve">The Class A Common Stock and Warrants are listed on the NYSE under the symbols BKKT and BKKT WS, respectively. The Class V Common Stock is not listed on any securities exchange. </w:t>
      </w:r>
    </w:p>
    <w:p>
      <w:pPr>
        <w:pStyle w:val="TextBody"/>
        <w:spacing w:before="360" w:after="0"/>
        <w:jc w:val="left"/>
        <w:rPr>
          <w:rFonts w:ascii="Times New Roman" w:hAnsi="Times New Roman"/>
          <w:b/>
          <w:sz w:val="20"/>
        </w:rPr>
      </w:pPr>
      <w:r>
        <w:rPr>
          <w:rFonts w:ascii="Times New Roman" w:hAnsi="Times New Roman"/>
          <w:b/>
          <w:sz w:val="20"/>
        </w:rPr>
        <w:t xml:space="preserve">Rule 144 </w:t>
      </w:r>
    </w:p>
    <w:p>
      <w:pPr>
        <w:pStyle w:val="TextBody"/>
        <w:spacing w:before="120" w:after="0"/>
        <w:jc w:val="left"/>
        <w:rPr>
          <w:rFonts w:ascii="Times New Roman" w:hAnsi="Times New Roman"/>
          <w:sz w:val="20"/>
        </w:rPr>
      </w:pPr>
      <w:r>
        <w:rPr>
          <w:rFonts w:ascii="Times New Roman" w:hAnsi="Times New Roman"/>
          <w:sz w:val="20"/>
        </w:rPr>
        <w:t xml:space="preserve">In general, under Rule 144 as currently in effect, once the Company has been subject to the public company reporting requirements of Section 13 or Section 15(d) of the Exchange Act for at least 90 days, a person who is not deemed to have been one of the Companys affiliates for purposes of the Securities Act at any time during the 90 days preceding a sale and who has beneficially owned shares of Class A Common Stock or Warrants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the Companys affiliates, then that person would be entitled to sell those shares without complying with any of the requirements of Rule 144. </w:t>
      </w:r>
    </w:p>
    <w:p>
      <w:pPr>
        <w:pStyle w:val="TextBody"/>
        <w:spacing w:before="240" w:after="0"/>
        <w:jc w:val="left"/>
        <w:rPr>
          <w:rFonts w:ascii="Times New Roman" w:hAnsi="Times New Roman"/>
          <w:sz w:val="20"/>
        </w:rPr>
      </w:pPr>
      <w:r>
        <w:rPr>
          <w:rFonts w:ascii="Times New Roman" w:hAnsi="Times New Roman"/>
          <w:sz w:val="20"/>
        </w:rPr>
        <w:t xml:space="preserve">In general, under Rule 144, as currently in effect, the Companys affiliates or persons selling shares of Class A Common Stock or Warrants on behalf of the Companys affiliates are entitled to sell, within any three-month period, a number of shares that does not exceed the greater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 of the number of then outstanding equity securities of the same class;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average weekly trading volume of Class A Common Stock or Warrants, as applicable, during the four calendar weeks preceding the date of filing of a notice on Form 144 with respect to the sale. </w:t>
            </w:r>
          </w:p>
        </w:tc>
      </w:tr>
    </w:tbl>
    <w:p>
      <w:pPr>
        <w:pStyle w:val="TextBody"/>
        <w:spacing w:before="240" w:after="0"/>
        <w:jc w:val="left"/>
        <w:rPr>
          <w:rFonts w:ascii="Times New Roman" w:hAnsi="Times New Roman"/>
          <w:sz w:val="20"/>
        </w:rPr>
      </w:pPr>
      <w:r>
        <w:rPr>
          <w:rFonts w:ascii="Times New Roman" w:hAnsi="Times New Roman"/>
          <w:sz w:val="20"/>
        </w:rPr>
        <w:t xml:space="preserve">Sales under Rule 144 by the Companys affiliates or persons selling Class A Common Stock or Warrants on behalf of our affiliates are also subject to certain manner of sale provisions and notice requirements and to the availability of current public information about the Company. </w:t>
      </w:r>
    </w:p>
    <w:p>
      <w:pPr>
        <w:pStyle w:val="TextBody"/>
        <w:spacing w:before="360" w:after="0"/>
        <w:jc w:val="left"/>
        <w:rPr>
          <w:rFonts w:ascii="Times New Roman" w:hAnsi="Times New Roman"/>
          <w:b/>
          <w:sz w:val="20"/>
        </w:rPr>
      </w:pPr>
      <w:r>
        <w:rPr>
          <w:rFonts w:ascii="Times New Roman" w:hAnsi="Times New Roman"/>
          <w:b/>
          <w:sz w:val="20"/>
        </w:rPr>
        <w:t xml:space="preserve">Restrictions on the Use of Rule 144 by Shell Companies or Former Shell Companies </w:t>
      </w:r>
    </w:p>
    <w:p>
      <w:pPr>
        <w:pStyle w:val="TextBody"/>
        <w:spacing w:before="120" w:after="0"/>
        <w:jc w:val="left"/>
        <w:rPr>
          <w:rFonts w:ascii="Times New Roman" w:hAnsi="Times New Roman"/>
          <w:sz w:val="20"/>
        </w:rPr>
      </w:pPr>
      <w:r>
        <w:rPr>
          <w:rFonts w:ascii="Times New Roman" w:hAnsi="Times New Roman"/>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 required to be filed, as applicable, during the preceding 12 months (or such shorter period that the issuer was required to file such reports and materials), other than Current Reports on Form 8-K; and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least one year has elapsed from the time that the issuer filed current Form 10 type information with the SEC reflecting its status as an entity that is not a shell company. </w:t>
            </w:r>
          </w:p>
        </w:tc>
      </w:tr>
    </w:tbl>
    <w:p>
      <w:pPr>
        <w:pStyle w:val="TextBody"/>
        <w:spacing w:before="240" w:after="0"/>
        <w:jc w:val="left"/>
        <w:rPr>
          <w:rFonts w:ascii="Times New Roman" w:hAnsi="Times New Roman"/>
          <w:sz w:val="20"/>
        </w:rPr>
      </w:pPr>
      <w:r>
        <w:rPr>
          <w:rFonts w:ascii="Times New Roman" w:hAnsi="Times New Roman"/>
          <w:sz w:val="20"/>
        </w:rPr>
        <w:t xml:space="preserve">While we were formed as a shell company, since the completion of the Business Combination, we are no longer a shell company, and so, Rule 144 is available for the resale of the above noted restricted securities, so long as the conditions in the third bullet above are satisfied as of that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oc474504_9"/>
      <w:bookmarkEnd w:id="11"/>
      <w:r>
        <w:rPr>
          <w:rFonts w:ascii="Times New Roman" w:hAnsi="Times New Roman"/>
          <w:b/>
          <w:sz w:val="20"/>
        </w:rPr>
        <w:t xml:space="preserve">PLAN OF DISTRIBUTION </w:t>
      </w:r>
    </w:p>
    <w:p>
      <w:pPr>
        <w:pStyle w:val="TextBody"/>
        <w:spacing w:before="240" w:after="0"/>
        <w:jc w:val="left"/>
        <w:rPr>
          <w:rFonts w:ascii="Times New Roman" w:hAnsi="Times New Roman"/>
          <w:sz w:val="20"/>
        </w:rPr>
      </w:pPr>
      <w:r>
        <w:rPr>
          <w:rFonts w:ascii="Times New Roman" w:hAnsi="Times New Roman"/>
          <w:sz w:val="20"/>
        </w:rPr>
        <w:t xml:space="preserve">This prospectus relates to the issuance by us and the resale by the Selling Securityholders of up to 175,982,478 shares Class A Common Stock issuable upon the exchange of an equal number of Paired Interests. This prospectus also relates to the resale by the Selling Securityholders of (i) 5,380,793 PIPE Shares, (ii) 4,685,529 shares of Class A Common Stock issued in respect of Founder Shares, (iii) 2,831,028 Private Warrant Shares and (iv) and 2,365,192 shares of Class A Common Stock previously issued upon the exchange of an equal number of Paired Interests. </w:t>
      </w:r>
    </w:p>
    <w:p>
      <w:pPr>
        <w:pStyle w:val="TextBody"/>
        <w:spacing w:before="240" w:after="0"/>
        <w:jc w:val="left"/>
        <w:rPr>
          <w:rFonts w:ascii="Times New Roman" w:hAnsi="Times New Roman"/>
          <w:sz w:val="20"/>
        </w:rPr>
      </w:pPr>
      <w:r>
        <w:rPr>
          <w:rFonts w:ascii="Times New Roman" w:hAnsi="Times New Roman"/>
          <w:sz w:val="20"/>
        </w:rPr>
        <w:t xml:space="preserve">All of the securities offered by the Selling Securityholders pursuant to this prospectus will be sold by the Selling Securityholders for their respective accounts. We will not receive any of the proceeds from the sale of the securities hereunder. </w:t>
      </w:r>
    </w:p>
    <w:p>
      <w:pPr>
        <w:pStyle w:val="TextBody"/>
        <w:spacing w:before="240" w:after="0"/>
        <w:jc w:val="left"/>
        <w:rPr>
          <w:rFonts w:ascii="Times New Roman" w:hAnsi="Times New Roman"/>
          <w:sz w:val="20"/>
        </w:rPr>
      </w:pPr>
      <w:r>
        <w:rPr>
          <w:rFonts w:ascii="Times New Roman" w:hAnsi="Times New Roman"/>
          <w:sz w:val="20"/>
        </w:rPr>
        <w:t xml:space="preserve">With respect to the registration of all shares of Class A Common Stock offered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 </w:t>
      </w:r>
    </w:p>
    <w:p>
      <w:pPr>
        <w:pStyle w:val="TextBody"/>
        <w:spacing w:before="240" w:after="0"/>
        <w:jc w:val="left"/>
        <w:rPr>
          <w:rFonts w:ascii="Times New Roman" w:hAnsi="Times New Roman"/>
          <w:sz w:val="20"/>
        </w:rPr>
      </w:pPr>
      <w:r>
        <w:rPr>
          <w:rFonts w:ascii="Times New Roman" w:hAnsi="Times New Roman"/>
          <w:sz w:val="20"/>
        </w:rPr>
        <w:t xml:space="preserve">The securities beneficially owned by the Selling Securityholders covered by this prospectus may be offered and sold from time to time by the Selling Securityholders. The term Selling Securityholders includes distributees,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may subject to certain conditions. The underwriters may be obligated to purchase all the securities offered if any of the securities are purchased. </w:t>
      </w:r>
    </w:p>
    <w:p>
      <w:pPr>
        <w:pStyle w:val="TextBody"/>
        <w:spacing w:before="240" w:after="0"/>
        <w:jc w:val="left"/>
        <w:rPr>
          <w:rFonts w:ascii="Times New Roman" w:hAnsi="Times New Roman"/>
          <w:sz w:val="20"/>
        </w:rPr>
      </w:pPr>
      <w:r>
        <w:rPr>
          <w:rFonts w:ascii="Times New Roman" w:hAnsi="Times New Roman"/>
          <w:sz w:val="20"/>
        </w:rPr>
        <w:t xml:space="preserve">Subject to the limitations set forth in any applicable registration rights agreement, the Selling Securityholders may use any one or more of the following methods when selling the securities offered by this prospectus: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purchases by a broker-dealer as principal and resale by such broker-dealer for its own account pursuant to this 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block trades in which the broker-dealer so engaged will attempt to sell the securities as agent but may position and resell a portion of the block as principal to facilitate the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over-the-counter distribution in accordance with the rules of the NYSE;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trading plans entered into by a Selling Securityholder pursuant to Rule 10b5-1 under the Exchange Act that are in place at the time of an offering pursuant to this prospectus and any applicable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vAlign w:val="center"/>
          </w:tcPr>
          <w:p>
            <w:pPr>
              <w:pStyle w:val="TableContents"/>
              <w:spacing w:before="0" w:after="283"/>
              <w:rPr/>
            </w:pPr>
            <w:r>
              <w:rPr/>
              <w:t> </w:t>
            </w:r>
          </w:p>
        </w:tc>
        <w:tc>
          <w:tcPr>
            <w:tcW w:w="9287"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prospectus supplement hereto that provide for periodic sales of their securities on the basis of parameters described in such trading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one or more underwritten offerings on a firm commitment or best efforts basis;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settlement of short sales entered into after the date of this 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agreements with broker-dealers to sell a specified number of the securities at a stipulated price per share or Warrant;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directly to purchasers, including through a specific bidding, auction or other process or in privately negotiated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spacing w:before="240" w:after="0"/>
        <w:jc w:val="left"/>
        <w:rPr>
          <w:rFonts w:ascii="Times New Roman" w:hAnsi="Times New Roman"/>
          <w:sz w:val="20"/>
        </w:rPr>
      </w:pPr>
      <w:r>
        <w:rPr>
          <w:rFonts w:ascii="Times New Roman" w:hAnsi="Times New Roman"/>
          <w:sz w:val="20"/>
        </w:rPr>
        <w:t xml:space="preserve">In addition, a Selling Securityholder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w:t>
      </w:r>
    </w:p>
    <w:p>
      <w:pPr>
        <w:pStyle w:val="TextBody"/>
        <w:spacing w:before="240" w:after="0"/>
        <w:jc w:val="left"/>
        <w:rPr>
          <w:rFonts w:ascii="Times New Roman" w:hAnsi="Times New Roman"/>
          <w:sz w:val="20"/>
        </w:rPr>
      </w:pPr>
      <w:r>
        <w:rPr>
          <w:rFonts w:ascii="Times New Roman" w:hAnsi="Times New Roman"/>
          <w:sz w:val="20"/>
        </w:rPr>
        <w:t xml:space="preserve">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also may transfer the securities in other circumstances, in which case the transferees, distributees, pledgees or other successors-in-interest will be the selling beneficial owners for purposes of this prospectus. Upon being notified by a Selling Securityholder that a donee, pledgee, transferee, or other successor-in-interest intends to sell our securities, we will, to the extent required, promptly file a supplement to this prospectus to name specifically such person as a selling securityholder. </w:t>
      </w:r>
    </w:p>
    <w:p>
      <w:pPr>
        <w:pStyle w:val="TextBody"/>
        <w:spacing w:before="240" w:after="0"/>
        <w:jc w:val="left"/>
        <w:rPr>
          <w:rFonts w:ascii="Times New Roman" w:hAnsi="Times New Roman"/>
          <w:sz w:val="20"/>
        </w:rPr>
      </w:pPr>
      <w:r>
        <w:rPr>
          <w:rFonts w:ascii="Times New Roman" w:hAnsi="Times New Roman"/>
          <w:sz w:val="20"/>
        </w:rPr>
        <w:t xml:space="preserve">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settlement of short sales entered into after the date of this 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names of any participating agents, broker-dealers or underwriters;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applicable commissions, discounts, concessions and other items constituting compensation from the Selling Securityholders.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 </w:t>
      </w:r>
    </w:p>
    <w:p>
      <w:pPr>
        <w:pStyle w:val="TextBody"/>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 </w:t>
      </w:r>
    </w:p>
    <w:p>
      <w:pPr>
        <w:pStyle w:val="TextBody"/>
        <w:spacing w:before="240" w:after="0"/>
        <w:jc w:val="left"/>
        <w:rPr>
          <w:rFonts w:ascii="Times New Roman" w:hAnsi="Times New Roman"/>
          <w:sz w:val="20"/>
        </w:rPr>
      </w:pPr>
      <w:r>
        <w:rPr>
          <w:rFonts w:ascii="Times New Roman" w:hAnsi="Times New Roman"/>
          <w:sz w:val="20"/>
        </w:rPr>
        <w:t xml:space="preserve">It is possible that one or more underwriters may make a market in our securities, but such underwriters will not be obligated to do so and may discontinue any market making at any time without notice.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 </w:t>
      </w:r>
    </w:p>
    <w:p>
      <w:pPr>
        <w:pStyle w:val="TextBody"/>
        <w:spacing w:before="240" w:after="0"/>
        <w:jc w:val="left"/>
        <w:rPr>
          <w:rFonts w:ascii="Times New Roman" w:hAnsi="Times New Roman"/>
          <w:sz w:val="20"/>
        </w:rPr>
      </w:pPr>
      <w:r>
        <w:rPr>
          <w:rFonts w:ascii="Times New Roman" w:hAnsi="Times New Roman"/>
          <w:sz w:val="20"/>
        </w:rPr>
        <w:t xml:space="preserve">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 </w:t>
      </w:r>
    </w:p>
    <w:p>
      <w:pPr>
        <w:pStyle w:val="TextBody"/>
        <w:spacing w:before="240" w:after="0"/>
        <w:jc w:val="left"/>
        <w:rPr>
          <w:rFonts w:ascii="Times New Roman" w:hAnsi="Times New Roman"/>
          <w:sz w:val="20"/>
        </w:rPr>
      </w:pPr>
      <w:r>
        <w:rPr>
          <w:rFonts w:ascii="Times New Roman" w:hAnsi="Times New Roman"/>
          <w:sz w:val="20"/>
        </w:rPr>
        <w:t xml:space="preserve">If at the time of any offering made under this prospectus a member of FINRA participating in the offering has a conflict of interest as defined in FINRA Rule 5121 (Rule 5121), that offering will be conducted in accordance with the relevant provisions of Rule 5121. </w:t>
      </w:r>
    </w:p>
    <w:p>
      <w:pPr>
        <w:pStyle w:val="TextBody"/>
        <w:spacing w:before="240" w:after="0"/>
        <w:jc w:val="left"/>
        <w:rPr>
          <w:rFonts w:ascii="Times New Roman" w:hAnsi="Times New Roman"/>
          <w:sz w:val="20"/>
        </w:rPr>
      </w:pPr>
      <w:r>
        <w:rPr>
          <w:rFonts w:ascii="Times New Roman" w:hAnsi="Times New Roman"/>
          <w:sz w:val="20"/>
        </w:rPr>
        <w:t xml:space="preserve">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 </w:t>
      </w:r>
    </w:p>
    <w:p>
      <w:pPr>
        <w:pStyle w:val="TextBody"/>
        <w:spacing w:before="240" w:after="0"/>
        <w:jc w:val="left"/>
        <w:rPr>
          <w:rFonts w:ascii="Times New Roman" w:hAnsi="Times New Roman"/>
          <w:sz w:val="20"/>
        </w:rPr>
      </w:pPr>
      <w:r>
        <w:rPr>
          <w:rFonts w:ascii="Times New Roman" w:hAnsi="Times New Roman"/>
          <w:sz w:val="20"/>
        </w:rPr>
        <w:t xml:space="preserve">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 </w:t>
      </w:r>
    </w:p>
    <w:p>
      <w:pPr>
        <w:pStyle w:val="TextBody"/>
        <w:spacing w:before="240" w:after="0"/>
        <w:jc w:val="left"/>
        <w:rPr>
          <w:rFonts w:ascii="Times New Roman" w:hAnsi="Times New Roman"/>
          <w:sz w:val="20"/>
        </w:rPr>
      </w:pPr>
      <w:r>
        <w:rPr>
          <w:rFonts w:ascii="Times New Roman" w:hAnsi="Times New Roman"/>
          <w:sz w:val="20"/>
        </w:rPr>
        <w:t xml:space="preserve">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 </w:t>
      </w:r>
    </w:p>
    <w:p>
      <w:pPr>
        <w:pStyle w:val="TextBody"/>
        <w:spacing w:before="240" w:after="0"/>
        <w:jc w:val="left"/>
        <w:rPr>
          <w:rFonts w:ascii="Times New Roman" w:hAnsi="Times New Roman"/>
          <w:sz w:val="20"/>
        </w:rPr>
      </w:pPr>
      <w:r>
        <w:rPr>
          <w:rFonts w:ascii="Times New Roman" w:hAnsi="Times New Roman"/>
          <w:sz w:val="20"/>
        </w:rPr>
        <w:t xml:space="preserve">The underwriters, broker-dealers and agents may engage in transactions with us or the Selling Securityholders, or perform services for us or the Selling Securityholders,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 </w:t>
      </w:r>
    </w:p>
    <w:p>
      <w:pPr>
        <w:pStyle w:val="TextBody"/>
        <w:spacing w:before="240" w:after="0"/>
        <w:jc w:val="left"/>
        <w:rPr>
          <w:rFonts w:ascii="Times New Roman" w:hAnsi="Times New Roman"/>
          <w:sz w:val="20"/>
        </w:rPr>
      </w:pPr>
      <w:r>
        <w:rPr>
          <w:rFonts w:ascii="Times New Roman" w:hAnsi="Times New Roman"/>
          <w:sz w:val="20"/>
        </w:rPr>
        <w:t xml:space="preserve">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 </w:t>
      </w:r>
    </w:p>
    <w:p>
      <w:pPr>
        <w:pStyle w:val="TextBody"/>
        <w:spacing w:before="240" w:after="0"/>
        <w:jc w:val="left"/>
        <w:rPr>
          <w:rFonts w:ascii="Times New Roman" w:hAnsi="Times New Roman"/>
          <w:sz w:val="20"/>
        </w:rPr>
      </w:pPr>
      <w:r>
        <w:rPr>
          <w:rFonts w:ascii="Times New Roman" w:hAnsi="Times New Roman"/>
          <w:sz w:val="20"/>
        </w:rPr>
        <w:t xml:space="preserve">We will make copies of this prospectus available to the Selling Securityholders for the purpose of satisfying the prospectus delivery requirements of the Securities Act </w:t>
      </w:r>
    </w:p>
    <w:p>
      <w:pPr>
        <w:pStyle w:val="TextBody"/>
        <w:spacing w:before="240" w:after="0"/>
        <w:jc w:val="left"/>
        <w:rPr>
          <w:rFonts w:ascii="Times New Roman" w:hAnsi="Times New Roman"/>
          <w:sz w:val="20"/>
        </w:rPr>
      </w:pPr>
      <w:r>
        <w:rPr>
          <w:rFonts w:ascii="Times New Roman" w:hAnsi="Times New Roman"/>
          <w:sz w:val="20"/>
        </w:rPr>
        <w:t xml:space="preserve">Under the Registration Rights Agreement,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 </w:t>
      </w:r>
    </w:p>
    <w:p>
      <w:pPr>
        <w:pStyle w:val="TextBody"/>
        <w:spacing w:before="240" w:after="0"/>
        <w:jc w:val="left"/>
        <w:rPr>
          <w:rFonts w:ascii="Times New Roman" w:hAnsi="Times New Roman"/>
          <w:sz w:val="20"/>
        </w:rPr>
      </w:pPr>
      <w:r>
        <w:rPr>
          <w:rFonts w:ascii="Times New Roman" w:hAnsi="Times New Roman"/>
          <w:sz w:val="20"/>
        </w:rPr>
        <w:t xml:space="preserve">Pursuant to each Subscription Agreement, we must use commercially reasonable efforts to keep the registration statement of which this prospectus constitutes a part effective until the earlier of (i) October 15,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2024, (ii) the date on which all shares issued pursuant the Subscription Agreements have been sold, and (iii) the first date on each subscriber named in such Subscription Agreement (Subscriber) can sell all of the shares purchased by such Subscriber under such Subscription Agreement (or shares received in exchange therefor, collectively, the Subscribed Shares) under Rule 144 of the Securities Act without limitation as to the manner of sale or the amount of such securities that may be sold. We must use commercially reasonable efforts to file all reports, and provide all customary and reasonable cooperation, necessary to enable each Subscriber to resell its Subscribed Shares pursuant to the registration statement of which this prospectus constitutes a part (for as long as such registration statement remains effective pursuant to our obligations under such Subscription Agreement) or Rule 144 of the Securities Act (when Rule 144 of the Securities Act becomes available), as applicable, qualify the Subscribed Shares for listing on the applicable stock exchange on which shares of our Class A Common Stock are then-listed, and update or amend such registration statement as necessary to include the Subscribed Shares. </w:t>
      </w:r>
    </w:p>
    <w:p>
      <w:pPr>
        <w:pStyle w:val="TextBody"/>
        <w:spacing w:before="240" w:after="0"/>
        <w:jc w:val="left"/>
        <w:rPr>
          <w:rFonts w:ascii="Times New Roman" w:hAnsi="Times New Roman"/>
          <w:sz w:val="20"/>
        </w:rPr>
      </w:pPr>
      <w:r>
        <w:rPr>
          <w:rFonts w:ascii="Times New Roman" w:hAnsi="Times New Roman"/>
          <w:sz w:val="20"/>
        </w:rPr>
        <w:t xml:space="preserve">Additionally, pursuant to the Registration Rights Agreement, we must use our reasonable best efforts to maintain the registration statement of which this prospectus constitutes a part effective, and to be supplemented and amended to the extent necessary to ensure that such registration statement is available or, if not available, that another registration statement is available, for the resale of all registrable securities, until all such securities have ceased to be registrable securities, as described in the Registration Rights Agreement.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toc474504_10"/>
      <w:bookmarkEnd w:id="12"/>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Wilson Sonsini Goodrich &amp; Rosati, Professional Corporation, Austin, Texas, which has acted as our counsel in connection with this offering, will pass upon the validity of our securities being offered by this prospectus. </w:t>
      </w:r>
    </w:p>
    <w:p>
      <w:pPr>
        <w:pStyle w:val="TextBody"/>
        <w:spacing w:before="480" w:after="0"/>
        <w:jc w:val="center"/>
        <w:rPr>
          <w:rFonts w:ascii="Times New Roman" w:hAnsi="Times New Roman"/>
          <w:b/>
          <w:sz w:val="20"/>
        </w:rPr>
      </w:pPr>
      <w:bookmarkStart w:id="13" w:name="toc474504_11"/>
      <w:bookmarkEnd w:id="13"/>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Bakkt Holdings, Inc., appearing in the Companys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VPC Impact Acquisition Holdings as of October 14, 2021 and December 31, 2020 and for the period from January 1, 2021 through October 14, 2021 and for the period from July 31, 2020 (inception) through December 31, 2020 are incorporated by reference in this prospectus have been audited by WithumSmith+Brown, PC, the Companys independent registered public accounting firm prior to the Business Combination, as set forth in their report thereon, and have been incorporated herein in reliance on such report given on the authority of said firm as experts in accounting and auditing.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Apex Crypto, LLC as of December 31, 2022 and 2021 and for the years then ended incorporated by reference in this prospectus from the Current Report on Form 8-K/A filed by Bakkt Holdings, Inc. on April 18, 2023 have been audited by RSM US LLP, independent auditors, as stated in their report thereon, incorporated herein by reference. Such financial statements have been so incorporated in this prospectus in reliance upon such report and upon the authority of such firm as experts in accounting and auditing. </w:t>
      </w:r>
    </w:p>
    <w:p>
      <w:pPr>
        <w:pStyle w:val="TextBody"/>
        <w:spacing w:before="480" w:after="0"/>
        <w:jc w:val="center"/>
        <w:rPr>
          <w:rFonts w:ascii="Times New Roman" w:hAnsi="Times New Roman"/>
          <w:b/>
          <w:sz w:val="20"/>
        </w:rPr>
      </w:pPr>
      <w:bookmarkStart w:id="14" w:name="toc474504_12"/>
      <w:bookmarkEnd w:id="14"/>
      <w:r>
        <w:rPr>
          <w:rFonts w:ascii="Times New Roman" w:hAnsi="Times New Roman"/>
          <w:b/>
          <w:sz w:val="20"/>
        </w:rPr>
        <w:t xml:space="preserve">WHERE YOU CAN FIND ADDITIONAL INFORMATION </w:t>
      </w:r>
    </w:p>
    <w:p>
      <w:pPr>
        <w:pStyle w:val="TextBody"/>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at www.sec.gov that contains reports, proxy and information statements and other information about issuers, like us, that file electronically with the SEC. We make available, free of charge, on our investor relations website at </w:t>
      </w:r>
      <w:r>
        <w:rPr>
          <w:rFonts w:ascii="Times New Roman" w:hAnsi="Times New Roman"/>
          <w:i/>
          <w:sz w:val="20"/>
        </w:rPr>
        <w:t xml:space="preserve">investors.bakkt.com </w:t>
      </w:r>
      <w:r>
        <w:rPr>
          <w:rFonts w:ascii="Times New Roman" w:hAnsi="Times New Roman"/>
          <w:sz w:val="20"/>
        </w:rPr>
        <w:t>under </w:t>
      </w:r>
      <w:r>
        <w:rPr>
          <w:rFonts w:ascii="Times New Roman" w:hAnsi="Times New Roman"/>
          <w:i/>
          <w:sz w:val="20"/>
        </w:rPr>
        <w:t>FinancialsSEC Filings</w:t>
      </w:r>
      <w:r>
        <w:rPr>
          <w:rFonts w:ascii="Times New Roman" w:hAnsi="Times New Roman"/>
          <w:sz w:val="20"/>
        </w:rPr>
        <w:t xml:space="preserve">, the information that we file and furnish to the SEC as soon as reasonably practicable thereafter. Information contained on our website is not a part of or incorporated by reference into this prospectus. </w:t>
      </w:r>
    </w:p>
    <w:p>
      <w:pPr>
        <w:pStyle w:val="TextBody"/>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 You may inspect a copy of the registration statement through the SECs website, as provided above. </w:t>
      </w:r>
    </w:p>
    <w:p>
      <w:pPr>
        <w:pStyle w:val="TextBody"/>
        <w:spacing w:before="480" w:after="0"/>
        <w:jc w:val="center"/>
        <w:rPr>
          <w:rFonts w:ascii="Times New Roman" w:hAnsi="Times New Roman"/>
          <w:b/>
          <w:sz w:val="20"/>
        </w:rPr>
      </w:pPr>
      <w:bookmarkStart w:id="15" w:name="toc474504_13"/>
      <w:bookmarkEnd w:id="15"/>
      <w:r>
        <w:rPr>
          <w:rFonts w:ascii="Times New Roman" w:hAnsi="Times New Roman"/>
          <w:b/>
          <w:sz w:val="20"/>
        </w:rPr>
        <w:t xml:space="preserve">INCORPORATION BY REFERENCE </w:t>
      </w:r>
    </w:p>
    <w:p>
      <w:pPr>
        <w:pStyle w:val="TextBody"/>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modified or superseded for purposes of this prospectus to the extent that a statement contained in this prospectus or a subsequently filed document incorporated by reference modifies or replaces that statement. </w:t>
      </w:r>
    </w:p>
    <w:p>
      <w:pPr>
        <w:pStyle w:val="TextBody"/>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w:t>
            </w: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2022, filed with the SEC on March 24, 2023 (our Annual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Current Reports on Form  8-K filed with the SEC on </w:t>
            </w:r>
            <w:hyperlink r:id="rId4">
              <w:r>
                <w:rPr>
                  <w:rStyle w:val="InternetLink"/>
                  <w:rFonts w:ascii="Times New Roman" w:hAnsi="Times New Roman"/>
                  <w:sz w:val="20"/>
                </w:rPr>
                <w:t>March  9, 2023</w:t>
              </w:r>
            </w:hyperlink>
            <w:r>
              <w:rPr>
                <w:rFonts w:ascii="Times New Roman" w:hAnsi="Times New Roman"/>
                <w:sz w:val="20"/>
              </w:rPr>
              <w:t xml:space="preserve">, </w:t>
            </w:r>
            <w:hyperlink r:id="rId5">
              <w:r>
                <w:rPr>
                  <w:rStyle w:val="InternetLink"/>
                  <w:rFonts w:ascii="Times New Roman" w:hAnsi="Times New Roman"/>
                  <w:sz w:val="20"/>
                </w:rPr>
                <w:t>April  3, 2023</w:t>
              </w:r>
            </w:hyperlink>
            <w:r>
              <w:rPr>
                <w:rFonts w:ascii="Times New Roman" w:hAnsi="Times New Roman"/>
                <w:sz w:val="20"/>
              </w:rPr>
              <w:t xml:space="preserve"> and </w:t>
            </w:r>
            <w:hyperlink r:id="rId6">
              <w:r>
                <w:rPr>
                  <w:rStyle w:val="InternetLink"/>
                  <w:rFonts w:ascii="Times New Roman" w:hAnsi="Times New Roman"/>
                  <w:sz w:val="20"/>
                </w:rPr>
                <w:t>April 19, 2023</w:t>
              </w:r>
            </w:hyperlink>
            <w:r>
              <w:rPr>
                <w:rFonts w:ascii="Times New Roman" w:hAnsi="Times New Roman"/>
                <w:sz w:val="20"/>
              </w:rPr>
              <w:t xml:space="preserve"> and on Form 8-K/A filed with the SEC on </w:t>
            </w:r>
            <w:hyperlink r:id="rId7">
              <w:r>
                <w:rPr>
                  <w:rStyle w:val="InternetLink"/>
                  <w:rFonts w:ascii="Times New Roman" w:hAnsi="Times New Roman"/>
                  <w:sz w:val="20"/>
                </w:rPr>
                <w:t>April  5, 2022</w:t>
              </w:r>
            </w:hyperlink>
            <w:r>
              <w:rPr>
                <w:rFonts w:ascii="Times New Roman" w:hAnsi="Times New Roman"/>
                <w:sz w:val="20"/>
              </w:rPr>
              <w:t xml:space="preserve"> and </w:t>
            </w:r>
            <w:hyperlink r:id="rId8">
              <w:r>
                <w:rPr>
                  <w:rStyle w:val="InternetLink"/>
                  <w:rFonts w:ascii="Times New Roman" w:hAnsi="Times New Roman"/>
                  <w:sz w:val="20"/>
                </w:rPr>
                <w:t>April 18, 2023</w:t>
              </w:r>
            </w:hyperlink>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Times New Roman" w:hAnsi="Times New Roman"/>
                <w:sz w:val="20"/>
              </w:rPr>
              <w:t xml:space="preserve">the description of our securities contained in the Registration Statement on Form 8-A relating thereto, filed on </w:t>
            </w:r>
            <w:hyperlink r:id="rId9">
              <w:r>
                <w:rPr>
                  <w:rStyle w:val="InternetLink"/>
                  <w:rFonts w:ascii="Times New Roman" w:hAnsi="Times New Roman"/>
                  <w:sz w:val="20"/>
                </w:rPr>
                <w:t>October 15, 2021</w:t>
              </w:r>
            </w:hyperlink>
            <w:r>
              <w:rPr>
                <w:rFonts w:ascii="Times New Roman" w:hAnsi="Times New Roman"/>
                <w:sz w:val="20"/>
              </w:rPr>
              <w:t xml:space="preserve">, including any amendment or report filed for the purpose of updating such description. </w:t>
            </w:r>
          </w:p>
        </w:tc>
      </w:tr>
    </w:tbl>
    <w:p>
      <w:pPr>
        <w:pStyle w:val="TextBody"/>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 </w:t>
      </w:r>
    </w:p>
    <w:p>
      <w:pPr>
        <w:pStyle w:val="TextBody"/>
        <w:spacing w:before="24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by writing or telephoning us at the following address: </w:t>
      </w:r>
    </w:p>
    <w:p>
      <w:pPr>
        <w:pStyle w:val="TextBody"/>
        <w:spacing w:before="240" w:after="0"/>
        <w:jc w:val="center"/>
        <w:rPr>
          <w:rFonts w:ascii="Times New Roman" w:hAnsi="Times New Roman"/>
          <w:b/>
          <w:sz w:val="20"/>
        </w:rPr>
      </w:pPr>
      <w:r>
        <w:rPr>
          <w:rFonts w:ascii="Times New Roman" w:hAnsi="Times New Roman"/>
          <w:b/>
          <w:sz w:val="20"/>
        </w:rPr>
        <w:t xml:space="preserve">10000 Avalon Boulevard, Suite 1000 </w:t>
      </w:r>
    </w:p>
    <w:p>
      <w:pPr>
        <w:pStyle w:val="TextBody"/>
        <w:spacing w:before="0" w:after="0"/>
        <w:jc w:val="center"/>
        <w:rPr>
          <w:rFonts w:ascii="Times New Roman" w:hAnsi="Times New Roman"/>
          <w:b/>
          <w:sz w:val="20"/>
        </w:rPr>
      </w:pPr>
      <w:r>
        <w:rPr>
          <w:rFonts w:ascii="Times New Roman" w:hAnsi="Times New Roman"/>
          <w:b/>
          <w:sz w:val="20"/>
        </w:rPr>
        <w:t xml:space="preserve">Alpharetta, Georgia 30009 </w:t>
      </w:r>
    </w:p>
    <w:p>
      <w:pPr>
        <w:pStyle w:val="TextBody"/>
        <w:spacing w:before="0" w:after="0"/>
        <w:jc w:val="center"/>
        <w:rPr>
          <w:rFonts w:ascii="Times New Roman" w:hAnsi="Times New Roman"/>
          <w:b/>
          <w:sz w:val="20"/>
        </w:rPr>
      </w:pPr>
      <w:r>
        <w:rPr>
          <w:rFonts w:ascii="Times New Roman" w:hAnsi="Times New Roman"/>
          <w:b/>
          <w:sz w:val="20"/>
        </w:rPr>
        <w:t xml:space="preserve">(678) 534-5849 </w:t>
      </w:r>
    </w:p>
    <w:p>
      <w:pPr>
        <w:pStyle w:val="TextBody"/>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all expenses to be paid by us in connection with this registration statement and the listing of our Class A Common Stock and Warrants, other than underwriting discounts and commissions.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713"/>
        <w:gridCol w:w="475"/>
        <w:gridCol w:w="151"/>
        <w:gridCol w:w="1243"/>
        <w:gridCol w:w="357"/>
      </w:tblGrid>
      <w:tr>
        <w:trPr/>
        <w:tc>
          <w:tcPr>
            <w:tcW w:w="4713"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r>
      <w:tr>
        <w:trPr/>
        <w:tc>
          <w:tcPr>
            <w:tcW w:w="4713"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139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 Paid</w:t>
              <w:br/>
              <w:t>or to be Paid</w:t>
            </w:r>
          </w:p>
        </w:tc>
        <w:tc>
          <w:tcPr>
            <w:tcW w:w="357" w:type="dxa"/>
            <w:tcBorders/>
            <w:shd w:fill="auto" w:val="clear"/>
            <w:vAlign w:val="bottom"/>
          </w:tcPr>
          <w:p>
            <w:pPr>
              <w:pStyle w:val="TableContents"/>
              <w:spacing w:before="0" w:after="283"/>
              <w:rPr/>
            </w:pPr>
            <w:r>
              <w:rPr/>
              <w:t> </w:t>
            </w:r>
          </w:p>
        </w:tc>
      </w:tr>
      <w:tr>
        <w:trPr/>
        <w:tc>
          <w:tcPr>
            <w:tcW w:w="4713" w:type="dxa"/>
            <w:tcBorders/>
            <w:shd w:fill="CCEEFF" w:val="clear"/>
          </w:tcPr>
          <w:p>
            <w:pPr>
              <w:pStyle w:val="TableContents"/>
              <w:spacing w:before="0" w:after="0"/>
              <w:rPr>
                <w:rFonts w:ascii="Times New Roman" w:hAnsi="Times New Roman"/>
                <w:sz w:val="20"/>
              </w:rPr>
            </w:pPr>
            <w:r>
              <w:rPr>
                <w:rFonts w:ascii="Times New Roman" w:hAnsi="Times New Roman"/>
                <w:sz w:val="20"/>
              </w:rPr>
              <w:t>SEC registration fee</w:t>
            </w:r>
          </w:p>
        </w:tc>
        <w:tc>
          <w:tcPr>
            <w:tcW w:w="47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w:t>
            </w:r>
          </w:p>
        </w:tc>
        <w:tc>
          <w:tcPr>
            <w:tcW w:w="1243" w:type="dxa"/>
            <w:tcBorders/>
            <w:shd w:fill="CCEEFF" w:val="clear"/>
            <w:vAlign w:val="bottom"/>
          </w:tcPr>
          <w:p>
            <w:pPr>
              <w:pStyle w:val="TableContents"/>
              <w:spacing w:before="0" w:after="283"/>
              <w:jc w:val="right"/>
              <w:rPr/>
            </w:pPr>
            <w:r>
              <w:rPr/>
              <w:t>560,293.59</w:t>
            </w:r>
          </w:p>
        </w:tc>
        <w:tc>
          <w:tcPr>
            <w:tcW w:w="357" w:type="dxa"/>
            <w:tcBorders/>
            <w:shd w:fill="CCEEFF" w:val="clear"/>
            <w:vAlign w:val="bottom"/>
          </w:tcPr>
          <w:p>
            <w:pPr>
              <w:pStyle w:val="TableContents"/>
              <w:spacing w:before="0" w:after="283"/>
              <w:rPr/>
            </w:pPr>
            <w:r>
              <w:rPr/>
              <w:t>(1) </w:t>
            </w:r>
          </w:p>
        </w:tc>
      </w:tr>
      <w:tr>
        <w:trPr/>
        <w:tc>
          <w:tcPr>
            <w:tcW w:w="4713" w:type="dxa"/>
            <w:tcBorders/>
            <w:shd w:fill="auto" w:val="clear"/>
          </w:tcPr>
          <w:p>
            <w:pPr>
              <w:pStyle w:val="TableContents"/>
              <w:spacing w:before="0" w:after="0"/>
              <w:rPr>
                <w:rFonts w:ascii="Times New Roman" w:hAnsi="Times New Roman"/>
                <w:sz w:val="20"/>
              </w:rPr>
            </w:pPr>
            <w:r>
              <w:rPr>
                <w:rFonts w:ascii="Times New Roman" w:hAnsi="Times New Roman"/>
                <w:sz w:val="20"/>
              </w:rPr>
              <w:t>Stock exchange listing fee</w:t>
            </w:r>
          </w:p>
        </w:tc>
        <w:tc>
          <w:tcPr>
            <w:tcW w:w="47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243" w:type="dxa"/>
            <w:tcBorders/>
            <w:shd w:fill="auto" w:val="clear"/>
            <w:vAlign w:val="bottom"/>
          </w:tcPr>
          <w:p>
            <w:pPr>
              <w:pStyle w:val="TableContents"/>
              <w:spacing w:before="0" w:after="283"/>
              <w:jc w:val="right"/>
              <w:rPr/>
            </w:pPr>
            <w:r>
              <w:rPr/>
              <w:t>*</w:t>
            </w:r>
          </w:p>
        </w:tc>
        <w:tc>
          <w:tcPr>
            <w:tcW w:w="357" w:type="dxa"/>
            <w:tcBorders/>
            <w:shd w:fill="auto" w:val="clear"/>
            <w:vAlign w:val="bottom"/>
          </w:tcPr>
          <w:p>
            <w:pPr>
              <w:pStyle w:val="TableContents"/>
              <w:spacing w:before="0" w:after="283"/>
              <w:rPr/>
            </w:pPr>
            <w:r>
              <w:rPr/>
              <w:t> </w:t>
            </w:r>
          </w:p>
        </w:tc>
      </w:tr>
      <w:tr>
        <w:trPr/>
        <w:tc>
          <w:tcPr>
            <w:tcW w:w="4713" w:type="dxa"/>
            <w:tcBorders/>
            <w:shd w:fill="CCEEFF" w:val="clear"/>
          </w:tcPr>
          <w:p>
            <w:pPr>
              <w:pStyle w:val="TableContents"/>
              <w:spacing w:before="0" w:after="0"/>
              <w:rPr>
                <w:rFonts w:ascii="Times New Roman" w:hAnsi="Times New Roman"/>
                <w:sz w:val="20"/>
              </w:rPr>
            </w:pPr>
            <w:r>
              <w:rPr>
                <w:rFonts w:ascii="Times New Roman" w:hAnsi="Times New Roman"/>
                <w:sz w:val="20"/>
              </w:rPr>
              <w:t>Printing and engraving expenses</w:t>
            </w:r>
          </w:p>
        </w:tc>
        <w:tc>
          <w:tcPr>
            <w:tcW w:w="47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243" w:type="dxa"/>
            <w:tcBorders/>
            <w:shd w:fill="CCEEFF" w:val="clear"/>
            <w:vAlign w:val="bottom"/>
          </w:tcPr>
          <w:p>
            <w:pPr>
              <w:pStyle w:val="TableContents"/>
              <w:spacing w:before="0" w:after="283"/>
              <w:jc w:val="right"/>
              <w:rPr/>
            </w:pPr>
            <w:r>
              <w:rPr/>
              <w:t>*</w:t>
            </w:r>
          </w:p>
        </w:tc>
        <w:tc>
          <w:tcPr>
            <w:tcW w:w="357" w:type="dxa"/>
            <w:tcBorders/>
            <w:shd w:fill="CCEEFF" w:val="clear"/>
            <w:vAlign w:val="bottom"/>
          </w:tcPr>
          <w:p>
            <w:pPr>
              <w:pStyle w:val="TableContents"/>
              <w:spacing w:before="0" w:after="283"/>
              <w:rPr/>
            </w:pPr>
            <w:r>
              <w:rPr/>
              <w:t> </w:t>
            </w:r>
          </w:p>
        </w:tc>
      </w:tr>
      <w:tr>
        <w:trPr/>
        <w:tc>
          <w:tcPr>
            <w:tcW w:w="4713" w:type="dxa"/>
            <w:tcBorders/>
            <w:shd w:fill="auto" w:val="clear"/>
          </w:tcPr>
          <w:p>
            <w:pPr>
              <w:pStyle w:val="TableContents"/>
              <w:spacing w:before="0" w:after="0"/>
              <w:rPr>
                <w:rFonts w:ascii="Times New Roman" w:hAnsi="Times New Roman"/>
                <w:sz w:val="20"/>
              </w:rPr>
            </w:pPr>
            <w:r>
              <w:rPr>
                <w:rFonts w:ascii="Times New Roman" w:hAnsi="Times New Roman"/>
                <w:sz w:val="20"/>
              </w:rPr>
              <w:t>Accounting fees and expenses</w:t>
            </w:r>
          </w:p>
        </w:tc>
        <w:tc>
          <w:tcPr>
            <w:tcW w:w="47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243" w:type="dxa"/>
            <w:tcBorders/>
            <w:shd w:fill="auto" w:val="clear"/>
            <w:vAlign w:val="bottom"/>
          </w:tcPr>
          <w:p>
            <w:pPr>
              <w:pStyle w:val="TableContents"/>
              <w:spacing w:before="0" w:after="283"/>
              <w:jc w:val="right"/>
              <w:rPr/>
            </w:pPr>
            <w:r>
              <w:rPr/>
              <w:t>*</w:t>
            </w:r>
          </w:p>
        </w:tc>
        <w:tc>
          <w:tcPr>
            <w:tcW w:w="357" w:type="dxa"/>
            <w:tcBorders/>
            <w:shd w:fill="auto" w:val="clear"/>
            <w:vAlign w:val="bottom"/>
          </w:tcPr>
          <w:p>
            <w:pPr>
              <w:pStyle w:val="TableContents"/>
              <w:spacing w:before="0" w:after="283"/>
              <w:rPr/>
            </w:pPr>
            <w:r>
              <w:rPr/>
              <w:t> </w:t>
            </w:r>
          </w:p>
        </w:tc>
      </w:tr>
      <w:tr>
        <w:trPr/>
        <w:tc>
          <w:tcPr>
            <w:tcW w:w="4713" w:type="dxa"/>
            <w:tcBorders/>
            <w:shd w:fill="CCEEFF" w:val="clear"/>
          </w:tcPr>
          <w:p>
            <w:pPr>
              <w:pStyle w:val="TableContents"/>
              <w:spacing w:before="0" w:after="0"/>
              <w:rPr>
                <w:rFonts w:ascii="Times New Roman" w:hAnsi="Times New Roman"/>
                <w:sz w:val="20"/>
              </w:rPr>
            </w:pPr>
            <w:r>
              <w:rPr>
                <w:rFonts w:ascii="Times New Roman" w:hAnsi="Times New Roman"/>
                <w:sz w:val="20"/>
              </w:rPr>
              <w:t>Legal fees and expenses</w:t>
            </w:r>
          </w:p>
        </w:tc>
        <w:tc>
          <w:tcPr>
            <w:tcW w:w="47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243" w:type="dxa"/>
            <w:tcBorders/>
            <w:shd w:fill="CCEEFF" w:val="clear"/>
            <w:vAlign w:val="bottom"/>
          </w:tcPr>
          <w:p>
            <w:pPr>
              <w:pStyle w:val="TableContents"/>
              <w:spacing w:before="0" w:after="283"/>
              <w:jc w:val="right"/>
              <w:rPr/>
            </w:pPr>
            <w:r>
              <w:rPr/>
              <w:t>*</w:t>
            </w:r>
          </w:p>
        </w:tc>
        <w:tc>
          <w:tcPr>
            <w:tcW w:w="357" w:type="dxa"/>
            <w:tcBorders/>
            <w:shd w:fill="CCEEFF" w:val="clear"/>
            <w:vAlign w:val="bottom"/>
          </w:tcPr>
          <w:p>
            <w:pPr>
              <w:pStyle w:val="TableContents"/>
              <w:spacing w:before="0" w:after="283"/>
              <w:rPr/>
            </w:pPr>
            <w:r>
              <w:rPr/>
              <w:t> </w:t>
            </w:r>
          </w:p>
        </w:tc>
      </w:tr>
      <w:tr>
        <w:trPr/>
        <w:tc>
          <w:tcPr>
            <w:tcW w:w="4713" w:type="dxa"/>
            <w:tcBorders/>
            <w:shd w:fill="auto" w:val="clear"/>
          </w:tcPr>
          <w:p>
            <w:pPr>
              <w:pStyle w:val="TableContents"/>
              <w:spacing w:before="0" w:after="0"/>
              <w:rPr>
                <w:rFonts w:ascii="Times New Roman" w:hAnsi="Times New Roman"/>
                <w:sz w:val="20"/>
              </w:rPr>
            </w:pPr>
            <w:r>
              <w:rPr>
                <w:rFonts w:ascii="Times New Roman" w:hAnsi="Times New Roman"/>
                <w:sz w:val="20"/>
              </w:rPr>
              <w:t>Transfer agent and registrar fees and expenses</w:t>
            </w:r>
          </w:p>
        </w:tc>
        <w:tc>
          <w:tcPr>
            <w:tcW w:w="47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243" w:type="dxa"/>
            <w:tcBorders/>
            <w:shd w:fill="auto" w:val="clear"/>
            <w:vAlign w:val="bottom"/>
          </w:tcPr>
          <w:p>
            <w:pPr>
              <w:pStyle w:val="TableContents"/>
              <w:spacing w:before="0" w:after="283"/>
              <w:jc w:val="right"/>
              <w:rPr/>
            </w:pPr>
            <w:r>
              <w:rPr/>
              <w:t>*</w:t>
            </w:r>
          </w:p>
        </w:tc>
        <w:tc>
          <w:tcPr>
            <w:tcW w:w="357" w:type="dxa"/>
            <w:tcBorders/>
            <w:shd w:fill="auto" w:val="clear"/>
            <w:vAlign w:val="bottom"/>
          </w:tcPr>
          <w:p>
            <w:pPr>
              <w:pStyle w:val="TableContents"/>
              <w:spacing w:before="0" w:after="283"/>
              <w:rPr/>
            </w:pPr>
            <w:r>
              <w:rPr/>
              <w:t> </w:t>
            </w:r>
          </w:p>
        </w:tc>
      </w:tr>
      <w:tr>
        <w:trPr/>
        <w:tc>
          <w:tcPr>
            <w:tcW w:w="4713" w:type="dxa"/>
            <w:tcBorders/>
            <w:shd w:fill="CCEEFF" w:val="clear"/>
          </w:tcPr>
          <w:p>
            <w:pPr>
              <w:pStyle w:val="TableContents"/>
              <w:spacing w:before="0" w:after="0"/>
              <w:rPr>
                <w:rFonts w:ascii="Times New Roman" w:hAnsi="Times New Roman"/>
                <w:sz w:val="20"/>
              </w:rPr>
            </w:pPr>
            <w:r>
              <w:rPr>
                <w:rFonts w:ascii="Times New Roman" w:hAnsi="Times New Roman"/>
                <w:sz w:val="20"/>
              </w:rPr>
              <w:t>Miscellaneous expenses</w:t>
            </w:r>
          </w:p>
        </w:tc>
        <w:tc>
          <w:tcPr>
            <w:tcW w:w="475"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 </w:t>
            </w:r>
          </w:p>
        </w:tc>
        <w:tc>
          <w:tcPr>
            <w:tcW w:w="1243" w:type="dxa"/>
            <w:tcBorders/>
            <w:shd w:fill="CCEEFF" w:val="clear"/>
            <w:vAlign w:val="bottom"/>
          </w:tcPr>
          <w:p>
            <w:pPr>
              <w:pStyle w:val="TableContents"/>
              <w:spacing w:before="0" w:after="283"/>
              <w:jc w:val="right"/>
              <w:rPr/>
            </w:pPr>
            <w:r>
              <w:rPr/>
              <w:t>*</w:t>
            </w:r>
          </w:p>
        </w:tc>
        <w:tc>
          <w:tcPr>
            <w:tcW w:w="357" w:type="dxa"/>
            <w:tcBorders/>
            <w:shd w:fill="CCEEFF" w:val="clear"/>
            <w:vAlign w:val="bottom"/>
          </w:tcPr>
          <w:p>
            <w:pPr>
              <w:pStyle w:val="TableContents"/>
              <w:spacing w:before="0" w:after="283"/>
              <w:rPr/>
            </w:pPr>
            <w:r>
              <w:rPr/>
              <w:t> </w:t>
            </w:r>
          </w:p>
        </w:tc>
      </w:tr>
      <w:tr>
        <w:trPr/>
        <w:tc>
          <w:tcPr>
            <w:tcW w:w="4713"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0"/>
              <w:rPr/>
            </w:pPr>
            <w:r>
              <w:rPr/>
              <w:t> </w:t>
            </w:r>
          </w:p>
        </w:tc>
        <w:tc>
          <w:tcPr>
            <w:tcW w:w="1243" w:type="dxa"/>
            <w:tcBorders/>
            <w:shd w:fill="auto" w:val="clear"/>
            <w:vAlign w:val="bottom"/>
          </w:tcPr>
          <w:p>
            <w:pPr>
              <w:pStyle w:val="TableContents"/>
              <w:pBdr>
                <w:top w:val="single" w:sz="2" w:space="1" w:color="000000"/>
              </w:pBdr>
              <w:spacing w:before="0" w:after="0"/>
              <w:rPr/>
            </w:pPr>
            <w:r>
              <w:rPr/>
              <w:t> </w:t>
            </w:r>
          </w:p>
        </w:tc>
        <w:tc>
          <w:tcPr>
            <w:tcW w:w="357" w:type="dxa"/>
            <w:tcBorders/>
            <w:shd w:fill="auto" w:val="clear"/>
            <w:vAlign w:val="center"/>
          </w:tcPr>
          <w:p>
            <w:pPr>
              <w:pStyle w:val="TableContents"/>
              <w:spacing w:before="0" w:after="283"/>
              <w:rPr/>
            </w:pPr>
            <w:r>
              <w:rPr/>
              <w:t> </w:t>
            </w:r>
          </w:p>
        </w:tc>
      </w:tr>
      <w:tr>
        <w:trPr/>
        <w:tc>
          <w:tcPr>
            <w:tcW w:w="4713" w:type="dxa"/>
            <w:tcBorders/>
            <w:shd w:fill="auto" w:val="clear"/>
          </w:tcPr>
          <w:p>
            <w:pPr>
              <w:pStyle w:val="TableContents"/>
              <w:spacing w:before="0" w:after="0"/>
              <w:rPr>
                <w:rFonts w:ascii="Times New Roman" w:hAnsi="Times New Roman"/>
                <w:sz w:val="20"/>
              </w:rPr>
            </w:pPr>
            <w:r>
              <w:rPr>
                <w:rFonts w:ascii="Times New Roman" w:hAnsi="Times New Roman"/>
                <w:sz w:val="20"/>
              </w:rPr>
              <w:t>Total</w:t>
            </w:r>
          </w:p>
        </w:tc>
        <w:tc>
          <w:tcPr>
            <w:tcW w:w="47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w:t>
            </w:r>
          </w:p>
        </w:tc>
        <w:tc>
          <w:tcPr>
            <w:tcW w:w="1243" w:type="dxa"/>
            <w:tcBorders/>
            <w:shd w:fill="auto" w:val="clear"/>
            <w:vAlign w:val="bottom"/>
          </w:tcPr>
          <w:p>
            <w:pPr>
              <w:pStyle w:val="TableContents"/>
              <w:spacing w:before="0" w:after="283"/>
              <w:jc w:val="right"/>
              <w:rPr/>
            </w:pPr>
            <w:r>
              <w:rPr/>
              <w:t>560,293.59</w:t>
            </w:r>
          </w:p>
        </w:tc>
        <w:tc>
          <w:tcPr>
            <w:tcW w:w="357" w:type="dxa"/>
            <w:tcBorders/>
            <w:shd w:fill="auto" w:val="clear"/>
            <w:vAlign w:val="bottom"/>
          </w:tcPr>
          <w:p>
            <w:pPr>
              <w:pStyle w:val="TableContents"/>
              <w:spacing w:before="0" w:after="283"/>
              <w:rPr/>
            </w:pPr>
            <w:r>
              <w:rPr/>
              <w:t>(1) </w:t>
            </w:r>
          </w:p>
        </w:tc>
      </w:tr>
      <w:tr>
        <w:trPr/>
        <w:tc>
          <w:tcPr>
            <w:tcW w:w="4713"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0"/>
              <w:rPr/>
            </w:pPr>
            <w:r>
              <w:rPr/>
              <w:t> </w:t>
            </w:r>
          </w:p>
        </w:tc>
        <w:tc>
          <w:tcPr>
            <w:tcW w:w="1243" w:type="dxa"/>
            <w:tcBorders/>
            <w:shd w:fill="auto" w:val="clear"/>
            <w:vAlign w:val="bottom"/>
          </w:tcPr>
          <w:p>
            <w:pPr>
              <w:pStyle w:val="TableContents"/>
              <w:pBdr>
                <w:top w:val="single" w:sz="2" w:space="1" w:color="000000"/>
              </w:pBdr>
              <w:spacing w:before="0" w:after="0"/>
              <w:rPr/>
            </w:pPr>
            <w:r>
              <w:rPr/>
              <w:t> </w:t>
            </w:r>
          </w:p>
        </w:tc>
        <w:tc>
          <w:tcPr>
            <w:tcW w:w="357"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defined at this time.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Previously paid. </w:t>
            </w:r>
          </w:p>
        </w:tc>
      </w:tr>
    </w:tbl>
    <w:p>
      <w:pPr>
        <w:pStyle w:val="TextBody"/>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spacing w:before="120" w:after="0"/>
        <w:jc w:val="left"/>
        <w:rPr>
          <w:rFonts w:ascii="Times New Roman" w:hAnsi="Times New Roman"/>
          <w:sz w:val="20"/>
        </w:rPr>
      </w:pPr>
      <w:r>
        <w:rPr>
          <w:rFonts w:ascii="Times New Roman" w:hAnsi="Times New Roman"/>
          <w:sz w:val="20"/>
        </w:rPr>
        <w:t xml:space="preserve">Section 145 of the DGCL authorizes a corporations board of directors to grant, and authorizes a court to award, indemnity to officers, directors and other corporate agents. </w:t>
      </w:r>
    </w:p>
    <w:p>
      <w:pPr>
        <w:pStyle w:val="TextBody"/>
        <w:spacing w:before="240" w:after="0"/>
        <w:jc w:val="left"/>
        <w:rPr>
          <w:rFonts w:ascii="Times New Roman" w:hAnsi="Times New Roman"/>
          <w:sz w:val="20"/>
        </w:rPr>
      </w:pPr>
      <w:r>
        <w:rPr>
          <w:rFonts w:ascii="Times New Roman" w:hAnsi="Times New Roman"/>
          <w:sz w:val="20"/>
        </w:rPr>
        <w:t xml:space="preserve">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breach of their duty of loyalty to our company or our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as provided in Section 174 of the DGCL;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transaction from which they derived an improper personal benefit. </w:t>
            </w:r>
          </w:p>
        </w:tc>
      </w:tr>
    </w:tbl>
    <w:p>
      <w:pPr>
        <w:pStyle w:val="TextBody"/>
        <w:spacing w:before="240" w:after="0"/>
        <w:jc w:val="left"/>
        <w:rPr>
          <w:rFonts w:ascii="Times New Roman" w:hAnsi="Times New Roman"/>
          <w:sz w:val="20"/>
        </w:rPr>
      </w:pPr>
      <w:r>
        <w:rPr>
          <w:rFonts w:ascii="Times New Roman" w:hAnsi="Times New Roman"/>
          <w:sz w:val="20"/>
        </w:rPr>
        <w:t xml:space="preserve">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 </w:t>
      </w:r>
    </w:p>
    <w:p>
      <w:pPr>
        <w:pStyle w:val="TextBody"/>
        <w:spacing w:before="240" w:after="0"/>
        <w:jc w:val="left"/>
        <w:rPr>
          <w:rFonts w:ascii="Times New Roman" w:hAnsi="Times New Roman"/>
          <w:sz w:val="20"/>
        </w:rPr>
      </w:pPr>
      <w:r>
        <w:rPr>
          <w:rFonts w:ascii="Times New Roman" w:hAnsi="Times New Roman"/>
          <w:sz w:val="20"/>
        </w:rPr>
        <w:t xml:space="preserve">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 </w:t>
      </w:r>
    </w:p>
    <w:p>
      <w:pPr>
        <w:pStyle w:val="TextBody"/>
        <w:spacing w:before="240" w:after="0"/>
        <w:jc w:val="left"/>
        <w:rPr>
          <w:rFonts w:ascii="Times New Roman" w:hAnsi="Times New Roman"/>
          <w:sz w:val="20"/>
        </w:rPr>
      </w:pPr>
      <w:r>
        <w:rPr>
          <w:rFonts w:ascii="Times New Roman" w:hAnsi="Times New Roman"/>
          <w:sz w:val="20"/>
        </w:rPr>
        <w:t xml:space="preserve">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w:t>
      </w:r>
    </w:p>
    <w:p>
      <w:pPr>
        <w:pStyle w:val="TextBody"/>
        <w:spacing w:before="240" w:after="0"/>
        <w:jc w:val="left"/>
        <w:rPr>
          <w:rFonts w:ascii="Times New Roman" w:hAnsi="Times New Roman"/>
          <w:sz w:val="20"/>
        </w:rPr>
      </w:pPr>
      <w:r>
        <w:rPr>
          <w:rFonts w:ascii="Times New Roman" w:hAnsi="Times New Roman"/>
          <w:sz w:val="20"/>
        </w:rPr>
        <w:t xml:space="preserve">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w:t>
      </w:r>
    </w:p>
    <w:p>
      <w:pPr>
        <w:pStyle w:val="TextBody"/>
        <w:spacing w:before="240" w:after="0"/>
        <w:jc w:val="left"/>
        <w:rPr>
          <w:rFonts w:ascii="Times New Roman" w:hAnsi="Times New Roman"/>
          <w:sz w:val="20"/>
        </w:rPr>
      </w:pPr>
      <w:r>
        <w:rPr>
          <w:rFonts w:ascii="Times New Roman" w:hAnsi="Times New Roman"/>
          <w:sz w:val="20"/>
        </w:rPr>
        <w:t xml:space="preserve">Certain of our non-employee directors may, through their relationships with their employers, be insured and/or indemnified against certain liabilities incurred in their capacity as members of the Board. </w:t>
      </w:r>
    </w:p>
    <w:p>
      <w:pPr>
        <w:pStyle w:val="TextBody"/>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 </w:t>
      </w:r>
    </w:p>
    <w:p>
      <w:pPr>
        <w:pStyle w:val="TextBody"/>
        <w:spacing w:before="360" w:after="0"/>
        <w:jc w:val="left"/>
        <w:rPr>
          <w:rFonts w:ascii="Times New Roman" w:hAnsi="Times New Roman"/>
          <w:b/>
          <w:sz w:val="20"/>
        </w:rPr>
      </w:pPr>
      <w:r>
        <w:rPr>
          <w:rFonts w:ascii="Times New Roman" w:hAnsi="Times New Roman"/>
          <w:b/>
          <w:sz w:val="20"/>
        </w:rPr>
        <w:t xml:space="preserve">Item 16. Exhibits </w:t>
      </w:r>
    </w:p>
    <w:p>
      <w:pPr>
        <w:pStyle w:val="TextBody"/>
        <w:spacing w:before="120" w:after="0"/>
        <w:jc w:val="left"/>
        <w:rPr>
          <w:rFonts w:ascii="Times New Roman" w:hAnsi="Times New Roman"/>
          <w:b/>
          <w:i/>
          <w:sz w:val="20"/>
        </w:rPr>
      </w:pPr>
      <w:r>
        <w:rPr>
          <w:rFonts w:ascii="Times New Roman" w:hAnsi="Times New Roman"/>
          <w:b/>
          <w:i/>
          <w:sz w:val="20"/>
        </w:rPr>
        <w:t xml:space="preserve">(a) Exhibits </w:t>
      </w:r>
    </w:p>
    <w:p>
      <w:pPr>
        <w:pStyle w:val="TextBody"/>
        <w:spacing w:before="24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45"/>
        <w:gridCol w:w="414"/>
        <w:gridCol w:w="9046"/>
      </w:tblGrid>
      <w:tr>
        <w:trPr/>
        <w:tc>
          <w:tcPr>
            <w:tcW w:w="745"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9046" w:type="dxa"/>
            <w:tcBorders/>
            <w:shd w:fill="auto" w:val="clear"/>
            <w:vAlign w:val="center"/>
          </w:tcPr>
          <w:p>
            <w:pPr>
              <w:pStyle w:val="TableContents"/>
              <w:spacing w:before="0" w:after="283"/>
              <w:rPr>
                <w:sz w:val="4"/>
                <w:szCs w:val="4"/>
              </w:rPr>
            </w:pPr>
            <w:r>
              <w:rPr>
                <w:sz w:val="4"/>
                <w:szCs w:val="4"/>
              </w:rPr>
            </w:r>
          </w:p>
        </w:tc>
      </w:tr>
      <w:tr>
        <w:trPr/>
        <w:tc>
          <w:tcPr>
            <w:tcW w:w="745"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Exhibit</w:t>
              <w:br/>
              <w:t>Number</w:t>
            </w:r>
          </w:p>
        </w:tc>
        <w:tc>
          <w:tcPr>
            <w:tcW w:w="414" w:type="dxa"/>
            <w:tcBorders/>
            <w:shd w:fill="auto" w:val="clear"/>
            <w:vAlign w:val="bottom"/>
          </w:tcPr>
          <w:p>
            <w:pPr>
              <w:pStyle w:val="TableContents"/>
              <w:spacing w:before="0" w:after="283"/>
              <w:rPr/>
            </w:pPr>
            <w:r>
              <w:rPr/>
              <w:t>  </w:t>
            </w:r>
          </w:p>
        </w:tc>
        <w:tc>
          <w:tcPr>
            <w:tcW w:w="904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45" w:type="dxa"/>
            <w:tcBorders/>
            <w:shd w:fill="auto" w:val="clear"/>
            <w:vAlign w:val="center"/>
          </w:tcPr>
          <w:p>
            <w:pPr>
              <w:pStyle w:val="TableContents"/>
              <w:spacing w:before="0" w:after="283"/>
              <w:rPr>
                <w:sz w:val="4"/>
                <w:szCs w:val="4"/>
              </w:rPr>
            </w:pPr>
            <w:r>
              <w:rPr>
                <w:sz w:val="4"/>
                <w:szCs w:val="4"/>
              </w:rPr>
            </w:r>
          </w:p>
        </w:tc>
        <w:tc>
          <w:tcPr>
            <w:tcW w:w="9460" w:type="dxa"/>
            <w:gridSpan w:val="2"/>
            <w:tcBorders/>
            <w:shd w:fill="auto" w:val="clear"/>
            <w:vAlign w:val="center"/>
          </w:tcPr>
          <w:p>
            <w:pPr>
              <w:pStyle w:val="TableContents"/>
              <w:spacing w:before="0" w:after="283"/>
              <w:rPr>
                <w:sz w:val="4"/>
                <w:szCs w:val="4"/>
              </w:rPr>
            </w:pPr>
            <w:r>
              <w:rPr>
                <w:sz w:val="4"/>
                <w:szCs w:val="4"/>
              </w:rPr>
            </w:r>
          </w:p>
        </w:tc>
      </w:tr>
      <w:tr>
        <w:trPr/>
        <w:tc>
          <w:tcPr>
            <w:tcW w:w="745" w:type="dxa"/>
            <w:tcBorders/>
            <w:shd w:fill="auto" w:val="clear"/>
          </w:tcPr>
          <w:p>
            <w:pPr>
              <w:pStyle w:val="TableContents"/>
              <w:spacing w:before="0" w:after="283"/>
              <w:rPr/>
            </w:pPr>
            <w:r>
              <w:rPr/>
              <w:t>    </w:t>
            </w:r>
            <w:r>
              <w:rPr/>
              <w:t>2.1</w:t>
            </w:r>
          </w:p>
        </w:tc>
        <w:tc>
          <w:tcPr>
            <w:tcW w:w="414" w:type="dxa"/>
            <w:tcBorders/>
            <w:shd w:fill="auto" w:val="clear"/>
            <w:vAlign w:val="bottom"/>
          </w:tcPr>
          <w:p>
            <w:pPr>
              <w:pStyle w:val="TableContents"/>
              <w:spacing w:before="0" w:after="283"/>
              <w:rPr/>
            </w:pPr>
            <w:r>
              <w:rPr/>
              <w:t>  </w:t>
            </w:r>
          </w:p>
        </w:tc>
        <w:tc>
          <w:tcPr>
            <w:tcW w:w="9046" w:type="dxa"/>
            <w:tcBorders/>
            <w:shd w:fill="auto" w:val="clear"/>
          </w:tcPr>
          <w:p>
            <w:pPr>
              <w:pStyle w:val="TableContents"/>
              <w:spacing w:before="0" w:after="283"/>
              <w:rPr/>
            </w:pPr>
            <w:hyperlink r:id="rId10">
              <w:r>
                <w:rPr>
                  <w:rStyle w:val="InternetLink"/>
                </w:rPr>
                <w:t>Agreement and Plan of Merger, dated January  11, 2021, by and among the Company, Merger Sub, and the Company (incorporated by reference to Exhibit 2.1 to the Companys Form 8-K filed with the SEC on January 11, 2021).</w:t>
              </w:r>
            </w:hyperlink>
          </w:p>
        </w:tc>
      </w:tr>
      <w:tr>
        <w:trPr>
          <w:trHeight w:val="120" w:hRule="atLeast"/>
        </w:trPr>
        <w:tc>
          <w:tcPr>
            <w:tcW w:w="745" w:type="dxa"/>
            <w:tcBorders/>
            <w:shd w:fill="auto" w:val="clear"/>
            <w:vAlign w:val="center"/>
          </w:tcPr>
          <w:p>
            <w:pPr>
              <w:pStyle w:val="TableContents"/>
              <w:spacing w:before="0" w:after="283"/>
              <w:rPr>
                <w:sz w:val="4"/>
                <w:szCs w:val="4"/>
              </w:rPr>
            </w:pPr>
            <w:r>
              <w:rPr>
                <w:sz w:val="4"/>
                <w:szCs w:val="4"/>
              </w:rPr>
            </w:r>
          </w:p>
        </w:tc>
        <w:tc>
          <w:tcPr>
            <w:tcW w:w="9460" w:type="dxa"/>
            <w:gridSpan w:val="2"/>
            <w:tcBorders/>
            <w:shd w:fill="auto" w:val="clear"/>
            <w:vAlign w:val="center"/>
          </w:tcPr>
          <w:p>
            <w:pPr>
              <w:pStyle w:val="TableContents"/>
              <w:spacing w:before="0" w:after="283"/>
              <w:rPr>
                <w:sz w:val="4"/>
                <w:szCs w:val="4"/>
              </w:rPr>
            </w:pPr>
            <w:r>
              <w:rPr>
                <w:sz w:val="4"/>
                <w:szCs w:val="4"/>
              </w:rPr>
            </w:r>
          </w:p>
        </w:tc>
      </w:tr>
      <w:tr>
        <w:trPr/>
        <w:tc>
          <w:tcPr>
            <w:tcW w:w="745" w:type="dxa"/>
            <w:tcBorders/>
            <w:shd w:fill="auto" w:val="clear"/>
          </w:tcPr>
          <w:p>
            <w:pPr>
              <w:pStyle w:val="TableContents"/>
              <w:spacing w:before="0" w:after="283"/>
              <w:rPr/>
            </w:pPr>
            <w:r>
              <w:rPr/>
              <w:t>    </w:t>
            </w:r>
            <w:r>
              <w:rPr/>
              <w:t>2.2</w:t>
            </w:r>
          </w:p>
        </w:tc>
        <w:tc>
          <w:tcPr>
            <w:tcW w:w="414" w:type="dxa"/>
            <w:tcBorders/>
            <w:shd w:fill="auto" w:val="clear"/>
            <w:vAlign w:val="bottom"/>
          </w:tcPr>
          <w:p>
            <w:pPr>
              <w:pStyle w:val="TableContents"/>
              <w:spacing w:before="0" w:after="283"/>
              <w:rPr/>
            </w:pPr>
            <w:r>
              <w:rPr/>
              <w:t>  </w:t>
            </w:r>
          </w:p>
        </w:tc>
        <w:tc>
          <w:tcPr>
            <w:tcW w:w="9046" w:type="dxa"/>
            <w:tcBorders/>
            <w:shd w:fill="auto" w:val="clear"/>
          </w:tcPr>
          <w:p>
            <w:pPr>
              <w:pStyle w:val="TableContents"/>
              <w:spacing w:before="0" w:after="283"/>
              <w:rPr/>
            </w:pPr>
            <w:hyperlink r:id="rId11">
              <w:r>
                <w:rPr>
                  <w:rStyle w:val="InternetLink"/>
                </w:rPr>
                <w:t>Amendment to Agreement and Plan of Merger, dated March  30, 2021 by and among the Company, Merger Sub, and the Company (incorporated by reference to Exhibit 2.1 to the Companys Form 8-K filed with the SEC on March 31, 2021).</w:t>
              </w:r>
            </w:hyperlink>
          </w:p>
        </w:tc>
      </w:tr>
      <w:tr>
        <w:trPr>
          <w:trHeight w:val="120" w:hRule="atLeast"/>
        </w:trPr>
        <w:tc>
          <w:tcPr>
            <w:tcW w:w="745" w:type="dxa"/>
            <w:tcBorders/>
            <w:shd w:fill="auto" w:val="clear"/>
            <w:vAlign w:val="center"/>
          </w:tcPr>
          <w:p>
            <w:pPr>
              <w:pStyle w:val="TableContents"/>
              <w:spacing w:before="0" w:after="283"/>
              <w:rPr>
                <w:sz w:val="4"/>
                <w:szCs w:val="4"/>
              </w:rPr>
            </w:pPr>
            <w:r>
              <w:rPr>
                <w:sz w:val="4"/>
                <w:szCs w:val="4"/>
              </w:rPr>
            </w:r>
          </w:p>
        </w:tc>
        <w:tc>
          <w:tcPr>
            <w:tcW w:w="9460" w:type="dxa"/>
            <w:gridSpan w:val="2"/>
            <w:tcBorders/>
            <w:shd w:fill="auto" w:val="clear"/>
            <w:vAlign w:val="center"/>
          </w:tcPr>
          <w:p>
            <w:pPr>
              <w:pStyle w:val="TableContents"/>
              <w:spacing w:before="0" w:after="283"/>
              <w:rPr>
                <w:sz w:val="4"/>
                <w:szCs w:val="4"/>
              </w:rPr>
            </w:pPr>
            <w:r>
              <w:rPr>
                <w:sz w:val="4"/>
                <w:szCs w:val="4"/>
              </w:rPr>
            </w:r>
          </w:p>
        </w:tc>
      </w:tr>
      <w:tr>
        <w:trPr/>
        <w:tc>
          <w:tcPr>
            <w:tcW w:w="745" w:type="dxa"/>
            <w:tcBorders/>
            <w:shd w:fill="auto" w:val="clear"/>
          </w:tcPr>
          <w:p>
            <w:pPr>
              <w:pStyle w:val="TableContents"/>
              <w:spacing w:before="0" w:after="283"/>
              <w:rPr/>
            </w:pPr>
            <w:r>
              <w:rPr/>
              <w:t>    </w:t>
            </w:r>
            <w:r>
              <w:rPr/>
              <w:t>2.3</w:t>
            </w:r>
          </w:p>
        </w:tc>
        <w:tc>
          <w:tcPr>
            <w:tcW w:w="414" w:type="dxa"/>
            <w:tcBorders/>
            <w:shd w:fill="auto" w:val="clear"/>
            <w:vAlign w:val="bottom"/>
          </w:tcPr>
          <w:p>
            <w:pPr>
              <w:pStyle w:val="TableContents"/>
              <w:spacing w:before="0" w:after="283"/>
              <w:rPr/>
            </w:pPr>
            <w:r>
              <w:rPr/>
              <w:t>  </w:t>
            </w:r>
          </w:p>
        </w:tc>
        <w:tc>
          <w:tcPr>
            <w:tcW w:w="9046" w:type="dxa"/>
            <w:tcBorders/>
            <w:shd w:fill="auto" w:val="clear"/>
          </w:tcPr>
          <w:p>
            <w:pPr>
              <w:pStyle w:val="TableContents"/>
              <w:spacing w:before="0" w:after="283"/>
              <w:rPr/>
            </w:pPr>
            <w:hyperlink r:id="rId12">
              <w:r>
                <w:rPr>
                  <w:rStyle w:val="InternetLink"/>
                </w:rPr>
                <w:t>Amendment to Agreement and Plan of Merger, dated September  29, 2021 by and among the Company, Merger Sub, and the Company (incorporated by reference to Exhibit 2.1 to the Companys Form 8-K filed with the SEC on September 30, 2021).</w:t>
              </w:r>
            </w:hyperlink>
          </w:p>
        </w:tc>
      </w:tr>
      <w:tr>
        <w:trPr>
          <w:trHeight w:val="120" w:hRule="atLeast"/>
        </w:trPr>
        <w:tc>
          <w:tcPr>
            <w:tcW w:w="745" w:type="dxa"/>
            <w:tcBorders/>
            <w:shd w:fill="auto" w:val="clear"/>
            <w:vAlign w:val="center"/>
          </w:tcPr>
          <w:p>
            <w:pPr>
              <w:pStyle w:val="TableContents"/>
              <w:spacing w:before="0" w:after="283"/>
              <w:rPr>
                <w:sz w:val="4"/>
                <w:szCs w:val="4"/>
              </w:rPr>
            </w:pPr>
            <w:r>
              <w:rPr>
                <w:sz w:val="4"/>
                <w:szCs w:val="4"/>
              </w:rPr>
            </w:r>
          </w:p>
        </w:tc>
        <w:tc>
          <w:tcPr>
            <w:tcW w:w="9460" w:type="dxa"/>
            <w:gridSpan w:val="2"/>
            <w:tcBorders/>
            <w:shd w:fill="auto" w:val="clear"/>
            <w:vAlign w:val="center"/>
          </w:tcPr>
          <w:p>
            <w:pPr>
              <w:pStyle w:val="TableContents"/>
              <w:spacing w:before="0" w:after="283"/>
              <w:rPr>
                <w:sz w:val="4"/>
                <w:szCs w:val="4"/>
              </w:rPr>
            </w:pPr>
            <w:r>
              <w:rPr>
                <w:sz w:val="4"/>
                <w:szCs w:val="4"/>
              </w:rPr>
            </w:r>
          </w:p>
        </w:tc>
      </w:tr>
      <w:tr>
        <w:trPr/>
        <w:tc>
          <w:tcPr>
            <w:tcW w:w="745" w:type="dxa"/>
            <w:tcBorders/>
            <w:shd w:fill="auto" w:val="clear"/>
          </w:tcPr>
          <w:p>
            <w:pPr>
              <w:pStyle w:val="TableContents"/>
              <w:spacing w:before="0" w:after="283"/>
              <w:rPr/>
            </w:pPr>
            <w:r>
              <w:rPr/>
              <w:t>    </w:t>
            </w:r>
            <w:r>
              <w:rPr/>
              <w:t>3.1</w:t>
            </w:r>
          </w:p>
        </w:tc>
        <w:tc>
          <w:tcPr>
            <w:tcW w:w="414" w:type="dxa"/>
            <w:tcBorders/>
            <w:shd w:fill="auto" w:val="clear"/>
            <w:vAlign w:val="bottom"/>
          </w:tcPr>
          <w:p>
            <w:pPr>
              <w:pStyle w:val="TableContents"/>
              <w:spacing w:before="0" w:after="283"/>
              <w:rPr/>
            </w:pPr>
            <w:r>
              <w:rPr/>
              <w:t>  </w:t>
            </w:r>
          </w:p>
        </w:tc>
        <w:tc>
          <w:tcPr>
            <w:tcW w:w="9046" w:type="dxa"/>
            <w:tcBorders/>
            <w:shd w:fill="auto" w:val="clear"/>
          </w:tcPr>
          <w:p>
            <w:pPr>
              <w:pStyle w:val="TableContents"/>
              <w:spacing w:before="0" w:after="283"/>
              <w:rPr/>
            </w:pPr>
            <w:hyperlink r:id="rId13">
              <w:r>
                <w:rPr>
                  <w:rStyle w:val="InternetLink"/>
                </w:rPr>
                <w:t>Certificate of Incorporation of the Company, as currently in effect (incorporated by reference to Exhibit 3.1 to the Companys Form  8-K filed with the SEC on October 21, 2021).</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608"/>
        <w:gridCol w:w="512"/>
        <w:gridCol w:w="9085"/>
      </w:tblGrid>
      <w:tr>
        <w:trPr/>
        <w:tc>
          <w:tcPr>
            <w:tcW w:w="608"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bottom"/>
          </w:tcPr>
          <w:p>
            <w:pPr>
              <w:pStyle w:val="TableContents"/>
              <w:spacing w:before="0" w:after="283"/>
              <w:rPr>
                <w:sz w:val="4"/>
                <w:szCs w:val="4"/>
              </w:rPr>
            </w:pPr>
            <w:r>
              <w:rPr>
                <w:sz w:val="4"/>
                <w:szCs w:val="4"/>
              </w:rPr>
            </w:r>
          </w:p>
        </w:tc>
        <w:tc>
          <w:tcPr>
            <w:tcW w:w="9085" w:type="dxa"/>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Exhibit</w:t>
              <w:br/>
              <w:t>Number</w:t>
            </w:r>
          </w:p>
        </w:tc>
        <w:tc>
          <w:tcPr>
            <w:tcW w:w="512" w:type="dxa"/>
            <w:tcBorders/>
            <w:shd w:fill="auto" w:val="clear"/>
            <w:vAlign w:val="bottom"/>
          </w:tcPr>
          <w:p>
            <w:pPr>
              <w:pStyle w:val="TableContents"/>
              <w:spacing w:before="0" w:after="283"/>
              <w:rPr/>
            </w:pPr>
            <w:r>
              <w:rPr/>
              <w:t>  </w:t>
            </w:r>
          </w:p>
        </w:tc>
        <w:tc>
          <w:tcPr>
            <w:tcW w:w="908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608" w:type="dxa"/>
            <w:tcBorders/>
            <w:shd w:fill="auto" w:val="clear"/>
            <w:vAlign w:val="center"/>
          </w:tcPr>
          <w:p>
            <w:pPr>
              <w:pStyle w:val="TableContents"/>
              <w:spacing w:before="0" w:after="283"/>
              <w:rPr>
                <w:sz w:val="4"/>
                <w:szCs w:val="4"/>
              </w:rPr>
            </w:pPr>
            <w:r>
              <w:rPr>
                <w:sz w:val="4"/>
                <w:szCs w:val="4"/>
              </w:rPr>
            </w:r>
          </w:p>
        </w:tc>
        <w:tc>
          <w:tcPr>
            <w:tcW w:w="9597"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pPr>
            <w:r>
              <w:rPr/>
              <w:t>    </w:t>
            </w:r>
            <w:r>
              <w:rPr/>
              <w:t>3.2</w:t>
            </w:r>
          </w:p>
        </w:tc>
        <w:tc>
          <w:tcPr>
            <w:tcW w:w="512" w:type="dxa"/>
            <w:tcBorders/>
            <w:shd w:fill="auto" w:val="clear"/>
            <w:vAlign w:val="bottom"/>
          </w:tcPr>
          <w:p>
            <w:pPr>
              <w:pStyle w:val="TableContents"/>
              <w:spacing w:before="0" w:after="283"/>
              <w:rPr/>
            </w:pPr>
            <w:r>
              <w:rPr/>
              <w:t>  </w:t>
            </w:r>
          </w:p>
        </w:tc>
        <w:tc>
          <w:tcPr>
            <w:tcW w:w="9085" w:type="dxa"/>
            <w:tcBorders/>
            <w:shd w:fill="auto" w:val="clear"/>
          </w:tcPr>
          <w:p>
            <w:pPr>
              <w:pStyle w:val="TableContents"/>
              <w:spacing w:before="0" w:after="283"/>
              <w:rPr/>
            </w:pPr>
            <w:hyperlink r:id="rId14">
              <w:r>
                <w:rPr>
                  <w:rStyle w:val="InternetLink"/>
                </w:rPr>
                <w:t>By-Laws of the Company, as currently in effect (incorporated by reference to Exhibit 3.2 to the Companys Form 8-K filed with the SEC on October 21, 2021).</w:t>
              </w:r>
            </w:hyperlink>
          </w:p>
        </w:tc>
      </w:tr>
      <w:tr>
        <w:trPr>
          <w:trHeight w:val="120" w:hRule="atLeast"/>
        </w:trPr>
        <w:tc>
          <w:tcPr>
            <w:tcW w:w="608" w:type="dxa"/>
            <w:tcBorders/>
            <w:shd w:fill="auto" w:val="clear"/>
            <w:vAlign w:val="center"/>
          </w:tcPr>
          <w:p>
            <w:pPr>
              <w:pStyle w:val="TableContents"/>
              <w:spacing w:before="0" w:after="283"/>
              <w:rPr>
                <w:sz w:val="4"/>
                <w:szCs w:val="4"/>
              </w:rPr>
            </w:pPr>
            <w:r>
              <w:rPr>
                <w:sz w:val="4"/>
                <w:szCs w:val="4"/>
              </w:rPr>
            </w:r>
          </w:p>
        </w:tc>
        <w:tc>
          <w:tcPr>
            <w:tcW w:w="9597"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pPr>
            <w:r>
              <w:rPr/>
              <w:t>    </w:t>
            </w:r>
            <w:r>
              <w:rPr/>
              <w:t>4.1</w:t>
            </w:r>
          </w:p>
        </w:tc>
        <w:tc>
          <w:tcPr>
            <w:tcW w:w="512" w:type="dxa"/>
            <w:tcBorders/>
            <w:shd w:fill="auto" w:val="clear"/>
            <w:vAlign w:val="bottom"/>
          </w:tcPr>
          <w:p>
            <w:pPr>
              <w:pStyle w:val="TableContents"/>
              <w:spacing w:before="0" w:after="283"/>
              <w:rPr/>
            </w:pPr>
            <w:r>
              <w:rPr/>
              <w:t>  </w:t>
            </w:r>
          </w:p>
        </w:tc>
        <w:tc>
          <w:tcPr>
            <w:tcW w:w="9085" w:type="dxa"/>
            <w:tcBorders/>
            <w:shd w:fill="auto" w:val="clear"/>
          </w:tcPr>
          <w:p>
            <w:pPr>
              <w:pStyle w:val="TableContents"/>
              <w:spacing w:before="0" w:after="283"/>
              <w:rPr/>
            </w:pPr>
            <w:hyperlink r:id="rId15">
              <w:r>
                <w:rPr>
                  <w:rStyle w:val="InternetLink"/>
                </w:rPr>
                <w:t>Specimen Class A Common Stock Certificate of the Company (incorporated by reference to Exhibit  3.2 to the Companys Form 8-K filed with the SEC on October 21, 2021).</w:t>
              </w:r>
            </w:hyperlink>
          </w:p>
        </w:tc>
      </w:tr>
      <w:tr>
        <w:trPr>
          <w:trHeight w:val="120" w:hRule="atLeast"/>
        </w:trPr>
        <w:tc>
          <w:tcPr>
            <w:tcW w:w="608" w:type="dxa"/>
            <w:tcBorders/>
            <w:shd w:fill="auto" w:val="clear"/>
            <w:vAlign w:val="center"/>
          </w:tcPr>
          <w:p>
            <w:pPr>
              <w:pStyle w:val="TableContents"/>
              <w:spacing w:before="0" w:after="283"/>
              <w:rPr>
                <w:sz w:val="4"/>
                <w:szCs w:val="4"/>
              </w:rPr>
            </w:pPr>
            <w:r>
              <w:rPr>
                <w:sz w:val="4"/>
                <w:szCs w:val="4"/>
              </w:rPr>
            </w:r>
          </w:p>
        </w:tc>
        <w:tc>
          <w:tcPr>
            <w:tcW w:w="9597"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pPr>
            <w:r>
              <w:rPr/>
              <w:t>    </w:t>
            </w:r>
            <w:r>
              <w:rPr/>
              <w:t>4.2</w:t>
            </w:r>
          </w:p>
        </w:tc>
        <w:tc>
          <w:tcPr>
            <w:tcW w:w="512" w:type="dxa"/>
            <w:tcBorders/>
            <w:shd w:fill="auto" w:val="clear"/>
            <w:vAlign w:val="bottom"/>
          </w:tcPr>
          <w:p>
            <w:pPr>
              <w:pStyle w:val="TableContents"/>
              <w:spacing w:before="0" w:after="283"/>
              <w:rPr/>
            </w:pPr>
            <w:r>
              <w:rPr/>
              <w:t>  </w:t>
            </w:r>
          </w:p>
        </w:tc>
        <w:tc>
          <w:tcPr>
            <w:tcW w:w="9085" w:type="dxa"/>
            <w:tcBorders/>
            <w:shd w:fill="auto" w:val="clear"/>
          </w:tcPr>
          <w:p>
            <w:pPr>
              <w:pStyle w:val="TableContents"/>
              <w:spacing w:before="0" w:after="283"/>
              <w:rPr/>
            </w:pPr>
            <w:hyperlink r:id="rId16">
              <w:r>
                <w:rPr>
                  <w:rStyle w:val="InternetLink"/>
                </w:rPr>
                <w:t>Specimen Warrant Certificate of the Company (incorporated by reference to Exhibit 4.2 to the Companys Form 8-K filed with the SEC on October 21, 2021).</w:t>
              </w:r>
            </w:hyperlink>
          </w:p>
        </w:tc>
      </w:tr>
      <w:tr>
        <w:trPr>
          <w:trHeight w:val="120" w:hRule="atLeast"/>
        </w:trPr>
        <w:tc>
          <w:tcPr>
            <w:tcW w:w="608" w:type="dxa"/>
            <w:tcBorders/>
            <w:shd w:fill="auto" w:val="clear"/>
            <w:vAlign w:val="center"/>
          </w:tcPr>
          <w:p>
            <w:pPr>
              <w:pStyle w:val="TableContents"/>
              <w:spacing w:before="0" w:after="283"/>
              <w:rPr>
                <w:sz w:val="4"/>
                <w:szCs w:val="4"/>
              </w:rPr>
            </w:pPr>
            <w:r>
              <w:rPr>
                <w:sz w:val="4"/>
                <w:szCs w:val="4"/>
              </w:rPr>
            </w:r>
          </w:p>
        </w:tc>
        <w:tc>
          <w:tcPr>
            <w:tcW w:w="9597"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pPr>
            <w:r>
              <w:rPr/>
              <w:t>    </w:t>
            </w:r>
            <w:r>
              <w:rPr/>
              <w:t>4.3</w:t>
            </w:r>
          </w:p>
        </w:tc>
        <w:tc>
          <w:tcPr>
            <w:tcW w:w="512" w:type="dxa"/>
            <w:tcBorders/>
            <w:shd w:fill="auto" w:val="clear"/>
            <w:vAlign w:val="bottom"/>
          </w:tcPr>
          <w:p>
            <w:pPr>
              <w:pStyle w:val="TableContents"/>
              <w:spacing w:before="0" w:after="283"/>
              <w:rPr/>
            </w:pPr>
            <w:r>
              <w:rPr/>
              <w:t>  </w:t>
            </w:r>
          </w:p>
        </w:tc>
        <w:tc>
          <w:tcPr>
            <w:tcW w:w="9085" w:type="dxa"/>
            <w:tcBorders/>
            <w:shd w:fill="auto" w:val="clear"/>
          </w:tcPr>
          <w:p>
            <w:pPr>
              <w:pStyle w:val="TableContents"/>
              <w:spacing w:before="0" w:after="283"/>
              <w:rPr/>
            </w:pPr>
            <w:hyperlink r:id="rId17">
              <w:r>
                <w:rPr>
                  <w:rStyle w:val="InternetLink"/>
                </w:rPr>
                <w:t>Warrant Agreement, dated September 22, 2020, by and between the Company and Continental Stock Transfer  &amp; Trust Company, as warrant agent (incorporated by reference to Exhibit 4.1 of the Companys Form 8-K filed with the SEC on September 28, 2020).</w:t>
              </w:r>
            </w:hyperlink>
          </w:p>
        </w:tc>
      </w:tr>
      <w:tr>
        <w:trPr>
          <w:trHeight w:val="120" w:hRule="atLeast"/>
        </w:trPr>
        <w:tc>
          <w:tcPr>
            <w:tcW w:w="608" w:type="dxa"/>
            <w:tcBorders/>
            <w:shd w:fill="auto" w:val="clear"/>
            <w:vAlign w:val="center"/>
          </w:tcPr>
          <w:p>
            <w:pPr>
              <w:pStyle w:val="TableContents"/>
              <w:spacing w:before="0" w:after="283"/>
              <w:rPr>
                <w:sz w:val="4"/>
                <w:szCs w:val="4"/>
              </w:rPr>
            </w:pPr>
            <w:r>
              <w:rPr>
                <w:sz w:val="4"/>
                <w:szCs w:val="4"/>
              </w:rPr>
            </w:r>
          </w:p>
        </w:tc>
        <w:tc>
          <w:tcPr>
            <w:tcW w:w="9597"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pPr>
            <w:r>
              <w:rPr/>
              <w:t>    </w:t>
            </w:r>
            <w:r>
              <w:rPr/>
              <w:t>4.4</w:t>
            </w:r>
          </w:p>
        </w:tc>
        <w:tc>
          <w:tcPr>
            <w:tcW w:w="512" w:type="dxa"/>
            <w:tcBorders/>
            <w:shd w:fill="auto" w:val="clear"/>
            <w:vAlign w:val="bottom"/>
          </w:tcPr>
          <w:p>
            <w:pPr>
              <w:pStyle w:val="TableContents"/>
              <w:spacing w:before="0" w:after="283"/>
              <w:rPr/>
            </w:pPr>
            <w:r>
              <w:rPr/>
              <w:t>  </w:t>
            </w:r>
          </w:p>
        </w:tc>
        <w:tc>
          <w:tcPr>
            <w:tcW w:w="9085" w:type="dxa"/>
            <w:tcBorders/>
            <w:shd w:fill="auto" w:val="clear"/>
          </w:tcPr>
          <w:p>
            <w:pPr>
              <w:pStyle w:val="TableContents"/>
              <w:spacing w:before="0" w:after="283"/>
              <w:rPr/>
            </w:pPr>
            <w:hyperlink r:id="rId18">
              <w:r>
                <w:rPr>
                  <w:rStyle w:val="InternetLink"/>
                </w:rPr>
                <w:t>Third Amended and Restated Limited Liability Company Agreement, dated October  15, 2021, by and among Opco and the Opco Equity Holders (incorporated by reference to Exhibit 4.3 to the Companys Form 8-K filed with the SEC on October 21, 2021).</w:t>
              </w:r>
            </w:hyperlink>
          </w:p>
        </w:tc>
      </w:tr>
      <w:tr>
        <w:trPr>
          <w:trHeight w:val="120" w:hRule="atLeast"/>
        </w:trPr>
        <w:tc>
          <w:tcPr>
            <w:tcW w:w="608" w:type="dxa"/>
            <w:tcBorders/>
            <w:shd w:fill="auto" w:val="clear"/>
            <w:vAlign w:val="center"/>
          </w:tcPr>
          <w:p>
            <w:pPr>
              <w:pStyle w:val="TableContents"/>
              <w:spacing w:before="0" w:after="283"/>
              <w:rPr>
                <w:sz w:val="4"/>
                <w:szCs w:val="4"/>
              </w:rPr>
            </w:pPr>
            <w:r>
              <w:rPr>
                <w:sz w:val="4"/>
                <w:szCs w:val="4"/>
              </w:rPr>
            </w:r>
          </w:p>
        </w:tc>
        <w:tc>
          <w:tcPr>
            <w:tcW w:w="9597"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pPr>
            <w:r>
              <w:rPr/>
              <w:t>    </w:t>
            </w:r>
            <w:r>
              <w:rPr/>
              <w:t>5.1</w:t>
            </w:r>
          </w:p>
        </w:tc>
        <w:tc>
          <w:tcPr>
            <w:tcW w:w="512" w:type="dxa"/>
            <w:tcBorders/>
            <w:shd w:fill="auto" w:val="clear"/>
            <w:vAlign w:val="bottom"/>
          </w:tcPr>
          <w:p>
            <w:pPr>
              <w:pStyle w:val="TableContents"/>
              <w:spacing w:before="0" w:after="283"/>
              <w:rPr/>
            </w:pPr>
            <w:r>
              <w:rPr/>
              <w:t>  </w:t>
            </w:r>
          </w:p>
        </w:tc>
        <w:tc>
          <w:tcPr>
            <w:tcW w:w="9085" w:type="dxa"/>
            <w:tcBorders/>
            <w:shd w:fill="auto" w:val="clear"/>
          </w:tcPr>
          <w:p>
            <w:pPr>
              <w:pStyle w:val="TableContents"/>
              <w:spacing w:before="0" w:after="283"/>
              <w:rPr/>
            </w:pPr>
            <w:hyperlink r:id="rId19">
              <w:r>
                <w:rPr>
                  <w:rStyle w:val="InternetLink"/>
                </w:rPr>
                <w:t>Opinion of Wilson Sonsini Goodrich  &amp; Rosati, Professional Corporation (incorporated by reference to Exhibit 5.1 to the Companys Registration Statement on Form  S-1, as amended (File No. 333-261034) filed with the SEC on November 12, 2021).</w:t>
              </w:r>
            </w:hyperlink>
          </w:p>
        </w:tc>
      </w:tr>
      <w:tr>
        <w:trPr>
          <w:trHeight w:val="120" w:hRule="atLeast"/>
        </w:trPr>
        <w:tc>
          <w:tcPr>
            <w:tcW w:w="608" w:type="dxa"/>
            <w:tcBorders/>
            <w:shd w:fill="auto" w:val="clear"/>
            <w:vAlign w:val="center"/>
          </w:tcPr>
          <w:p>
            <w:pPr>
              <w:pStyle w:val="TableContents"/>
              <w:spacing w:before="0" w:after="283"/>
              <w:rPr>
                <w:sz w:val="4"/>
                <w:szCs w:val="4"/>
              </w:rPr>
            </w:pPr>
            <w:r>
              <w:rPr>
                <w:sz w:val="4"/>
                <w:szCs w:val="4"/>
              </w:rPr>
            </w:r>
          </w:p>
        </w:tc>
        <w:tc>
          <w:tcPr>
            <w:tcW w:w="9597"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pPr>
            <w:r>
              <w:rPr/>
              <w:t>  </w:t>
            </w:r>
            <w:r>
              <w:rPr/>
              <w:t>23.1</w:t>
            </w:r>
          </w:p>
        </w:tc>
        <w:tc>
          <w:tcPr>
            <w:tcW w:w="512" w:type="dxa"/>
            <w:tcBorders/>
            <w:shd w:fill="auto" w:val="clear"/>
            <w:vAlign w:val="bottom"/>
          </w:tcPr>
          <w:p>
            <w:pPr>
              <w:pStyle w:val="TableContents"/>
              <w:spacing w:before="0" w:after="283"/>
              <w:rPr/>
            </w:pPr>
            <w:r>
              <w:rPr/>
              <w:t>  </w:t>
            </w:r>
          </w:p>
        </w:tc>
        <w:tc>
          <w:tcPr>
            <w:tcW w:w="9085" w:type="dxa"/>
            <w:tcBorders/>
            <w:shd w:fill="auto" w:val="clear"/>
          </w:tcPr>
          <w:p>
            <w:pPr>
              <w:pStyle w:val="TableContents"/>
              <w:spacing w:before="0" w:after="283"/>
              <w:rPr/>
            </w:pPr>
            <w:hyperlink w:anchor="d474504dex231.htm">
              <w:r>
                <w:rPr>
                  <w:rStyle w:val="InternetLink"/>
                </w:rPr>
                <w:t xml:space="preserve">Consent of Ernst &amp; Young LLP, independent registered public accounting firm of the Company. </w:t>
              </w:r>
            </w:hyperlink>
          </w:p>
        </w:tc>
      </w:tr>
      <w:tr>
        <w:trPr>
          <w:trHeight w:val="120" w:hRule="atLeast"/>
        </w:trPr>
        <w:tc>
          <w:tcPr>
            <w:tcW w:w="608" w:type="dxa"/>
            <w:tcBorders/>
            <w:shd w:fill="auto" w:val="clear"/>
            <w:vAlign w:val="center"/>
          </w:tcPr>
          <w:p>
            <w:pPr>
              <w:pStyle w:val="TableContents"/>
              <w:spacing w:before="0" w:after="283"/>
              <w:rPr>
                <w:sz w:val="4"/>
                <w:szCs w:val="4"/>
              </w:rPr>
            </w:pPr>
            <w:r>
              <w:rPr>
                <w:sz w:val="4"/>
                <w:szCs w:val="4"/>
              </w:rPr>
            </w:r>
          </w:p>
        </w:tc>
        <w:tc>
          <w:tcPr>
            <w:tcW w:w="9597"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pPr>
            <w:r>
              <w:rPr/>
              <w:t>  </w:t>
            </w:r>
            <w:r>
              <w:rPr/>
              <w:t>23.2</w:t>
            </w:r>
          </w:p>
        </w:tc>
        <w:tc>
          <w:tcPr>
            <w:tcW w:w="512" w:type="dxa"/>
            <w:tcBorders/>
            <w:shd w:fill="auto" w:val="clear"/>
            <w:vAlign w:val="bottom"/>
          </w:tcPr>
          <w:p>
            <w:pPr>
              <w:pStyle w:val="TableContents"/>
              <w:spacing w:before="0" w:after="283"/>
              <w:rPr/>
            </w:pPr>
            <w:r>
              <w:rPr/>
              <w:t>  </w:t>
            </w:r>
          </w:p>
        </w:tc>
        <w:tc>
          <w:tcPr>
            <w:tcW w:w="9085" w:type="dxa"/>
            <w:tcBorders/>
            <w:shd w:fill="auto" w:val="clear"/>
          </w:tcPr>
          <w:p>
            <w:pPr>
              <w:pStyle w:val="TableContents"/>
              <w:spacing w:before="0" w:after="283"/>
              <w:rPr/>
            </w:pPr>
            <w:hyperlink w:anchor="d474504dex232.htm">
              <w:r>
                <w:rPr>
                  <w:rStyle w:val="InternetLink"/>
                </w:rPr>
                <w:t xml:space="preserve">Consent of WithumSmith+Brown, PC, independent registered public accounting firm of VPC Impact Acquisition Holdings. </w:t>
              </w:r>
            </w:hyperlink>
          </w:p>
        </w:tc>
      </w:tr>
      <w:tr>
        <w:trPr>
          <w:trHeight w:val="120" w:hRule="atLeast"/>
        </w:trPr>
        <w:tc>
          <w:tcPr>
            <w:tcW w:w="608" w:type="dxa"/>
            <w:tcBorders/>
            <w:shd w:fill="auto" w:val="clear"/>
            <w:vAlign w:val="center"/>
          </w:tcPr>
          <w:p>
            <w:pPr>
              <w:pStyle w:val="TableContents"/>
              <w:spacing w:before="0" w:after="283"/>
              <w:rPr>
                <w:sz w:val="4"/>
                <w:szCs w:val="4"/>
              </w:rPr>
            </w:pPr>
            <w:r>
              <w:rPr>
                <w:sz w:val="4"/>
                <w:szCs w:val="4"/>
              </w:rPr>
            </w:r>
          </w:p>
        </w:tc>
        <w:tc>
          <w:tcPr>
            <w:tcW w:w="9597"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pPr>
            <w:r>
              <w:rPr/>
              <w:t>  </w:t>
            </w:r>
            <w:r>
              <w:rPr/>
              <w:t>23.3</w:t>
            </w:r>
          </w:p>
        </w:tc>
        <w:tc>
          <w:tcPr>
            <w:tcW w:w="512" w:type="dxa"/>
            <w:tcBorders/>
            <w:shd w:fill="auto" w:val="clear"/>
            <w:vAlign w:val="bottom"/>
          </w:tcPr>
          <w:p>
            <w:pPr>
              <w:pStyle w:val="TableContents"/>
              <w:spacing w:before="0" w:after="283"/>
              <w:rPr/>
            </w:pPr>
            <w:r>
              <w:rPr/>
              <w:t>  </w:t>
            </w:r>
          </w:p>
        </w:tc>
        <w:tc>
          <w:tcPr>
            <w:tcW w:w="9085" w:type="dxa"/>
            <w:tcBorders/>
            <w:shd w:fill="auto" w:val="clear"/>
          </w:tcPr>
          <w:p>
            <w:pPr>
              <w:pStyle w:val="TableContents"/>
              <w:spacing w:before="0" w:after="283"/>
              <w:rPr/>
            </w:pPr>
            <w:hyperlink w:anchor="d474504dex233.htm">
              <w:r>
                <w:rPr>
                  <w:rStyle w:val="InternetLink"/>
                </w:rPr>
                <w:t xml:space="preserve">Consent of RSM US LLP, independent auditors of Apex Crypto, LLC. </w:t>
              </w:r>
            </w:hyperlink>
          </w:p>
        </w:tc>
      </w:tr>
      <w:tr>
        <w:trPr>
          <w:trHeight w:val="120" w:hRule="atLeast"/>
        </w:trPr>
        <w:tc>
          <w:tcPr>
            <w:tcW w:w="608" w:type="dxa"/>
            <w:tcBorders/>
            <w:shd w:fill="auto" w:val="clear"/>
            <w:vAlign w:val="center"/>
          </w:tcPr>
          <w:p>
            <w:pPr>
              <w:pStyle w:val="TableContents"/>
              <w:spacing w:before="0" w:after="283"/>
              <w:rPr>
                <w:sz w:val="4"/>
                <w:szCs w:val="4"/>
              </w:rPr>
            </w:pPr>
            <w:r>
              <w:rPr>
                <w:sz w:val="4"/>
                <w:szCs w:val="4"/>
              </w:rPr>
            </w:r>
          </w:p>
        </w:tc>
        <w:tc>
          <w:tcPr>
            <w:tcW w:w="9597"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pPr>
            <w:r>
              <w:rPr/>
              <w:t>  </w:t>
            </w:r>
            <w:r>
              <w:rPr/>
              <w:t>23.4</w:t>
            </w:r>
          </w:p>
        </w:tc>
        <w:tc>
          <w:tcPr>
            <w:tcW w:w="512" w:type="dxa"/>
            <w:tcBorders/>
            <w:shd w:fill="auto" w:val="clear"/>
            <w:vAlign w:val="bottom"/>
          </w:tcPr>
          <w:p>
            <w:pPr>
              <w:pStyle w:val="TableContents"/>
              <w:spacing w:before="0" w:after="283"/>
              <w:rPr/>
            </w:pPr>
            <w:r>
              <w:rPr/>
              <w:t>  </w:t>
            </w:r>
          </w:p>
        </w:tc>
        <w:tc>
          <w:tcPr>
            <w:tcW w:w="9085" w:type="dxa"/>
            <w:tcBorders/>
            <w:shd w:fill="auto" w:val="clear"/>
          </w:tcPr>
          <w:p>
            <w:pPr>
              <w:pStyle w:val="TableContents"/>
              <w:spacing w:before="0" w:after="283"/>
              <w:rPr/>
            </w:pPr>
            <w:hyperlink r:id="rId20">
              <w:r>
                <w:rPr>
                  <w:rStyle w:val="InternetLink"/>
                </w:rPr>
                <w:t>Consent of Wilson Sonsini Goodrich  &amp; Rosati, Professional Corporation (included in the opinion filed as Exhibit 5.1 to the Companys Registration Statement on Form S-1 (File No.  333-261034) filed with the SEC on November 12, 2021).</w:t>
              </w:r>
            </w:hyperlink>
          </w:p>
        </w:tc>
      </w:tr>
      <w:tr>
        <w:trPr>
          <w:trHeight w:val="120" w:hRule="atLeast"/>
        </w:trPr>
        <w:tc>
          <w:tcPr>
            <w:tcW w:w="608" w:type="dxa"/>
            <w:tcBorders/>
            <w:shd w:fill="auto" w:val="clear"/>
            <w:vAlign w:val="center"/>
          </w:tcPr>
          <w:p>
            <w:pPr>
              <w:pStyle w:val="TableContents"/>
              <w:spacing w:before="0" w:after="283"/>
              <w:rPr>
                <w:sz w:val="4"/>
                <w:szCs w:val="4"/>
              </w:rPr>
            </w:pPr>
            <w:r>
              <w:rPr>
                <w:sz w:val="4"/>
                <w:szCs w:val="4"/>
              </w:rPr>
            </w:r>
          </w:p>
        </w:tc>
        <w:tc>
          <w:tcPr>
            <w:tcW w:w="9597"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pPr>
            <w:r>
              <w:rPr/>
              <w:t>  </w:t>
            </w:r>
            <w:r>
              <w:rPr/>
              <w:t>24.1</w:t>
            </w:r>
          </w:p>
        </w:tc>
        <w:tc>
          <w:tcPr>
            <w:tcW w:w="512" w:type="dxa"/>
            <w:tcBorders/>
            <w:shd w:fill="auto" w:val="clear"/>
            <w:vAlign w:val="bottom"/>
          </w:tcPr>
          <w:p>
            <w:pPr>
              <w:pStyle w:val="TableContents"/>
              <w:spacing w:before="0" w:after="283"/>
              <w:rPr/>
            </w:pPr>
            <w:r>
              <w:rPr/>
              <w:t>  </w:t>
            </w:r>
          </w:p>
        </w:tc>
        <w:tc>
          <w:tcPr>
            <w:tcW w:w="9085" w:type="dxa"/>
            <w:tcBorders/>
            <w:shd w:fill="auto" w:val="clear"/>
          </w:tcPr>
          <w:p>
            <w:pPr>
              <w:pStyle w:val="TableContents"/>
              <w:spacing w:before="0" w:after="283"/>
              <w:rPr/>
            </w:pPr>
            <w:hyperlink r:id="rId21">
              <w:r>
                <w:rPr>
                  <w:rStyle w:val="InternetLink"/>
                </w:rPr>
                <w:t xml:space="preserve">Powers of Attorney (included on the signature page to the Companys Registration Statement on Form  S-1 (File No. 333-261034) filed with the SEC on November 12, 2021). </w:t>
              </w:r>
            </w:hyperlink>
          </w:p>
        </w:tc>
      </w:tr>
      <w:tr>
        <w:trPr>
          <w:trHeight w:val="120" w:hRule="atLeast"/>
        </w:trPr>
        <w:tc>
          <w:tcPr>
            <w:tcW w:w="608" w:type="dxa"/>
            <w:tcBorders/>
            <w:shd w:fill="auto" w:val="clear"/>
            <w:vAlign w:val="center"/>
          </w:tcPr>
          <w:p>
            <w:pPr>
              <w:pStyle w:val="TableContents"/>
              <w:spacing w:before="0" w:after="283"/>
              <w:rPr>
                <w:sz w:val="4"/>
                <w:szCs w:val="4"/>
              </w:rPr>
            </w:pPr>
            <w:r>
              <w:rPr>
                <w:sz w:val="4"/>
                <w:szCs w:val="4"/>
              </w:rPr>
            </w:r>
          </w:p>
        </w:tc>
        <w:tc>
          <w:tcPr>
            <w:tcW w:w="9597"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pPr>
            <w:r>
              <w:rPr/>
              <w:t>  </w:t>
            </w:r>
            <w:r>
              <w:rPr/>
              <w:t>24.2</w:t>
            </w:r>
          </w:p>
        </w:tc>
        <w:tc>
          <w:tcPr>
            <w:tcW w:w="512" w:type="dxa"/>
            <w:tcBorders/>
            <w:shd w:fill="auto" w:val="clear"/>
            <w:vAlign w:val="bottom"/>
          </w:tcPr>
          <w:p>
            <w:pPr>
              <w:pStyle w:val="TableContents"/>
              <w:spacing w:before="0" w:after="283"/>
              <w:rPr/>
            </w:pPr>
            <w:r>
              <w:rPr/>
              <w:t>  </w:t>
            </w:r>
          </w:p>
        </w:tc>
        <w:tc>
          <w:tcPr>
            <w:tcW w:w="9085" w:type="dxa"/>
            <w:tcBorders/>
            <w:shd w:fill="auto" w:val="clear"/>
          </w:tcPr>
          <w:p>
            <w:pPr>
              <w:pStyle w:val="TableContents"/>
              <w:spacing w:before="0" w:after="283"/>
              <w:rPr/>
            </w:pPr>
            <w:hyperlink w:anchor="d474504dex242.htm">
              <w:r>
                <w:rPr>
                  <w:rStyle w:val="InternetLink"/>
                </w:rPr>
                <w:t xml:space="preserve">Powers of Attorney. </w:t>
              </w:r>
            </w:hyperlink>
          </w:p>
        </w:tc>
      </w:tr>
      <w:tr>
        <w:trPr>
          <w:trHeight w:val="120" w:hRule="atLeast"/>
        </w:trPr>
        <w:tc>
          <w:tcPr>
            <w:tcW w:w="608" w:type="dxa"/>
            <w:tcBorders/>
            <w:shd w:fill="auto" w:val="clear"/>
            <w:vAlign w:val="center"/>
          </w:tcPr>
          <w:p>
            <w:pPr>
              <w:pStyle w:val="TableContents"/>
              <w:spacing w:before="0" w:after="283"/>
              <w:rPr>
                <w:sz w:val="4"/>
                <w:szCs w:val="4"/>
              </w:rPr>
            </w:pPr>
            <w:r>
              <w:rPr>
                <w:sz w:val="4"/>
                <w:szCs w:val="4"/>
              </w:rPr>
            </w:r>
          </w:p>
        </w:tc>
        <w:tc>
          <w:tcPr>
            <w:tcW w:w="9597"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pPr>
            <w:r>
              <w:rPr/>
              <w:t>107</w:t>
            </w:r>
          </w:p>
        </w:tc>
        <w:tc>
          <w:tcPr>
            <w:tcW w:w="512" w:type="dxa"/>
            <w:tcBorders/>
            <w:shd w:fill="auto" w:val="clear"/>
            <w:vAlign w:val="bottom"/>
          </w:tcPr>
          <w:p>
            <w:pPr>
              <w:pStyle w:val="TableContents"/>
              <w:spacing w:before="0" w:after="283"/>
              <w:rPr/>
            </w:pPr>
            <w:r>
              <w:rPr/>
              <w:t>  </w:t>
            </w:r>
          </w:p>
        </w:tc>
        <w:tc>
          <w:tcPr>
            <w:tcW w:w="9085" w:type="dxa"/>
            <w:tcBorders/>
            <w:shd w:fill="auto" w:val="clear"/>
          </w:tcPr>
          <w:p>
            <w:pPr>
              <w:pStyle w:val="TableContents"/>
              <w:spacing w:before="0" w:after="283"/>
              <w:rPr/>
            </w:pPr>
            <w:hyperlink w:anchor="d474504dexfilingfees.htm">
              <w:r>
                <w:rPr>
                  <w:rStyle w:val="InternetLink"/>
                </w:rPr>
                <w:t xml:space="preserve">Filing Fee Table. </w:t>
              </w:r>
            </w:hyperlink>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Schedules and exhibits to this agreement have been omitted pursuant to Item 601(b)(2) of Regulation S-K. A copy of any omitted schedule and/or exhibit will be furnished to the SEC upon request. </w:t>
            </w:r>
          </w:p>
        </w:tc>
      </w:tr>
    </w:tbl>
    <w:p>
      <w:pPr>
        <w:pStyle w:val="TextBody"/>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324"/>
        <w:gridCol w:w="8881"/>
      </w:tblGrid>
      <w:tr>
        <w:trPr/>
        <w:tc>
          <w:tcPr>
            <w:tcW w:w="1324" w:type="dxa"/>
            <w:tcBorders/>
            <w:shd w:fill="auto" w:val="clear"/>
            <w:vAlign w:val="center"/>
          </w:tcPr>
          <w:p>
            <w:pPr>
              <w:pStyle w:val="TableContents"/>
              <w:spacing w:before="0" w:after="283"/>
              <w:rPr/>
            </w:pPr>
            <w:r>
              <w:rPr/>
              <w:t> </w:t>
            </w:r>
          </w:p>
        </w:tc>
        <w:tc>
          <w:tcPr>
            <w:tcW w:w="8881" w:type="dxa"/>
            <w:tcBorders/>
            <w:shd w:fill="auto" w:val="clear"/>
          </w:tcPr>
          <w:p>
            <w:pPr>
              <w:pStyle w:val="TableContents"/>
              <w:spacing w:before="0" w:after="283"/>
              <w:jc w:val="left"/>
              <w:rPr/>
            </w:pPr>
            <w:r>
              <w:rPr/>
              <w:t xml:space="preserve">than a 20 percent change in the maximum aggregate offering price set forth in the Calculation of Registration Fee table in the effective registration statement;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(iii)</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that are incorporated by reference in the registration statement, or is contained in a form of prospectus filed pursuant to Rule 424(b) that is part of the registration statement.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(3)</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(4)</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6"/>
        <w:gridCol w:w="408"/>
        <w:gridCol w:w="8881"/>
      </w:tblGrid>
      <w:tr>
        <w:trPr/>
        <w:tc>
          <w:tcPr>
            <w:tcW w:w="91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8"/>
        <w:gridCol w:w="407"/>
        <w:gridCol w:w="8880"/>
      </w:tblGrid>
      <w:tr>
        <w:trPr/>
        <w:tc>
          <w:tcPr>
            <w:tcW w:w="91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(iii)</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(iv)</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(6)</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for purposes of determining any liability under the Securities Act, each filing of the registrants annual report pursuant to Section 13(a) or 15(d) of the Securities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(b)</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sig"/>
      <w:bookmarkEnd w:id="16"/>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Post-Effective Amendment No. 2 to this registration statement to be signed on its behalf by the undersigned, thereunto duly authorized in the City of Alpharetta, State of Georgia, on April 20,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29"/>
        <w:gridCol w:w="60"/>
        <w:gridCol w:w="3693"/>
      </w:tblGrid>
      <w:tr>
        <w:trPr/>
        <w:tc>
          <w:tcPr>
            <w:tcW w:w="3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9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BAKKT HOLDINGS, INC.</w:t>
            </w:r>
          </w:p>
        </w:tc>
      </w:tr>
      <w:tr>
        <w:trPr>
          <w:trHeight w:val="240" w:hRule="atLeast"/>
        </w:trPr>
        <w:tc>
          <w:tcPr>
            <w:tcW w:w="329" w:type="dxa"/>
            <w:tcBorders/>
            <w:shd w:fill="auto" w:val="clear"/>
            <w:vAlign w:val="center"/>
          </w:tcPr>
          <w:p>
            <w:pPr>
              <w:pStyle w:val="TableContents"/>
              <w:spacing w:before="0" w:after="283"/>
              <w:rPr>
                <w:sz w:val="4"/>
                <w:szCs w:val="4"/>
              </w:rPr>
            </w:pPr>
            <w:r>
              <w:rPr>
                <w:sz w:val="4"/>
                <w:szCs w:val="4"/>
              </w:rPr>
            </w:r>
          </w:p>
        </w:tc>
        <w:tc>
          <w:tcPr>
            <w:tcW w:w="3753" w:type="dxa"/>
            <w:gridSpan w:val="2"/>
            <w:tcBorders/>
            <w:shd w:fill="auto" w:val="clear"/>
            <w:vAlign w:val="center"/>
          </w:tcPr>
          <w:p>
            <w:pPr>
              <w:pStyle w:val="TableContents"/>
              <w:spacing w:before="0" w:after="283"/>
              <w:rPr>
                <w:sz w:val="4"/>
                <w:szCs w:val="4"/>
              </w:rPr>
            </w:pPr>
            <w:r>
              <w:rPr>
                <w:sz w:val="4"/>
                <w:szCs w:val="4"/>
              </w:rPr>
            </w:r>
          </w:p>
        </w:tc>
      </w:tr>
      <w:tr>
        <w:trPr/>
        <w:tc>
          <w:tcPr>
            <w:tcW w:w="329" w:type="dxa"/>
            <w:tcBorders/>
            <w:shd w:fill="auto" w:val="clear"/>
          </w:tcPr>
          <w:p>
            <w:pPr>
              <w:pStyle w:val="TableContents"/>
              <w:spacing w:before="0" w:after="0"/>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93"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Gavin Michael</w:t>
            </w:r>
          </w:p>
        </w:tc>
      </w:tr>
      <w:tr>
        <w:trPr/>
        <w:tc>
          <w:tcPr>
            <w:tcW w:w="32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9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Gavin Michael</w:t>
            </w:r>
          </w:p>
        </w:tc>
      </w:tr>
      <w:tr>
        <w:trPr/>
        <w:tc>
          <w:tcPr>
            <w:tcW w:w="329"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93" w:type="dxa"/>
            <w:tcBorders/>
            <w:shd w:fill="auto" w:val="clear"/>
            <w:vAlign w:val="bottom"/>
          </w:tcPr>
          <w:p>
            <w:pPr>
              <w:pStyle w:val="TableContents"/>
              <w:spacing w:before="0" w:after="283"/>
              <w:rPr/>
            </w:pPr>
            <w:r>
              <w:rPr/>
              <w:t>Chief Executive Officer</w:t>
            </w:r>
          </w:p>
        </w:tc>
      </w:tr>
    </w:tbl>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April 20, 2023.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686"/>
        <w:gridCol w:w="207"/>
        <w:gridCol w:w="5312"/>
      </w:tblGrid>
      <w:tr>
        <w:trPr/>
        <w:tc>
          <w:tcPr>
            <w:tcW w:w="468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5312" w:type="dxa"/>
            <w:tcBorders/>
            <w:shd w:fill="auto" w:val="clear"/>
            <w:vAlign w:val="center"/>
          </w:tcPr>
          <w:p>
            <w:pPr>
              <w:pStyle w:val="TableContents"/>
              <w:spacing w:before="0" w:after="283"/>
              <w:rPr>
                <w:sz w:val="4"/>
                <w:szCs w:val="4"/>
              </w:rPr>
            </w:pPr>
            <w:r>
              <w:rPr>
                <w:sz w:val="4"/>
                <w:szCs w:val="4"/>
              </w:rPr>
            </w:r>
          </w:p>
        </w:tc>
      </w:tr>
      <w:tr>
        <w:trPr/>
        <w:tc>
          <w:tcPr>
            <w:tcW w:w="468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Signature</w:t>
            </w:r>
          </w:p>
        </w:tc>
        <w:tc>
          <w:tcPr>
            <w:tcW w:w="207" w:type="dxa"/>
            <w:tcBorders/>
            <w:shd w:fill="auto" w:val="clear"/>
            <w:vAlign w:val="bottom"/>
          </w:tcPr>
          <w:p>
            <w:pPr>
              <w:pStyle w:val="TableContents"/>
              <w:spacing w:before="0" w:after="283"/>
              <w:rPr/>
            </w:pPr>
            <w:r>
              <w:rPr/>
              <w:t>  </w:t>
            </w:r>
          </w:p>
        </w:tc>
        <w:tc>
          <w:tcPr>
            <w:tcW w:w="531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Gavin Michael</w:t>
            </w:r>
          </w:p>
          <w:p>
            <w:pPr>
              <w:pStyle w:val="TableContents"/>
              <w:spacing w:before="0" w:after="20"/>
              <w:jc w:val="center"/>
              <w:rPr>
                <w:rFonts w:ascii="Times New Roman" w:hAnsi="Times New Roman"/>
                <w:sz w:val="20"/>
              </w:rPr>
            </w:pPr>
            <w:r>
              <w:rPr>
                <w:rFonts w:ascii="Times New Roman" w:hAnsi="Times New Roman"/>
                <w:sz w:val="20"/>
              </w:rPr>
              <w:t>Gavin Michael</w:t>
            </w:r>
          </w:p>
        </w:tc>
        <w:tc>
          <w:tcPr>
            <w:tcW w:w="207" w:type="dxa"/>
            <w:tcBorders/>
            <w:shd w:fill="auto" w:val="clear"/>
            <w:vAlign w:val="bottom"/>
          </w:tcPr>
          <w:p>
            <w:pPr>
              <w:pStyle w:val="TableContents"/>
              <w:spacing w:before="0" w:after="283"/>
              <w:rPr/>
            </w:pPr>
            <w:r>
              <w:rPr/>
              <w:t>  </w:t>
            </w:r>
          </w:p>
        </w:tc>
        <w:tc>
          <w:tcPr>
            <w:tcW w:w="5312" w:type="dxa"/>
            <w:tcBorders/>
            <w:shd w:fill="auto" w:val="clear"/>
            <w:vAlign w:val="bottom"/>
          </w:tcPr>
          <w:p>
            <w:pPr>
              <w:pStyle w:val="TableContents"/>
              <w:spacing w:before="0" w:after="283"/>
              <w:rPr/>
            </w:pPr>
            <w:r>
              <w:rPr/>
              <w:t xml:space="preserve">Chief Executive Officer and Director </w:t>
              <w:br/>
              <w:t>(Principal Executive Officer)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Karen Alexander</w:t>
            </w:r>
          </w:p>
          <w:p>
            <w:pPr>
              <w:pStyle w:val="TableContents"/>
              <w:spacing w:before="0" w:after="20"/>
              <w:jc w:val="center"/>
              <w:rPr>
                <w:rFonts w:ascii="Times New Roman" w:hAnsi="Times New Roman"/>
                <w:sz w:val="20"/>
              </w:rPr>
            </w:pPr>
            <w:r>
              <w:rPr>
                <w:rFonts w:ascii="Times New Roman" w:hAnsi="Times New Roman"/>
                <w:sz w:val="20"/>
              </w:rPr>
              <w:t>Karen Alexander</w:t>
            </w:r>
          </w:p>
        </w:tc>
        <w:tc>
          <w:tcPr>
            <w:tcW w:w="207" w:type="dxa"/>
            <w:tcBorders/>
            <w:shd w:fill="auto" w:val="clear"/>
            <w:vAlign w:val="bottom"/>
          </w:tcPr>
          <w:p>
            <w:pPr>
              <w:pStyle w:val="TableContents"/>
              <w:spacing w:before="0" w:after="283"/>
              <w:rPr/>
            </w:pPr>
            <w:r>
              <w:rPr/>
              <w:t>  </w:t>
            </w:r>
          </w:p>
        </w:tc>
        <w:tc>
          <w:tcPr>
            <w:tcW w:w="5312" w:type="dxa"/>
            <w:tcBorders/>
            <w:shd w:fill="auto" w:val="clear"/>
            <w:vAlign w:val="bottom"/>
          </w:tcPr>
          <w:p>
            <w:pPr>
              <w:pStyle w:val="TableContents"/>
              <w:spacing w:before="0" w:after="283"/>
              <w:rPr/>
            </w:pPr>
            <w:r>
              <w:rPr/>
              <w:t xml:space="preserve">Chief Financial Officer </w:t>
              <w:br/>
              <w:t>(Principal Financial Officer)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Charles Goodroe</w:t>
            </w:r>
          </w:p>
          <w:p>
            <w:pPr>
              <w:pStyle w:val="TableContents"/>
              <w:spacing w:before="0" w:after="20"/>
              <w:jc w:val="center"/>
              <w:rPr>
                <w:rFonts w:ascii="Times New Roman" w:hAnsi="Times New Roman"/>
                <w:sz w:val="20"/>
              </w:rPr>
            </w:pPr>
            <w:r>
              <w:rPr>
                <w:rFonts w:ascii="Times New Roman" w:hAnsi="Times New Roman"/>
                <w:sz w:val="20"/>
              </w:rPr>
              <w:t>Charles Goodroe</w:t>
            </w:r>
          </w:p>
        </w:tc>
        <w:tc>
          <w:tcPr>
            <w:tcW w:w="207" w:type="dxa"/>
            <w:tcBorders/>
            <w:shd w:fill="auto" w:val="clear"/>
            <w:vAlign w:val="bottom"/>
          </w:tcPr>
          <w:p>
            <w:pPr>
              <w:pStyle w:val="TableContents"/>
              <w:spacing w:before="0" w:after="283"/>
              <w:rPr/>
            </w:pPr>
            <w:r>
              <w:rPr/>
              <w:t>  </w:t>
            </w:r>
          </w:p>
        </w:tc>
        <w:tc>
          <w:tcPr>
            <w:tcW w:w="5312" w:type="dxa"/>
            <w:tcBorders/>
            <w:shd w:fill="auto" w:val="clear"/>
            <w:vAlign w:val="bottom"/>
          </w:tcPr>
          <w:p>
            <w:pPr>
              <w:pStyle w:val="TableContents"/>
              <w:spacing w:before="0" w:after="283"/>
              <w:rPr/>
            </w:pPr>
            <w:r>
              <w:rPr/>
              <w:t xml:space="preserve">Chief Accounting Officer </w:t>
              <w:br/>
              <w:t>(Principal Accounting Officer)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p>
          <w:p>
            <w:pPr>
              <w:pStyle w:val="TableContents"/>
              <w:spacing w:before="0" w:after="20"/>
              <w:jc w:val="center"/>
              <w:rPr>
                <w:rFonts w:ascii="Times New Roman" w:hAnsi="Times New Roman"/>
                <w:sz w:val="20"/>
              </w:rPr>
            </w:pPr>
            <w:r>
              <w:rPr>
                <w:rFonts w:ascii="Times New Roman" w:hAnsi="Times New Roman"/>
                <w:sz w:val="20"/>
              </w:rPr>
              <w:t>Sean Collins</w:t>
            </w:r>
          </w:p>
        </w:tc>
        <w:tc>
          <w:tcPr>
            <w:tcW w:w="207" w:type="dxa"/>
            <w:tcBorders/>
            <w:shd w:fill="auto" w:val="clear"/>
            <w:vAlign w:val="bottom"/>
          </w:tcPr>
          <w:p>
            <w:pPr>
              <w:pStyle w:val="TableContents"/>
              <w:spacing w:before="0" w:after="283"/>
              <w:rPr/>
            </w:pPr>
            <w:r>
              <w:rPr/>
              <w:t>  </w:t>
            </w:r>
          </w:p>
        </w:tc>
        <w:tc>
          <w:tcPr>
            <w:tcW w:w="5312" w:type="dxa"/>
            <w:tcBorders/>
            <w:shd w:fill="auto" w:val="clear"/>
            <w:vAlign w:val="bottom"/>
          </w:tcPr>
          <w:p>
            <w:pPr>
              <w:pStyle w:val="TableContents"/>
              <w:spacing w:before="0" w:after="283"/>
              <w:rPr/>
            </w:pPr>
            <w:r>
              <w:rPr/>
              <w:t>Chair of the Board of Directors</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p>
          <w:p>
            <w:pPr>
              <w:pStyle w:val="TableContents"/>
              <w:spacing w:before="0" w:after="20"/>
              <w:jc w:val="center"/>
              <w:rPr>
                <w:rFonts w:ascii="Times New Roman" w:hAnsi="Times New Roman"/>
                <w:sz w:val="20"/>
              </w:rPr>
            </w:pPr>
            <w:r>
              <w:rPr>
                <w:rFonts w:ascii="Times New Roman" w:hAnsi="Times New Roman"/>
                <w:sz w:val="20"/>
              </w:rPr>
              <w:t>David C. Clifton</w:t>
            </w:r>
          </w:p>
        </w:tc>
        <w:tc>
          <w:tcPr>
            <w:tcW w:w="207" w:type="dxa"/>
            <w:tcBorders/>
            <w:shd w:fill="auto" w:val="clear"/>
            <w:vAlign w:val="bottom"/>
          </w:tcPr>
          <w:p>
            <w:pPr>
              <w:pStyle w:val="TableContents"/>
              <w:spacing w:before="0" w:after="283"/>
              <w:rPr/>
            </w:pPr>
            <w:r>
              <w:rPr/>
              <w:t>  </w:t>
            </w:r>
          </w:p>
        </w:tc>
        <w:tc>
          <w:tcPr>
            <w:tcW w:w="5312" w:type="dxa"/>
            <w:tcBorders/>
            <w:shd w:fill="auto" w:val="clear"/>
            <w:vAlign w:val="bottom"/>
          </w:tcPr>
          <w:p>
            <w:pPr>
              <w:pStyle w:val="TableContents"/>
              <w:spacing w:before="0" w:after="283"/>
              <w:rPr/>
            </w:pPr>
            <w:r>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p>
          <w:p>
            <w:pPr>
              <w:pStyle w:val="TableContents"/>
              <w:spacing w:before="0" w:after="20"/>
              <w:jc w:val="center"/>
              <w:rPr>
                <w:rFonts w:ascii="Times New Roman" w:hAnsi="Times New Roman"/>
                <w:sz w:val="20"/>
              </w:rPr>
            </w:pPr>
            <w:r>
              <w:rPr>
                <w:rFonts w:ascii="Times New Roman" w:hAnsi="Times New Roman"/>
                <w:sz w:val="20"/>
              </w:rPr>
              <w:t>DeAna Dow</w:t>
            </w:r>
          </w:p>
        </w:tc>
        <w:tc>
          <w:tcPr>
            <w:tcW w:w="207" w:type="dxa"/>
            <w:tcBorders/>
            <w:shd w:fill="auto" w:val="clear"/>
            <w:vAlign w:val="bottom"/>
          </w:tcPr>
          <w:p>
            <w:pPr>
              <w:pStyle w:val="TableContents"/>
              <w:spacing w:before="0" w:after="283"/>
              <w:rPr/>
            </w:pPr>
            <w:r>
              <w:rPr/>
              <w:t>  </w:t>
            </w:r>
          </w:p>
        </w:tc>
        <w:tc>
          <w:tcPr>
            <w:tcW w:w="5312" w:type="dxa"/>
            <w:tcBorders/>
            <w:shd w:fill="auto" w:val="clear"/>
            <w:vAlign w:val="bottom"/>
          </w:tcPr>
          <w:p>
            <w:pPr>
              <w:pStyle w:val="TableContents"/>
              <w:spacing w:before="0" w:after="283"/>
              <w:rPr/>
            </w:pPr>
            <w:r>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p>
          <w:p>
            <w:pPr>
              <w:pStyle w:val="TableContents"/>
              <w:spacing w:before="0" w:after="20"/>
              <w:jc w:val="center"/>
              <w:rPr>
                <w:rFonts w:ascii="Times New Roman" w:hAnsi="Times New Roman"/>
                <w:sz w:val="20"/>
              </w:rPr>
            </w:pPr>
            <w:r>
              <w:rPr>
                <w:rFonts w:ascii="Times New Roman" w:hAnsi="Times New Roman"/>
                <w:sz w:val="20"/>
              </w:rPr>
              <w:t>Michelle J. Goldberg</w:t>
            </w:r>
          </w:p>
        </w:tc>
        <w:tc>
          <w:tcPr>
            <w:tcW w:w="207" w:type="dxa"/>
            <w:tcBorders/>
            <w:shd w:fill="auto" w:val="clear"/>
            <w:vAlign w:val="bottom"/>
          </w:tcPr>
          <w:p>
            <w:pPr>
              <w:pStyle w:val="TableContents"/>
              <w:spacing w:before="0" w:after="283"/>
              <w:rPr/>
            </w:pPr>
            <w:r>
              <w:rPr/>
              <w:t>  </w:t>
            </w:r>
          </w:p>
        </w:tc>
        <w:tc>
          <w:tcPr>
            <w:tcW w:w="5312" w:type="dxa"/>
            <w:tcBorders/>
            <w:shd w:fill="auto" w:val="clear"/>
            <w:vAlign w:val="bottom"/>
          </w:tcPr>
          <w:p>
            <w:pPr>
              <w:pStyle w:val="TableContents"/>
              <w:spacing w:before="0" w:after="283"/>
              <w:rPr/>
            </w:pPr>
            <w:r>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p>
          <w:p>
            <w:pPr>
              <w:pStyle w:val="TableContents"/>
              <w:spacing w:before="0" w:after="20"/>
              <w:jc w:val="center"/>
              <w:rPr>
                <w:rFonts w:ascii="Times New Roman" w:hAnsi="Times New Roman"/>
                <w:sz w:val="20"/>
              </w:rPr>
            </w:pPr>
            <w:r>
              <w:rPr>
                <w:rFonts w:ascii="Times New Roman" w:hAnsi="Times New Roman"/>
                <w:sz w:val="20"/>
              </w:rPr>
              <w:t>Richard Lumb</w:t>
            </w:r>
          </w:p>
        </w:tc>
        <w:tc>
          <w:tcPr>
            <w:tcW w:w="207" w:type="dxa"/>
            <w:tcBorders/>
            <w:shd w:fill="auto" w:val="clear"/>
            <w:vAlign w:val="bottom"/>
          </w:tcPr>
          <w:p>
            <w:pPr>
              <w:pStyle w:val="TableContents"/>
              <w:spacing w:before="0" w:after="283"/>
              <w:rPr/>
            </w:pPr>
            <w:r>
              <w:rPr/>
              <w:t>  </w:t>
            </w:r>
          </w:p>
        </w:tc>
        <w:tc>
          <w:tcPr>
            <w:tcW w:w="5312" w:type="dxa"/>
            <w:tcBorders/>
            <w:shd w:fill="auto" w:val="clear"/>
            <w:vAlign w:val="bottom"/>
          </w:tcPr>
          <w:p>
            <w:pPr>
              <w:pStyle w:val="TableContents"/>
              <w:spacing w:before="0" w:after="283"/>
              <w:rPr/>
            </w:pPr>
            <w:r>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p>
          <w:p>
            <w:pPr>
              <w:pStyle w:val="TableContents"/>
              <w:spacing w:before="0" w:after="20"/>
              <w:jc w:val="center"/>
              <w:rPr>
                <w:rFonts w:ascii="Times New Roman" w:hAnsi="Times New Roman"/>
                <w:sz w:val="20"/>
              </w:rPr>
            </w:pPr>
            <w:r>
              <w:rPr>
                <w:rFonts w:ascii="Times New Roman" w:hAnsi="Times New Roman"/>
                <w:sz w:val="20"/>
              </w:rPr>
              <w:t>Andrew A. Main</w:t>
            </w:r>
          </w:p>
        </w:tc>
        <w:tc>
          <w:tcPr>
            <w:tcW w:w="207" w:type="dxa"/>
            <w:tcBorders/>
            <w:shd w:fill="auto" w:val="clear"/>
            <w:vAlign w:val="bottom"/>
          </w:tcPr>
          <w:p>
            <w:pPr>
              <w:pStyle w:val="TableContents"/>
              <w:spacing w:before="0" w:after="283"/>
              <w:rPr/>
            </w:pPr>
            <w:r>
              <w:rPr/>
              <w:t>  </w:t>
            </w:r>
          </w:p>
        </w:tc>
        <w:tc>
          <w:tcPr>
            <w:tcW w:w="5312" w:type="dxa"/>
            <w:tcBorders/>
            <w:shd w:fill="auto" w:val="clear"/>
            <w:vAlign w:val="bottom"/>
          </w:tcPr>
          <w:p>
            <w:pPr>
              <w:pStyle w:val="TableContents"/>
              <w:spacing w:before="0" w:after="283"/>
              <w:rPr/>
            </w:pPr>
            <w:r>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p>
          <w:p>
            <w:pPr>
              <w:pStyle w:val="TableContents"/>
              <w:spacing w:before="0" w:after="20"/>
              <w:jc w:val="center"/>
              <w:rPr>
                <w:rFonts w:ascii="Times New Roman" w:hAnsi="Times New Roman"/>
                <w:sz w:val="20"/>
              </w:rPr>
            </w:pPr>
            <w:r>
              <w:rPr>
                <w:rFonts w:ascii="Times New Roman" w:hAnsi="Times New Roman"/>
                <w:sz w:val="20"/>
              </w:rPr>
              <w:t>Jill Simeone</w:t>
            </w:r>
          </w:p>
        </w:tc>
        <w:tc>
          <w:tcPr>
            <w:tcW w:w="207" w:type="dxa"/>
            <w:tcBorders/>
            <w:shd w:fill="auto" w:val="clear"/>
            <w:vAlign w:val="bottom"/>
          </w:tcPr>
          <w:p>
            <w:pPr>
              <w:pStyle w:val="TableContents"/>
              <w:spacing w:before="0" w:after="283"/>
              <w:rPr/>
            </w:pPr>
            <w:r>
              <w:rPr/>
              <w:t>  </w:t>
            </w:r>
          </w:p>
        </w:tc>
        <w:tc>
          <w:tcPr>
            <w:tcW w:w="5312" w:type="dxa"/>
            <w:tcBorders/>
            <w:shd w:fill="auto" w:val="clear"/>
            <w:vAlign w:val="bottom"/>
          </w:tcPr>
          <w:p>
            <w:pPr>
              <w:pStyle w:val="TableContents"/>
              <w:spacing w:before="0" w:after="283"/>
              <w:rPr/>
            </w:pPr>
            <w:r>
              <w:rPr/>
              <w:t>Director</w:t>
            </w:r>
          </w:p>
        </w:tc>
      </w:tr>
      <w:tr>
        <w:trPr>
          <w:trHeight w:val="240" w:hRule="atLeast"/>
        </w:trPr>
        <w:tc>
          <w:tcPr>
            <w:tcW w:w="4686" w:type="dxa"/>
            <w:tcBorders/>
            <w:shd w:fill="auto" w:val="clear"/>
            <w:vAlign w:val="center"/>
          </w:tcPr>
          <w:p>
            <w:pPr>
              <w:pStyle w:val="TableContents"/>
              <w:spacing w:before="0" w:after="283"/>
              <w:rPr>
                <w:sz w:val="4"/>
                <w:szCs w:val="4"/>
              </w:rPr>
            </w:pPr>
            <w:r>
              <w:rPr>
                <w:sz w:val="4"/>
                <w:szCs w:val="4"/>
              </w:rPr>
            </w:r>
          </w:p>
        </w:tc>
        <w:tc>
          <w:tcPr>
            <w:tcW w:w="5519" w:type="dxa"/>
            <w:gridSpan w:val="2"/>
            <w:tcBorders/>
            <w:shd w:fill="auto" w:val="clear"/>
            <w:vAlign w:val="center"/>
          </w:tcPr>
          <w:p>
            <w:pPr>
              <w:pStyle w:val="TableContents"/>
              <w:spacing w:before="0" w:after="283"/>
              <w:rPr>
                <w:sz w:val="4"/>
                <w:szCs w:val="4"/>
              </w:rPr>
            </w:pPr>
            <w:r>
              <w:rPr>
                <w:sz w:val="4"/>
                <w:szCs w:val="4"/>
              </w:rPr>
            </w:r>
          </w:p>
        </w:tc>
      </w:tr>
      <w:tr>
        <w:trPr/>
        <w:tc>
          <w:tcPr>
            <w:tcW w:w="4686"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w:t>
            </w:r>
          </w:p>
          <w:p>
            <w:pPr>
              <w:pStyle w:val="TableContents"/>
              <w:spacing w:before="0" w:after="20"/>
              <w:jc w:val="center"/>
              <w:rPr>
                <w:rFonts w:ascii="Times New Roman" w:hAnsi="Times New Roman"/>
                <w:sz w:val="20"/>
              </w:rPr>
            </w:pPr>
            <w:r>
              <w:rPr>
                <w:rFonts w:ascii="Times New Roman" w:hAnsi="Times New Roman"/>
                <w:sz w:val="20"/>
              </w:rPr>
              <w:t>Gordon Watson</w:t>
            </w:r>
          </w:p>
        </w:tc>
        <w:tc>
          <w:tcPr>
            <w:tcW w:w="207" w:type="dxa"/>
            <w:tcBorders/>
            <w:shd w:fill="auto" w:val="clear"/>
            <w:vAlign w:val="bottom"/>
          </w:tcPr>
          <w:p>
            <w:pPr>
              <w:pStyle w:val="TableContents"/>
              <w:spacing w:before="0" w:after="283"/>
              <w:rPr/>
            </w:pPr>
            <w:r>
              <w:rPr/>
              <w:t>  </w:t>
            </w:r>
          </w:p>
        </w:tc>
        <w:tc>
          <w:tcPr>
            <w:tcW w:w="5312" w:type="dxa"/>
            <w:tcBorders/>
            <w:shd w:fill="auto" w:val="clear"/>
            <w:vAlign w:val="bottom"/>
          </w:tcPr>
          <w:p>
            <w:pPr>
              <w:pStyle w:val="TableContents"/>
              <w:spacing w:before="0" w:after="283"/>
              <w:rPr/>
            </w:pPr>
            <w:r>
              <w:rPr/>
              <w:t>Director</w:t>
            </w:r>
          </w:p>
        </w:tc>
      </w:tr>
    </w:tbl>
    <w:tbl>
      <w:tblPr>
        <w:tblW w:w="5000" w:type="pct"/>
        <w:jc w:val="left"/>
        <w:tblInd w:w="0" w:type="dxa"/>
        <w:tblCellMar>
          <w:top w:w="0" w:type="dxa"/>
          <w:left w:w="0" w:type="dxa"/>
          <w:bottom w:w="0" w:type="dxa"/>
          <w:right w:w="0" w:type="dxa"/>
        </w:tblCellMar>
      </w:tblPr>
      <w:tblGrid>
        <w:gridCol w:w="565"/>
        <w:gridCol w:w="107"/>
        <w:gridCol w:w="3988"/>
        <w:gridCol w:w="120"/>
        <w:gridCol w:w="5425"/>
      </w:tblGrid>
      <w:tr>
        <w:trPr/>
        <w:tc>
          <w:tcPr>
            <w:tcW w:w="565"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398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425"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565" w:type="dxa"/>
            <w:tcBorders/>
            <w:shd w:fill="auto" w:val="clear"/>
            <w:vAlign w:val="center"/>
          </w:tcPr>
          <w:p>
            <w:pPr>
              <w:pStyle w:val="TableContents"/>
              <w:spacing w:before="0" w:after="283"/>
              <w:rPr>
                <w:sz w:val="4"/>
                <w:szCs w:val="4"/>
              </w:rPr>
            </w:pPr>
            <w:r>
              <w:rPr>
                <w:sz w:val="4"/>
                <w:szCs w:val="4"/>
              </w:rPr>
            </w:r>
          </w:p>
        </w:tc>
        <w:tc>
          <w:tcPr>
            <w:tcW w:w="4095" w:type="dxa"/>
            <w:gridSpan w:val="2"/>
            <w:tcBorders/>
            <w:shd w:fill="auto" w:val="clear"/>
            <w:vAlign w:val="center"/>
          </w:tcPr>
          <w:p>
            <w:pPr>
              <w:pStyle w:val="TableContents"/>
              <w:spacing w:before="0" w:after="283"/>
              <w:rPr>
                <w:sz w:val="4"/>
                <w:szCs w:val="4"/>
              </w:rPr>
            </w:pPr>
            <w:r>
              <w:rPr>
                <w:sz w:val="4"/>
                <w:szCs w:val="4"/>
              </w:rPr>
            </w:r>
          </w:p>
        </w:tc>
        <w:tc>
          <w:tcPr>
            <w:tcW w:w="5545" w:type="dxa"/>
            <w:gridSpan w:val="2"/>
            <w:tcBorders/>
            <w:shd w:fill="auto" w:val="clear"/>
            <w:vAlign w:val="center"/>
          </w:tcPr>
          <w:p>
            <w:pPr>
              <w:pStyle w:val="TableContents"/>
              <w:spacing w:before="0" w:after="283"/>
              <w:rPr>
                <w:sz w:val="4"/>
                <w:szCs w:val="4"/>
              </w:rPr>
            </w:pPr>
            <w:r>
              <w:rPr>
                <w:sz w:val="4"/>
                <w:szCs w:val="4"/>
              </w:rPr>
            </w:r>
          </w:p>
        </w:tc>
      </w:tr>
      <w:tr>
        <w:trPr/>
        <w:tc>
          <w:tcPr>
            <w:tcW w:w="565" w:type="dxa"/>
            <w:tcBorders/>
            <w:shd w:fill="auto" w:val="clear"/>
          </w:tcPr>
          <w:p>
            <w:pPr>
              <w:pStyle w:val="TableContents"/>
              <w:spacing w:before="0" w:after="283"/>
              <w:rPr/>
            </w:pPr>
            <w:r>
              <w:rPr/>
              <w:t>*By:</w:t>
            </w:r>
          </w:p>
        </w:tc>
        <w:tc>
          <w:tcPr>
            <w:tcW w:w="107" w:type="dxa"/>
            <w:tcBorders/>
            <w:shd w:fill="auto" w:val="clear"/>
            <w:vAlign w:val="bottom"/>
          </w:tcPr>
          <w:p>
            <w:pPr>
              <w:pStyle w:val="TableContents"/>
              <w:spacing w:before="0" w:after="283"/>
              <w:rPr/>
            </w:pPr>
            <w:r>
              <w:rPr/>
              <w:t> </w:t>
            </w:r>
          </w:p>
        </w:tc>
        <w:tc>
          <w:tcPr>
            <w:tcW w:w="3988"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Gavin Michael</w:t>
            </w:r>
          </w:p>
        </w:tc>
        <w:tc>
          <w:tcPr>
            <w:tcW w:w="120" w:type="dxa"/>
            <w:tcBorders/>
            <w:shd w:fill="auto" w:val="clear"/>
            <w:vAlign w:val="bottom"/>
          </w:tcPr>
          <w:p>
            <w:pPr>
              <w:pStyle w:val="TableContents"/>
              <w:spacing w:before="0" w:after="283"/>
              <w:rPr/>
            </w:pPr>
            <w:r>
              <w:rPr/>
              <w:t>  </w:t>
            </w:r>
          </w:p>
        </w:tc>
        <w:tc>
          <w:tcPr>
            <w:tcW w:w="5425" w:type="dxa"/>
            <w:tcBorders/>
            <w:shd w:fill="auto" w:val="clear"/>
            <w:vAlign w:val="bottom"/>
          </w:tcPr>
          <w:p>
            <w:pPr>
              <w:pStyle w:val="TableContents"/>
              <w:spacing w:before="0" w:after="283"/>
              <w:rPr/>
            </w:pPr>
            <w:r>
              <w:rPr/>
              <w:t>Attorney-in-Fact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II-6 </w:t>
      </w:r>
      <w:r>
        <w:br w:type="page"/>
      </w:r>
    </w:p>
    <w:p>
      <w:pPr>
        <w:pStyle w:val="TextBody"/>
        <w:spacing w:before="0" w:after="0"/>
        <w:jc w:val="right"/>
        <w:rPr>
          <w:rFonts w:ascii="Times New Roman" w:hAnsi="Times New Roman"/>
          <w:b/>
          <w:sz w:val="20"/>
        </w:rPr>
      </w:pPr>
      <w:bookmarkStart w:id="17" w:name="d474504dex231.htm"/>
      <w:bookmarkStart w:id="18" w:name="ksd474504dex231"/>
      <w:bookmarkEnd w:id="17"/>
      <w:bookmarkEnd w:id="18"/>
      <w:r>
        <w:rPr>
          <w:rFonts w:ascii="Times New Roman" w:hAnsi="Times New Roman"/>
          <w:b/>
          <w:sz w:val="20"/>
        </w:rPr>
        <w:t xml:space="preserve">Exhibit 23.1 </w:t>
      </w:r>
    </w:p>
    <w:p>
      <w:pPr>
        <w:pStyle w:val="TextBody"/>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Post-Effective Amendment No. 2 to the Form S-1 on Form S-3 Registration Statement (File No. 333-261034) and related Prospectus of Bakkt Holdings, Inc. for the registration of 191,245,020 shares of Class A common stock and to the incorporation by reference therein of our report dated March 24, 2023, with respect to the consolidated financial statements of Bakkt Holdings Inc. included in its Annual Report (Form 10-K) for the year ended December 31, 2022, filed with the Securities and Exchange Commission. </w:t>
      </w:r>
    </w:p>
    <w:p>
      <w:pPr>
        <w:pStyle w:val="TextBody"/>
        <w:spacing w:before="240" w:after="0"/>
        <w:jc w:val="left"/>
        <w:rPr>
          <w:rFonts w:ascii="Times New Roman" w:hAnsi="Times New Roman"/>
          <w:sz w:val="20"/>
        </w:rPr>
      </w:pPr>
      <w:r>
        <w:rPr>
          <w:rFonts w:ascii="Times New Roman" w:hAnsi="Times New Roman"/>
          <w:sz w:val="20"/>
        </w:rPr>
        <w:t xml:space="preserve">/s/ Ernst &amp; Young LLP </w:t>
      </w:r>
    </w:p>
    <w:p>
      <w:pPr>
        <w:pStyle w:val="TextBody"/>
        <w:spacing w:before="240" w:after="0"/>
        <w:jc w:val="left"/>
        <w:rPr>
          <w:rFonts w:ascii="Times New Roman" w:hAnsi="Times New Roman"/>
          <w:sz w:val="20"/>
        </w:rPr>
      </w:pPr>
      <w:r>
        <w:rPr>
          <w:rFonts w:ascii="Times New Roman" w:hAnsi="Times New Roman"/>
          <w:sz w:val="20"/>
        </w:rPr>
        <w:t xml:space="preserve">Atlanta, Georgia </w:t>
      </w:r>
    </w:p>
    <w:p>
      <w:pPr>
        <w:pStyle w:val="TextBody"/>
        <w:spacing w:before="240" w:after="0"/>
        <w:jc w:val="left"/>
        <w:rPr>
          <w:rFonts w:ascii="Times New Roman" w:hAnsi="Times New Roman"/>
          <w:sz w:val="20"/>
        </w:rPr>
      </w:pPr>
      <w:r>
        <w:rPr>
          <w:rFonts w:ascii="Times New Roman" w:hAnsi="Times New Roman"/>
          <w:sz w:val="20"/>
        </w:rPr>
        <w:t xml:space="preserve">April 20, 2023 </w:t>
      </w:r>
      <w:r>
        <w:br w:type="page"/>
      </w:r>
    </w:p>
    <w:p>
      <w:pPr>
        <w:pStyle w:val="TextBody"/>
        <w:spacing w:before="0" w:after="0"/>
        <w:jc w:val="right"/>
        <w:rPr>
          <w:rFonts w:ascii="Times New Roman" w:hAnsi="Times New Roman"/>
          <w:b/>
          <w:sz w:val="20"/>
        </w:rPr>
      </w:pPr>
      <w:bookmarkStart w:id="19" w:name="d474504dex232.htm"/>
      <w:bookmarkStart w:id="20" w:name="ksd474504dex232"/>
      <w:bookmarkEnd w:id="19"/>
      <w:bookmarkEnd w:id="20"/>
      <w:r>
        <w:rPr>
          <w:rFonts w:ascii="Times New Roman" w:hAnsi="Times New Roman"/>
          <w:b/>
          <w:sz w:val="20"/>
        </w:rPr>
        <w:t xml:space="preserve">Exhibit 23.2 </w:t>
      </w:r>
    </w:p>
    <w:p>
      <w:pPr>
        <w:pStyle w:val="TextBody"/>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hereby consent to the incorporation by reference in the Prospectus constituting a part of this Registration Statement to Post -Effective Amendment No. 2 to Form S-1 on Form S-3 of our report dated March 28, 2022, relating to the consolidated financial statements of Bakkt Holdings, Inc. (f/k/a VPC Impact Acquisition Holdings), which is contained in Exhibit 99.1 to Form 8-K (File No. 001-39544), filed on April 5, 2022. We also consent to the reference to our firm under the caption Experts in the Prospectus. </w:t>
      </w:r>
    </w:p>
    <w:p>
      <w:pPr>
        <w:pStyle w:val="TextBody"/>
        <w:spacing w:before="240" w:after="0"/>
        <w:jc w:val="left"/>
        <w:rPr>
          <w:rFonts w:ascii="Times New Roman" w:hAnsi="Times New Roman"/>
          <w:sz w:val="20"/>
        </w:rPr>
      </w:pPr>
      <w:r>
        <w:rPr>
          <w:rFonts w:ascii="Times New Roman" w:hAnsi="Times New Roman"/>
          <w:sz w:val="20"/>
        </w:rPr>
        <w:t xml:space="preserve">/s/ WithumSmith+Brown, PC </w:t>
      </w:r>
    </w:p>
    <w:p>
      <w:pPr>
        <w:pStyle w:val="TextBody"/>
        <w:spacing w:before="240" w:after="0"/>
        <w:jc w:val="left"/>
        <w:rPr>
          <w:rFonts w:ascii="Times New Roman" w:hAnsi="Times New Roman"/>
          <w:sz w:val="20"/>
        </w:rPr>
      </w:pPr>
      <w:r>
        <w:rPr>
          <w:rFonts w:ascii="Times New Roman" w:hAnsi="Times New Roman"/>
          <w:sz w:val="20"/>
        </w:rPr>
        <w:t xml:space="preserve">New York, New York </w:t>
      </w:r>
    </w:p>
    <w:p>
      <w:pPr>
        <w:pStyle w:val="TextBody"/>
        <w:spacing w:before="240" w:after="0"/>
        <w:jc w:val="left"/>
        <w:rPr>
          <w:rFonts w:ascii="Times New Roman" w:hAnsi="Times New Roman"/>
          <w:sz w:val="20"/>
        </w:rPr>
      </w:pPr>
      <w:r>
        <w:rPr>
          <w:rFonts w:ascii="Times New Roman" w:hAnsi="Times New Roman"/>
          <w:sz w:val="20"/>
        </w:rPr>
        <w:t xml:space="preserve">April 20, 2023 </w:t>
      </w:r>
      <w:r>
        <w:br w:type="page"/>
      </w:r>
    </w:p>
    <w:p>
      <w:pPr>
        <w:pStyle w:val="TextBody"/>
        <w:spacing w:before="0" w:after="0"/>
        <w:jc w:val="right"/>
        <w:rPr>
          <w:rFonts w:ascii="Times New Roman" w:hAnsi="Times New Roman"/>
          <w:b/>
          <w:sz w:val="20"/>
        </w:rPr>
      </w:pPr>
      <w:bookmarkStart w:id="21" w:name="d474504dex233.htm"/>
      <w:bookmarkStart w:id="22" w:name="ksd474504dex233"/>
      <w:bookmarkEnd w:id="21"/>
      <w:bookmarkEnd w:id="22"/>
      <w:r>
        <w:rPr>
          <w:rFonts w:ascii="Times New Roman" w:hAnsi="Times New Roman"/>
          <w:b/>
          <w:sz w:val="20"/>
        </w:rPr>
        <w:t xml:space="preserve">Exhibit 23.3 </w:t>
      </w:r>
    </w:p>
    <w:p>
      <w:pPr>
        <w:pStyle w:val="TextBody"/>
        <w:spacing w:before="480" w:after="0"/>
        <w:jc w:val="center"/>
        <w:rPr>
          <w:rFonts w:ascii="Times New Roman" w:hAnsi="Times New Roman"/>
          <w:b/>
          <w:sz w:val="20"/>
        </w:rPr>
      </w:pPr>
      <w:r>
        <w:rPr>
          <w:rFonts w:ascii="Times New Roman" w:hAnsi="Times New Roman"/>
          <w:b/>
          <w:sz w:val="20"/>
        </w:rPr>
        <w:t xml:space="preserve">Consent of Independent Auditor </w:t>
      </w:r>
    </w:p>
    <w:p>
      <w:pPr>
        <w:pStyle w:val="TextBody"/>
        <w:spacing w:before="240" w:after="0"/>
        <w:jc w:val="left"/>
        <w:rPr>
          <w:rFonts w:ascii="Times New Roman" w:hAnsi="Times New Roman"/>
          <w:sz w:val="20"/>
        </w:rPr>
      </w:pPr>
      <w:r>
        <w:rPr>
          <w:rFonts w:ascii="Times New Roman" w:hAnsi="Times New Roman"/>
          <w:sz w:val="20"/>
        </w:rPr>
        <w:t xml:space="preserve">We consent to the incorporation by reference in this Post-Effective Amendment No. 2 to the Registration Statement (File No. 333-261034) to Form S-1 on Form S-3 of Bakkt Holdings, Inc. of our report dated March 29, 2023, except for the second paragraph of Note 16 as to which the date is April 18, 2023, with respect to the financial statements of Apex Crypto, LLC as of December 31, 2022 and 2021 and for the years then ended appearing in the Current Report on Form 8-K/A filed by Bakkt Holdings, Inc. on April 18, 2023 </w:t>
      </w:r>
    </w:p>
    <w:p>
      <w:pPr>
        <w:pStyle w:val="TextBody"/>
        <w:spacing w:before="240" w:after="0"/>
        <w:jc w:val="left"/>
        <w:rPr>
          <w:rFonts w:ascii="Times New Roman" w:hAnsi="Times New Roman"/>
          <w:sz w:val="20"/>
        </w:rPr>
      </w:pPr>
      <w:r>
        <w:rPr>
          <w:rFonts w:ascii="Times New Roman" w:hAnsi="Times New Roman"/>
          <w:sz w:val="20"/>
        </w:rPr>
        <w:t xml:space="preserve">We also consent to the reference of our firm under the heading Experts in such Registration Statement. </w:t>
      </w:r>
    </w:p>
    <w:p>
      <w:pPr>
        <w:pStyle w:val="TextBody"/>
        <w:spacing w:before="240" w:after="0"/>
        <w:jc w:val="left"/>
        <w:rPr>
          <w:rFonts w:ascii="Times New Roman" w:hAnsi="Times New Roman"/>
          <w:sz w:val="20"/>
        </w:rPr>
      </w:pPr>
      <w:r>
        <w:rPr>
          <w:rFonts w:ascii="Times New Roman" w:hAnsi="Times New Roman"/>
          <w:sz w:val="20"/>
        </w:rPr>
        <w:t xml:space="preserve">/s/ RSM US LLP </w:t>
      </w:r>
    </w:p>
    <w:p>
      <w:pPr>
        <w:pStyle w:val="TextBody"/>
        <w:spacing w:before="240" w:after="0"/>
        <w:jc w:val="left"/>
        <w:rPr>
          <w:rFonts w:ascii="Times New Roman" w:hAnsi="Times New Roman"/>
          <w:sz w:val="20"/>
        </w:rPr>
      </w:pPr>
      <w:r>
        <w:rPr>
          <w:rFonts w:ascii="Times New Roman" w:hAnsi="Times New Roman"/>
          <w:sz w:val="20"/>
        </w:rPr>
        <w:t xml:space="preserve">Chicago, Illinois </w:t>
      </w:r>
    </w:p>
    <w:p>
      <w:pPr>
        <w:pStyle w:val="TextBody"/>
        <w:spacing w:before="240" w:after="0"/>
        <w:jc w:val="left"/>
        <w:rPr>
          <w:rFonts w:ascii="Times New Roman" w:hAnsi="Times New Roman"/>
          <w:sz w:val="20"/>
        </w:rPr>
      </w:pPr>
      <w:r>
        <w:rPr>
          <w:rFonts w:ascii="Times New Roman" w:hAnsi="Times New Roman"/>
          <w:sz w:val="20"/>
        </w:rPr>
        <w:t xml:space="preserve">April 20, 2023 </w:t>
      </w:r>
      <w:r>
        <w:br w:type="page"/>
      </w:r>
    </w:p>
    <w:p>
      <w:pPr>
        <w:pStyle w:val="TextBody"/>
        <w:spacing w:before="0" w:after="0"/>
        <w:jc w:val="right"/>
        <w:rPr>
          <w:rFonts w:ascii="Times New Roman" w:hAnsi="Times New Roman"/>
          <w:b/>
          <w:sz w:val="20"/>
        </w:rPr>
      </w:pPr>
      <w:bookmarkStart w:id="23" w:name="d474504dex242.htm"/>
      <w:bookmarkStart w:id="24" w:name="ksd474504dex242"/>
      <w:bookmarkEnd w:id="23"/>
      <w:bookmarkEnd w:id="24"/>
      <w:r>
        <w:rPr>
          <w:rFonts w:ascii="Times New Roman" w:hAnsi="Times New Roman"/>
          <w:b/>
          <w:sz w:val="20"/>
        </w:rPr>
        <w:t xml:space="preserve">Exhibit 24.2 </w:t>
      </w:r>
    </w:p>
    <w:p>
      <w:pPr>
        <w:pStyle w:val="TextBody"/>
        <w:spacing w:before="480" w:after="0"/>
        <w:jc w:val="center"/>
        <w:rPr>
          <w:rFonts w:ascii="Times New Roman" w:hAnsi="Times New Roman"/>
          <w:b/>
          <w:sz w:val="20"/>
        </w:rPr>
      </w:pPr>
      <w:r>
        <w:rPr>
          <w:rFonts w:ascii="Times New Roman" w:hAnsi="Times New Roman"/>
          <w:b/>
          <w:sz w:val="20"/>
        </w:rPr>
        <w:t xml:space="preserve">BAKKT HOLDINGS, INC. </w:t>
      </w:r>
    </w:p>
    <w:p>
      <w:pPr>
        <w:pStyle w:val="TextBody"/>
        <w:spacing w:before="240" w:after="0"/>
        <w:jc w:val="center"/>
        <w:rPr>
          <w:rFonts w:ascii="Times New Roman" w:hAnsi="Times New Roman"/>
          <w:b/>
          <w:sz w:val="20"/>
          <w:u w:val="single"/>
        </w:rPr>
      </w:pPr>
      <w:r>
        <w:rPr>
          <w:rFonts w:ascii="Times New Roman" w:hAnsi="Times New Roman"/>
          <w:b/>
          <w:sz w:val="20"/>
          <w:u w:val="single"/>
        </w:rPr>
        <w:t xml:space="preserve">POWER OF ATTORNEY </w:t>
      </w:r>
    </w:p>
    <w:p>
      <w:pPr>
        <w:pStyle w:val="TextBody"/>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Gavin Michael, Karen Alexander and Marc DAnnunzio, and each one of them, as his or her true and lawful attorneys-in-fact and agents, with full power of substitution and resubstitution, for them and in their name, place and stead, in any and all capacities, to sign any and all amendments (including post-effective amendments) to the Registration Statement filed with the Securities and Exchange Commission by Bakkt Holdings, Inc. (File No. 333-261034) (the Registration Statement), and to sign any new registration statement with respect to the offering contemplated thereby filed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 </w:t>
      </w:r>
    </w:p>
    <w:p>
      <w:pPr>
        <w:pStyle w:val="TextBody"/>
        <w:spacing w:before="360" w:after="0"/>
        <w:jc w:val="left"/>
        <w:rPr>
          <w:rFonts w:ascii="Times New Roman" w:hAnsi="Times New Roman"/>
          <w:sz w:val="20"/>
        </w:rPr>
      </w:pPr>
      <w:r>
        <w:rPr>
          <w:rFonts w:ascii="Times New Roman" w:hAnsi="Times New Roman"/>
          <w:sz w:val="20"/>
        </w:rPr>
        <w:t xml:space="preserve">Dated: April 20, 2023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78"/>
        <w:gridCol w:w="124"/>
        <w:gridCol w:w="4903"/>
      </w:tblGrid>
      <w:tr>
        <w:trPr/>
        <w:tc>
          <w:tcPr>
            <w:tcW w:w="517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4903" w:type="dxa"/>
            <w:tcBorders/>
            <w:shd w:fill="auto" w:val="clear"/>
            <w:vAlign w:val="center"/>
          </w:tcPr>
          <w:p>
            <w:pPr>
              <w:pStyle w:val="TableContents"/>
              <w:spacing w:before="0" w:after="283"/>
              <w:rPr>
                <w:sz w:val="4"/>
                <w:szCs w:val="4"/>
              </w:rPr>
            </w:pPr>
            <w:r>
              <w:rPr>
                <w:sz w:val="4"/>
                <w:szCs w:val="4"/>
              </w:rPr>
            </w:r>
          </w:p>
        </w:tc>
      </w:tr>
      <w:tr>
        <w:trPr/>
        <w:tc>
          <w:tcPr>
            <w:tcW w:w="517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Signature</w:t>
            </w:r>
          </w:p>
        </w:tc>
        <w:tc>
          <w:tcPr>
            <w:tcW w:w="124" w:type="dxa"/>
            <w:tcBorders/>
            <w:shd w:fill="auto" w:val="clear"/>
            <w:vAlign w:val="bottom"/>
          </w:tcPr>
          <w:p>
            <w:pPr>
              <w:pStyle w:val="TableContents"/>
              <w:spacing w:before="0" w:after="283"/>
              <w:rPr/>
            </w:pPr>
            <w:r>
              <w:rPr/>
              <w:t>  </w:t>
            </w:r>
          </w:p>
        </w:tc>
        <w:tc>
          <w:tcPr>
            <w:tcW w:w="490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5178" w:type="dxa"/>
            <w:tcBorders/>
            <w:shd w:fill="auto" w:val="clear"/>
            <w:vAlign w:val="center"/>
          </w:tcPr>
          <w:p>
            <w:pPr>
              <w:pStyle w:val="TableContents"/>
              <w:spacing w:before="0" w:after="283"/>
              <w:rPr>
                <w:sz w:val="4"/>
                <w:szCs w:val="4"/>
              </w:rPr>
            </w:pPr>
            <w:r>
              <w:rPr>
                <w:sz w:val="4"/>
                <w:szCs w:val="4"/>
              </w:rPr>
            </w:r>
          </w:p>
        </w:tc>
        <w:tc>
          <w:tcPr>
            <w:tcW w:w="5027" w:type="dxa"/>
            <w:gridSpan w:val="2"/>
            <w:tcBorders/>
            <w:shd w:fill="auto" w:val="clear"/>
            <w:vAlign w:val="center"/>
          </w:tcPr>
          <w:p>
            <w:pPr>
              <w:pStyle w:val="TableContents"/>
              <w:spacing w:before="0" w:after="283"/>
              <w:rPr>
                <w:sz w:val="4"/>
                <w:szCs w:val="4"/>
              </w:rPr>
            </w:pPr>
            <w:r>
              <w:rPr>
                <w:sz w:val="4"/>
                <w:szCs w:val="4"/>
              </w:rPr>
            </w:r>
          </w:p>
        </w:tc>
      </w:tr>
      <w:tr>
        <w:trPr/>
        <w:tc>
          <w:tcPr>
            <w:tcW w:w="5178"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DeAna Dow</w:t>
            </w:r>
          </w:p>
          <w:p>
            <w:pPr>
              <w:pStyle w:val="TableContents"/>
              <w:spacing w:before="0" w:after="20"/>
              <w:jc w:val="center"/>
              <w:rPr>
                <w:rFonts w:ascii="Times New Roman" w:hAnsi="Times New Roman"/>
                <w:sz w:val="20"/>
              </w:rPr>
            </w:pPr>
            <w:r>
              <w:rPr>
                <w:rFonts w:ascii="Times New Roman" w:hAnsi="Times New Roman"/>
                <w:sz w:val="20"/>
              </w:rPr>
              <w:t>DeAna Dow</w:t>
            </w:r>
          </w:p>
        </w:tc>
        <w:tc>
          <w:tcPr>
            <w:tcW w:w="124" w:type="dxa"/>
            <w:tcBorders/>
            <w:shd w:fill="auto" w:val="clear"/>
            <w:vAlign w:val="bottom"/>
          </w:tcPr>
          <w:p>
            <w:pPr>
              <w:pStyle w:val="TableContents"/>
              <w:spacing w:before="0" w:after="283"/>
              <w:rPr/>
            </w:pPr>
            <w:r>
              <w:rPr/>
              <w:t>  </w:t>
            </w:r>
          </w:p>
        </w:tc>
        <w:tc>
          <w:tcPr>
            <w:tcW w:w="4903" w:type="dxa"/>
            <w:tcBorders/>
            <w:shd w:fill="auto" w:val="clear"/>
          </w:tcPr>
          <w:p>
            <w:pPr>
              <w:pStyle w:val="TableContents"/>
              <w:spacing w:before="0" w:after="283"/>
              <w:jc w:val="center"/>
              <w:rPr/>
            </w:pPr>
            <w:r>
              <w:rPr/>
              <w:t>Director</w:t>
            </w:r>
          </w:p>
        </w:tc>
      </w:tr>
      <w:tr>
        <w:trPr>
          <w:trHeight w:val="240" w:hRule="atLeast"/>
        </w:trPr>
        <w:tc>
          <w:tcPr>
            <w:tcW w:w="5178" w:type="dxa"/>
            <w:tcBorders/>
            <w:shd w:fill="auto" w:val="clear"/>
            <w:vAlign w:val="center"/>
          </w:tcPr>
          <w:p>
            <w:pPr>
              <w:pStyle w:val="TableContents"/>
              <w:spacing w:before="0" w:after="283"/>
              <w:rPr>
                <w:sz w:val="4"/>
                <w:szCs w:val="4"/>
              </w:rPr>
            </w:pPr>
            <w:r>
              <w:rPr>
                <w:sz w:val="4"/>
                <w:szCs w:val="4"/>
              </w:rPr>
            </w:r>
          </w:p>
        </w:tc>
        <w:tc>
          <w:tcPr>
            <w:tcW w:w="5027" w:type="dxa"/>
            <w:gridSpan w:val="2"/>
            <w:tcBorders/>
            <w:shd w:fill="auto" w:val="clear"/>
            <w:vAlign w:val="center"/>
          </w:tcPr>
          <w:p>
            <w:pPr>
              <w:pStyle w:val="TableContents"/>
              <w:spacing w:before="0" w:after="283"/>
              <w:rPr>
                <w:sz w:val="4"/>
                <w:szCs w:val="4"/>
              </w:rPr>
            </w:pPr>
            <w:r>
              <w:rPr>
                <w:sz w:val="4"/>
                <w:szCs w:val="4"/>
              </w:rPr>
            </w:r>
          </w:p>
        </w:tc>
      </w:tr>
      <w:tr>
        <w:trPr/>
        <w:tc>
          <w:tcPr>
            <w:tcW w:w="5178" w:type="dxa"/>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Jill Simeone</w:t>
            </w:r>
          </w:p>
          <w:p>
            <w:pPr>
              <w:pStyle w:val="TableContents"/>
              <w:spacing w:before="0" w:after="20"/>
              <w:jc w:val="center"/>
              <w:rPr>
                <w:rFonts w:ascii="Times New Roman" w:hAnsi="Times New Roman"/>
                <w:sz w:val="20"/>
              </w:rPr>
            </w:pPr>
            <w:r>
              <w:rPr>
                <w:rFonts w:ascii="Times New Roman" w:hAnsi="Times New Roman"/>
                <w:sz w:val="20"/>
              </w:rPr>
              <w:t>Jill Simeone</w:t>
            </w:r>
          </w:p>
        </w:tc>
        <w:tc>
          <w:tcPr>
            <w:tcW w:w="124" w:type="dxa"/>
            <w:tcBorders/>
            <w:shd w:fill="auto" w:val="clear"/>
            <w:vAlign w:val="bottom"/>
          </w:tcPr>
          <w:p>
            <w:pPr>
              <w:pStyle w:val="TableContents"/>
              <w:spacing w:before="0" w:after="283"/>
              <w:rPr/>
            </w:pPr>
            <w:r>
              <w:rPr/>
              <w:t>  </w:t>
            </w:r>
          </w:p>
        </w:tc>
        <w:tc>
          <w:tcPr>
            <w:tcW w:w="4903" w:type="dxa"/>
            <w:tcBorders/>
            <w:shd w:fill="auto" w:val="clear"/>
          </w:tcPr>
          <w:p>
            <w:pPr>
              <w:pStyle w:val="TableContents"/>
              <w:spacing w:before="0" w:after="283"/>
              <w:jc w:val="center"/>
              <w:rPr/>
            </w:pPr>
            <w:r>
              <w:rPr/>
              <w:t>Director</w:t>
            </w:r>
          </w:p>
        </w:tc>
      </w:tr>
    </w:tbl>
    <w:p>
      <w:pPr>
        <w:pStyle w:val="TextBody"/>
        <w:spacing w:before="0" w:after="0"/>
        <w:jc w:val="right"/>
        <w:rPr>
          <w:rFonts w:ascii="Times New Roman" w:hAnsi="Times New Roman"/>
          <w:b/>
          <w:sz w:val="18"/>
        </w:rPr>
      </w:pPr>
      <w:r>
        <w:br w:type="page"/>
      </w:r>
      <w:bookmarkStart w:id="25" w:name="d474504dexfilingfees.htm"/>
      <w:bookmarkStart w:id="26" w:name="ksd474504dexfilingfees"/>
      <w:bookmarkEnd w:id="25"/>
      <w:bookmarkEnd w:id="26"/>
      <w:r>
        <w:rPr>
          <w:rFonts w:ascii="Times New Roman" w:hAnsi="Times New Roman"/>
          <w:b/>
          <w:sz w:val="18"/>
        </w:rPr>
        <w:t xml:space="preserve">Exhibit 107 </w:t>
      </w:r>
    </w:p>
    <w:p>
      <w:pPr>
        <w:pStyle w:val="TextBody"/>
        <w:spacing w:before="240" w:after="0"/>
        <w:jc w:val="center"/>
        <w:rPr>
          <w:rFonts w:ascii="Times New Roman" w:hAnsi="Times New Roman"/>
          <w:b/>
          <w:sz w:val="18"/>
        </w:rPr>
      </w:pPr>
      <w:r>
        <w:rPr>
          <w:rFonts w:ascii="Times New Roman" w:hAnsi="Times New Roman"/>
          <w:b/>
          <w:sz w:val="18"/>
        </w:rPr>
        <w:t xml:space="preserve">Calculation of Filing Fee Table </w:t>
      </w:r>
    </w:p>
    <w:p>
      <w:pPr>
        <w:pStyle w:val="TextBody"/>
        <w:spacing w:before="240" w:after="0"/>
        <w:jc w:val="center"/>
        <w:rPr>
          <w:rFonts w:ascii="Times New Roman" w:hAnsi="Times New Roman"/>
          <w:b/>
          <w:sz w:val="18"/>
        </w:rPr>
      </w:pPr>
      <w:r>
        <w:rPr>
          <w:rFonts w:ascii="Times New Roman" w:hAnsi="Times New Roman"/>
          <w:b/>
          <w:sz w:val="18"/>
        </w:rPr>
        <w:t xml:space="preserve">Post Effective Amendment No. 2 to Form S-1 on Form S-3 </w:t>
      </w:r>
    </w:p>
    <w:p>
      <w:pPr>
        <w:pStyle w:val="TextBody"/>
        <w:spacing w:before="0" w:after="0"/>
        <w:jc w:val="center"/>
        <w:rPr>
          <w:rFonts w:ascii="Times New Roman" w:hAnsi="Times New Roman"/>
          <w:sz w:val="18"/>
        </w:rPr>
      </w:pPr>
      <w:r>
        <w:rPr>
          <w:rFonts w:ascii="Times New Roman" w:hAnsi="Times New Roman"/>
          <w:sz w:val="18"/>
        </w:rPr>
        <w:t xml:space="preserve">(Form Type) </w:t>
      </w:r>
    </w:p>
    <w:p>
      <w:pPr>
        <w:pStyle w:val="TextBody"/>
        <w:spacing w:before="240" w:after="0"/>
        <w:jc w:val="center"/>
        <w:rPr>
          <w:rFonts w:ascii="Times New Roman" w:hAnsi="Times New Roman"/>
          <w:b/>
          <w:sz w:val="18"/>
        </w:rPr>
      </w:pPr>
      <w:r>
        <w:rPr>
          <w:rFonts w:ascii="Times New Roman" w:hAnsi="Times New Roman"/>
          <w:b/>
          <w:sz w:val="18"/>
        </w:rPr>
        <w:t xml:space="preserve">BAKKT HOLDINGS, INC. </w:t>
      </w:r>
    </w:p>
    <w:p>
      <w:pPr>
        <w:pStyle w:val="TextBody"/>
        <w:spacing w:before="240" w:after="0"/>
        <w:jc w:val="center"/>
        <w:rPr>
          <w:rFonts w:ascii="Times New Roman" w:hAnsi="Times New Roman"/>
          <w:sz w:val="18"/>
        </w:rPr>
      </w:pPr>
      <w:r>
        <w:rPr>
          <w:rFonts w:ascii="Times New Roman" w:hAnsi="Times New Roman"/>
          <w:sz w:val="18"/>
        </w:rPr>
        <w:t xml:space="preserve">(Exact Name of Registrant as Specified in its Charter) </w:t>
      </w:r>
    </w:p>
    <w:p>
      <w:pPr>
        <w:pStyle w:val="TextBody"/>
        <w:spacing w:before="240" w:after="0"/>
        <w:jc w:val="center"/>
        <w:rPr>
          <w:rFonts w:ascii="Times New Roman" w:hAnsi="Times New Roman"/>
          <w:b/>
          <w:sz w:val="18"/>
          <w:u w:val="single"/>
        </w:rPr>
      </w:pPr>
      <w:r>
        <w:rPr>
          <w:rFonts w:ascii="Times New Roman" w:hAnsi="Times New Roman"/>
          <w:b/>
          <w:sz w:val="18"/>
          <w:u w:val="single"/>
        </w:rPr>
        <w:t xml:space="preserve">Table 1: Newly Registered and Carry Forward Securities </w:t>
      </w:r>
    </w:p>
    <w:p>
      <w:pPr>
        <w:pStyle w:val="TextBody"/>
        <w:spacing w:before="0" w:after="0"/>
        <w:jc w:val="left"/>
        <w:rPr/>
      </w:pPr>
      <w:r>
        <w:rPr/>
        <w:t> </w:t>
      </w:r>
    </w:p>
    <w:tbl>
      <w:tblPr>
        <w:tblW w:w="13260" w:type="dxa"/>
        <w:jc w:val="center"/>
        <w:tblInd w:w="0" w:type="dxa"/>
        <w:tblCellMar>
          <w:top w:w="0" w:type="dxa"/>
          <w:left w:w="0" w:type="dxa"/>
          <w:bottom w:w="0" w:type="dxa"/>
          <w:right w:w="0" w:type="dxa"/>
        </w:tblCellMar>
      </w:tblPr>
      <w:tblGrid>
        <w:gridCol w:w="1970"/>
        <w:gridCol w:w="60"/>
        <w:gridCol w:w="695"/>
        <w:gridCol w:w="60"/>
        <w:gridCol w:w="2375"/>
        <w:gridCol w:w="60"/>
        <w:gridCol w:w="980"/>
        <w:gridCol w:w="60"/>
        <w:gridCol w:w="1220"/>
        <w:gridCol w:w="60"/>
        <w:gridCol w:w="1145"/>
        <w:gridCol w:w="60"/>
        <w:gridCol w:w="2090"/>
        <w:gridCol w:w="60"/>
        <w:gridCol w:w="950"/>
        <w:gridCol w:w="60"/>
        <w:gridCol w:w="1355"/>
      </w:tblGrid>
      <w:tr>
        <w:trPr/>
        <w:tc>
          <w:tcPr>
            <w:tcW w:w="19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r>
      <w:tr>
        <w:trPr>
          <w:trHeight w:val="15" w:hRule="atLeast"/>
        </w:trPr>
        <w:tc>
          <w:tcPr>
            <w:tcW w:w="197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7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4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0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15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1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1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970" w:type="dxa"/>
            <w:tcBorders>
              <w:left w:val="single" w:sz="2" w:space="0" w:color="000000"/>
            </w:tcBorders>
            <w:shd w:fill="auto" w:val="clear"/>
            <w:tcMar>
              <w:left w:w="160" w:type="dxa"/>
            </w:tcMar>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95"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Security</w:t>
            </w:r>
          </w:p>
          <w:p>
            <w:pPr>
              <w:pStyle w:val="TableContents"/>
              <w:spacing w:before="0" w:after="20"/>
              <w:jc w:val="center"/>
              <w:rPr>
                <w:rFonts w:ascii="Times New Roman" w:hAnsi="Times New Roman"/>
                <w:sz w:val="20"/>
              </w:rPr>
            </w:pPr>
            <w:r>
              <w:rPr>
                <w:rFonts w:ascii="Times New Roman" w:hAnsi="Times New Roman"/>
                <w:sz w:val="20"/>
              </w:rPr>
              <w:t>Type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375" w:type="dxa"/>
            <w:tcBorders/>
            <w:shd w:fill="auto" w:val="clear"/>
            <w:vAlign w:val="bottom"/>
          </w:tcPr>
          <w:p>
            <w:pPr>
              <w:pStyle w:val="TableContents"/>
              <w:spacing w:before="0" w:after="283"/>
              <w:jc w:val="center"/>
              <w:rPr/>
            </w:pPr>
            <w:r>
              <w:rPr/>
              <w:t>Security Class Title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Fee</w:t>
            </w:r>
          </w:p>
          <w:p>
            <w:pPr>
              <w:pStyle w:val="TableContents"/>
              <w:spacing w:before="0" w:after="0"/>
              <w:jc w:val="center"/>
              <w:rPr>
                <w:rFonts w:ascii="Times New Roman" w:hAnsi="Times New Roman"/>
                <w:sz w:val="20"/>
              </w:rPr>
            </w:pPr>
            <w:r>
              <w:rPr>
                <w:rFonts w:ascii="Times New Roman" w:hAnsi="Times New Roman"/>
                <w:sz w:val="20"/>
              </w:rPr>
              <w:t>Calculation</w:t>
            </w:r>
          </w:p>
          <w:p>
            <w:pPr>
              <w:pStyle w:val="TableContents"/>
              <w:spacing w:before="0" w:after="0"/>
              <w:jc w:val="center"/>
              <w:rPr>
                <w:rFonts w:ascii="Times New Roman" w:hAnsi="Times New Roman"/>
                <w:sz w:val="20"/>
              </w:rPr>
            </w:pPr>
            <w:r>
              <w:rPr>
                <w:rFonts w:ascii="Times New Roman" w:hAnsi="Times New Roman"/>
                <w:sz w:val="20"/>
              </w:rPr>
              <w:t>of Carry</w:t>
            </w:r>
          </w:p>
          <w:p>
            <w:pPr>
              <w:pStyle w:val="TableContents"/>
              <w:spacing w:before="0" w:after="0"/>
              <w:jc w:val="center"/>
              <w:rPr>
                <w:rFonts w:ascii="Times New Roman" w:hAnsi="Times New Roman"/>
                <w:sz w:val="20"/>
              </w:rPr>
            </w:pPr>
            <w:r>
              <w:rPr>
                <w:rFonts w:ascii="Times New Roman" w:hAnsi="Times New Roman"/>
                <w:sz w:val="20"/>
              </w:rPr>
              <w:t>Forward</w:t>
            </w:r>
          </w:p>
          <w:p>
            <w:pPr>
              <w:pStyle w:val="TableContents"/>
              <w:spacing w:before="0" w:after="20"/>
              <w:jc w:val="center"/>
              <w:rPr>
                <w:rFonts w:ascii="Times New Roman" w:hAnsi="Times New Roman"/>
                <w:sz w:val="20"/>
              </w:rPr>
            </w:pPr>
            <w:r>
              <w:rPr>
                <w:rFonts w:ascii="Times New Roman" w:hAnsi="Times New Roman"/>
                <w:sz w:val="20"/>
              </w:rPr>
              <w:t>Rule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Amount</w:t>
            </w:r>
          </w:p>
          <w:p>
            <w:pPr>
              <w:pStyle w:val="TableContents"/>
              <w:spacing w:before="0" w:after="20"/>
              <w:jc w:val="center"/>
              <w:rPr>
                <w:rFonts w:ascii="Times New Roman" w:hAnsi="Times New Roman"/>
                <w:sz w:val="20"/>
              </w:rPr>
            </w:pPr>
            <w:r>
              <w:rPr>
                <w:rFonts w:ascii="Times New Roman" w:hAnsi="Times New Roman"/>
                <w:sz w:val="20"/>
              </w:rPr>
              <w:t>Registered(1)</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45"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Proposed</w:t>
            </w:r>
          </w:p>
          <w:p>
            <w:pPr>
              <w:pStyle w:val="TableContents"/>
              <w:spacing w:before="0" w:after="0"/>
              <w:jc w:val="center"/>
              <w:rPr>
                <w:rFonts w:ascii="Times New Roman" w:hAnsi="Times New Roman"/>
                <w:sz w:val="20"/>
              </w:rPr>
            </w:pPr>
            <w:r>
              <w:rPr>
                <w:rFonts w:ascii="Times New Roman" w:hAnsi="Times New Roman"/>
                <w:sz w:val="20"/>
              </w:rPr>
              <w:t>Maximum</w:t>
            </w:r>
          </w:p>
          <w:p>
            <w:pPr>
              <w:pStyle w:val="TableContents"/>
              <w:spacing w:before="0" w:after="0"/>
              <w:jc w:val="center"/>
              <w:rPr>
                <w:rFonts w:ascii="Times New Roman" w:hAnsi="Times New Roman"/>
                <w:sz w:val="20"/>
              </w:rPr>
            </w:pPr>
            <w:r>
              <w:rPr>
                <w:rFonts w:ascii="Times New Roman" w:hAnsi="Times New Roman"/>
                <w:sz w:val="20"/>
              </w:rPr>
              <w:t>Offering Price</w:t>
            </w:r>
          </w:p>
          <w:p>
            <w:pPr>
              <w:pStyle w:val="TableContents"/>
              <w:spacing w:before="0" w:after="20"/>
              <w:jc w:val="center"/>
              <w:rPr>
                <w:rFonts w:ascii="Times New Roman" w:hAnsi="Times New Roman"/>
                <w:sz w:val="20"/>
              </w:rPr>
            </w:pPr>
            <w:r>
              <w:rPr>
                <w:rFonts w:ascii="Times New Roman" w:hAnsi="Times New Roman"/>
                <w:sz w:val="20"/>
              </w:rPr>
              <w:t>Per Security</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090" w:type="dxa"/>
            <w:tcBorders/>
            <w:shd w:fill="auto" w:val="clear"/>
            <w:vAlign w:val="bottom"/>
          </w:tcPr>
          <w:p>
            <w:pPr>
              <w:pStyle w:val="TableContents"/>
              <w:spacing w:before="0" w:after="0"/>
              <w:jc w:val="center"/>
              <w:rPr>
                <w:rFonts w:ascii="Times New Roman" w:hAnsi="Times New Roman"/>
                <w:sz w:val="20"/>
              </w:rPr>
            </w:pPr>
            <w:r>
              <w:rPr>
                <w:rFonts w:ascii="Times New Roman" w:hAnsi="Times New Roman"/>
                <w:sz w:val="20"/>
              </w:rPr>
              <w:t>Maximum Aggregate</w:t>
            </w:r>
          </w:p>
          <w:p>
            <w:pPr>
              <w:pStyle w:val="TableContents"/>
              <w:spacing w:before="0" w:after="20"/>
              <w:jc w:val="center"/>
              <w:rPr>
                <w:rFonts w:ascii="Times New Roman" w:hAnsi="Times New Roman"/>
                <w:sz w:val="20"/>
              </w:rPr>
            </w:pPr>
            <w:r>
              <w:rPr>
                <w:rFonts w:ascii="Times New Roman" w:hAnsi="Times New Roman"/>
                <w:sz w:val="20"/>
              </w:rPr>
              <w:t>Offering Price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center"/>
              <w:rPr/>
            </w:pPr>
            <w:r>
              <w:rPr/>
              <w:t>Fee Rate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355" w:type="dxa"/>
            <w:tcBorders>
              <w:right w:val="single" w:sz="2" w:space="0" w:color="000000"/>
            </w:tcBorders>
            <w:shd w:fill="auto" w:val="clear"/>
            <w:tcMar>
              <w:right w:w="40" w:type="dxa"/>
            </w:tcMar>
            <w:vAlign w:val="bottom"/>
          </w:tcPr>
          <w:p>
            <w:pPr>
              <w:pStyle w:val="TableContents"/>
              <w:spacing w:before="0" w:after="0"/>
              <w:jc w:val="center"/>
              <w:rPr>
                <w:rFonts w:ascii="Times New Roman" w:hAnsi="Times New Roman"/>
                <w:sz w:val="20"/>
              </w:rPr>
            </w:pPr>
            <w:r>
              <w:rPr>
                <w:rFonts w:ascii="Times New Roman" w:hAnsi="Times New Roman"/>
                <w:sz w:val="20"/>
              </w:rPr>
              <w:t>Amount of</w:t>
            </w:r>
          </w:p>
          <w:p>
            <w:pPr>
              <w:pStyle w:val="TableContents"/>
              <w:spacing w:before="0" w:after="20"/>
              <w:jc w:val="center"/>
              <w:rPr>
                <w:rFonts w:ascii="Times New Roman" w:hAnsi="Times New Roman"/>
                <w:sz w:val="20"/>
              </w:rPr>
            </w:pPr>
            <w:r>
              <w:rPr>
                <w:rFonts w:ascii="Times New Roman" w:hAnsi="Times New Roman"/>
                <w:sz w:val="20"/>
              </w:rPr>
              <w:t>Registration Fee</w:t>
            </w:r>
          </w:p>
        </w:tc>
      </w:tr>
      <w:tr>
        <w:trPr>
          <w:trHeight w:val="15" w:hRule="atLeast"/>
        </w:trPr>
        <w:tc>
          <w:tcPr>
            <w:tcW w:w="197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7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4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0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15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1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1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970" w:type="dxa"/>
            <w:tcBorders>
              <w:left w:val="single" w:sz="2" w:space="0" w:color="000000"/>
            </w:tcBorders>
            <w:shd w:fill="auto" w:val="clear"/>
            <w:tcMar>
              <w:left w:w="160" w:type="dxa"/>
            </w:tcMar>
          </w:tcPr>
          <w:p>
            <w:pPr>
              <w:pStyle w:val="TableContents"/>
              <w:spacing w:before="0" w:after="283"/>
              <w:jc w:val="center"/>
              <w:rPr/>
            </w:pPr>
            <w:r>
              <w:rPr/>
              <w:t>Fees to be paid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95"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375"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09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5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355" w:type="dxa"/>
            <w:tcBorders>
              <w:right w:val="single" w:sz="2" w:space="0" w:color="000000"/>
            </w:tcBorders>
            <w:shd w:fill="auto" w:val="clear"/>
            <w:tcMar>
              <w:right w:w="40" w:type="dxa"/>
            </w:tcMar>
            <w:vAlign w:val="bottom"/>
          </w:tcPr>
          <w:p>
            <w:pPr>
              <w:pStyle w:val="TableContents"/>
              <w:spacing w:before="0" w:after="283"/>
              <w:rPr/>
            </w:pPr>
            <w:r>
              <w:rPr/>
              <w:t> </w:t>
            </w:r>
          </w:p>
        </w:tc>
      </w:tr>
      <w:tr>
        <w:trPr>
          <w:trHeight w:val="15" w:hRule="atLeast"/>
        </w:trPr>
        <w:tc>
          <w:tcPr>
            <w:tcW w:w="197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7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4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0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15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1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1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970" w:type="dxa"/>
            <w:tcBorders>
              <w:left w:val="single" w:sz="2" w:space="0" w:color="000000"/>
            </w:tcBorders>
            <w:shd w:fill="auto" w:val="clear"/>
            <w:tcMar>
              <w:left w:w="160" w:type="dxa"/>
            </w:tcMar>
          </w:tcPr>
          <w:p>
            <w:pPr>
              <w:pStyle w:val="TableContents"/>
              <w:spacing w:before="0" w:after="283"/>
              <w:jc w:val="center"/>
              <w:rPr/>
            </w:pPr>
            <w:r>
              <w:rPr/>
              <w:t>Fees previously paid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95" w:type="dxa"/>
            <w:tcBorders/>
            <w:shd w:fill="auto" w:val="clear"/>
          </w:tcPr>
          <w:p>
            <w:pPr>
              <w:pStyle w:val="TableContents"/>
              <w:spacing w:before="0" w:after="283"/>
              <w:jc w:val="center"/>
              <w:rPr/>
            </w:pPr>
            <w:r>
              <w:rPr/>
              <w:t>Equity</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37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Class A common stock, par</w:t>
            </w:r>
          </w:p>
          <w:p>
            <w:pPr>
              <w:pStyle w:val="TableContents"/>
              <w:spacing w:before="0" w:after="20"/>
              <w:rPr>
                <w:rFonts w:ascii="Times New Roman" w:hAnsi="Times New Roman"/>
                <w:sz w:val="20"/>
              </w:rPr>
            </w:pPr>
            <w:r>
              <w:rPr>
                <w:rFonts w:ascii="Times New Roman" w:hAnsi="Times New Roman"/>
                <w:sz w:val="20"/>
              </w:rPr>
              <w:t>value $0.0001 per share(2)</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80" w:type="dxa"/>
            <w:tcBorders/>
            <w:shd w:fill="auto" w:val="clear"/>
          </w:tcPr>
          <w:p>
            <w:pPr>
              <w:pStyle w:val="TableContents"/>
              <w:spacing w:before="0" w:after="283"/>
              <w:jc w:val="center"/>
              <w:rPr/>
            </w:pPr>
            <w:r>
              <w:rPr/>
              <w:t>457(c)</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shd w:fill="auto" w:val="clear"/>
          </w:tcPr>
          <w:p>
            <w:pPr>
              <w:pStyle w:val="TableContents"/>
              <w:spacing w:before="0" w:after="283"/>
              <w:jc w:val="center"/>
              <w:rPr/>
            </w:pPr>
            <w:r>
              <w:rPr/>
              <w:t>32,500,000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45" w:type="dxa"/>
            <w:tcBorders/>
            <w:shd w:fill="auto" w:val="clear"/>
          </w:tcPr>
          <w:p>
            <w:pPr>
              <w:pStyle w:val="TableContents"/>
              <w:spacing w:before="0" w:after="283"/>
              <w:jc w:val="center"/>
              <w:rPr/>
            </w:pPr>
            <w:r>
              <w:rPr/>
              <w:t>$26.01(3)</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090" w:type="dxa"/>
            <w:tcBorders/>
            <w:shd w:fill="auto" w:val="clear"/>
          </w:tcPr>
          <w:p>
            <w:pPr>
              <w:pStyle w:val="TableContents"/>
              <w:spacing w:before="0" w:after="283"/>
              <w:jc w:val="center"/>
              <w:rPr/>
            </w:pPr>
            <w:r>
              <w:rPr/>
              <w:t>$845,325,000.00(3)</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50"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$92.70 per</w:t>
            </w:r>
          </w:p>
          <w:p>
            <w:pPr>
              <w:pStyle w:val="TableContents"/>
              <w:spacing w:before="0" w:after="20"/>
              <w:jc w:val="center"/>
              <w:rPr>
                <w:rFonts w:ascii="Times New Roman" w:hAnsi="Times New Roman"/>
                <w:sz w:val="20"/>
              </w:rPr>
            </w:pPr>
            <w:r>
              <w:rPr>
                <w:rFonts w:ascii="Times New Roman" w:hAnsi="Times New Roman"/>
                <w:sz w:val="20"/>
              </w:rPr>
              <w:t>$1,000,000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355" w:type="dxa"/>
            <w:tcBorders>
              <w:right w:val="single" w:sz="2" w:space="0" w:color="000000"/>
            </w:tcBorders>
            <w:shd w:fill="auto" w:val="clear"/>
            <w:tcMar>
              <w:right w:w="40" w:type="dxa"/>
            </w:tcMar>
          </w:tcPr>
          <w:p>
            <w:pPr>
              <w:pStyle w:val="TableContents"/>
              <w:spacing w:before="0" w:after="283"/>
              <w:jc w:val="center"/>
              <w:rPr/>
            </w:pPr>
            <w:r>
              <w:rPr/>
              <w:t>$</w:t>
            </w:r>
          </w:p>
        </w:tc>
      </w:tr>
      <w:tr>
        <w:trPr>
          <w:trHeight w:val="15" w:hRule="atLeast"/>
        </w:trPr>
        <w:tc>
          <w:tcPr>
            <w:tcW w:w="197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7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4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0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15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1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1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970" w:type="dxa"/>
            <w:tcBorders>
              <w:left w:val="single" w:sz="2" w:space="0" w:color="000000"/>
            </w:tcBorders>
            <w:shd w:fill="auto" w:val="clear"/>
            <w:tcMar>
              <w:left w:w="160" w:type="dxa"/>
            </w:tcMar>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95" w:type="dxa"/>
            <w:tcBorders/>
            <w:shd w:fill="auto" w:val="clear"/>
          </w:tcPr>
          <w:p>
            <w:pPr>
              <w:pStyle w:val="TableContents"/>
              <w:spacing w:before="0" w:after="283"/>
              <w:jc w:val="center"/>
              <w:rPr/>
            </w:pPr>
            <w:r>
              <w:rPr/>
              <w:t>Equity</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37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Class A common stock, par</w:t>
            </w:r>
          </w:p>
          <w:p>
            <w:pPr>
              <w:pStyle w:val="TableContents"/>
              <w:spacing w:before="0" w:after="20"/>
              <w:rPr>
                <w:rFonts w:ascii="Times New Roman" w:hAnsi="Times New Roman"/>
                <w:sz w:val="20"/>
              </w:rPr>
            </w:pPr>
            <w:r>
              <w:rPr>
                <w:rFonts w:ascii="Times New Roman" w:hAnsi="Times New Roman"/>
                <w:sz w:val="20"/>
              </w:rPr>
              <w:t>value $0.0001 per share(4)</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80" w:type="dxa"/>
            <w:tcBorders/>
            <w:shd w:fill="auto" w:val="clear"/>
          </w:tcPr>
          <w:p>
            <w:pPr>
              <w:pStyle w:val="TableContents"/>
              <w:spacing w:before="0" w:after="283"/>
              <w:jc w:val="center"/>
              <w:rPr/>
            </w:pPr>
            <w:r>
              <w:rPr/>
              <w:t>457(c)</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shd w:fill="auto" w:val="clear"/>
          </w:tcPr>
          <w:p>
            <w:pPr>
              <w:pStyle w:val="TableContents"/>
              <w:spacing w:before="0" w:after="283"/>
              <w:jc w:val="center"/>
              <w:rPr/>
            </w:pPr>
            <w:r>
              <w:rPr/>
              <w:t>190,726,638</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45" w:type="dxa"/>
            <w:tcBorders/>
            <w:shd w:fill="auto" w:val="clear"/>
          </w:tcPr>
          <w:p>
            <w:pPr>
              <w:pStyle w:val="TableContents"/>
              <w:spacing w:before="0" w:after="283"/>
              <w:jc w:val="center"/>
              <w:rPr/>
            </w:pPr>
            <w:r>
              <w:rPr/>
              <w:t>$26.01(3)</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090" w:type="dxa"/>
            <w:tcBorders/>
            <w:shd w:fill="auto" w:val="clear"/>
          </w:tcPr>
          <w:p>
            <w:pPr>
              <w:pStyle w:val="TableContents"/>
              <w:spacing w:before="0" w:after="283"/>
              <w:jc w:val="center"/>
              <w:rPr/>
            </w:pPr>
            <w:r>
              <w:rPr/>
              <w:t>$4,960,799,854.38(3)</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50"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$92.70 per</w:t>
            </w:r>
          </w:p>
          <w:p>
            <w:pPr>
              <w:pStyle w:val="TableContents"/>
              <w:spacing w:before="0" w:after="20"/>
              <w:jc w:val="center"/>
              <w:rPr>
                <w:rFonts w:ascii="Times New Roman" w:hAnsi="Times New Roman"/>
                <w:sz w:val="20"/>
              </w:rPr>
            </w:pPr>
            <w:r>
              <w:rPr>
                <w:rFonts w:ascii="Times New Roman" w:hAnsi="Times New Roman"/>
                <w:sz w:val="20"/>
              </w:rPr>
              <w:t>$1,000,000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355" w:type="dxa"/>
            <w:tcBorders>
              <w:right w:val="single" w:sz="2" w:space="0" w:color="000000"/>
            </w:tcBorders>
            <w:shd w:fill="auto" w:val="clear"/>
            <w:tcMar>
              <w:right w:w="40" w:type="dxa"/>
            </w:tcMar>
          </w:tcPr>
          <w:p>
            <w:pPr>
              <w:pStyle w:val="TableContents"/>
              <w:spacing w:before="0" w:after="283"/>
              <w:jc w:val="center"/>
              <w:rPr/>
            </w:pPr>
            <w:r>
              <w:rPr/>
              <w:t>$</w:t>
            </w:r>
          </w:p>
        </w:tc>
      </w:tr>
      <w:tr>
        <w:trPr>
          <w:trHeight w:val="15" w:hRule="atLeast"/>
        </w:trPr>
        <w:tc>
          <w:tcPr>
            <w:tcW w:w="197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7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4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0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15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1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1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970" w:type="dxa"/>
            <w:tcBorders>
              <w:left w:val="single" w:sz="2" w:space="0" w:color="000000"/>
            </w:tcBorders>
            <w:shd w:fill="auto" w:val="clear"/>
            <w:tcMar>
              <w:left w:w="160" w:type="dxa"/>
            </w:tcMar>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95" w:type="dxa"/>
            <w:tcBorders/>
            <w:shd w:fill="auto" w:val="clear"/>
          </w:tcPr>
          <w:p>
            <w:pPr>
              <w:pStyle w:val="TableContents"/>
              <w:spacing w:before="0" w:after="283"/>
              <w:jc w:val="center"/>
              <w:rPr/>
            </w:pPr>
            <w:r>
              <w:rPr/>
              <w:t>Equity</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37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Class A common stock, par</w:t>
            </w:r>
          </w:p>
          <w:p>
            <w:pPr>
              <w:pStyle w:val="TableContents"/>
              <w:spacing w:before="0" w:after="20"/>
              <w:rPr>
                <w:rFonts w:ascii="Times New Roman" w:hAnsi="Times New Roman"/>
                <w:sz w:val="20"/>
              </w:rPr>
            </w:pPr>
            <w:r>
              <w:rPr>
                <w:rFonts w:ascii="Times New Roman" w:hAnsi="Times New Roman"/>
                <w:sz w:val="20"/>
              </w:rPr>
              <w:t>value $0.0001 per share(5)</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80" w:type="dxa"/>
            <w:tcBorders/>
            <w:shd w:fill="auto" w:val="clear"/>
          </w:tcPr>
          <w:p>
            <w:pPr>
              <w:pStyle w:val="TableContents"/>
              <w:spacing w:before="0" w:after="283"/>
              <w:jc w:val="center"/>
              <w:rPr/>
            </w:pPr>
            <w:r>
              <w:rPr/>
              <w:t>457(c)</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shd w:fill="auto" w:val="clear"/>
          </w:tcPr>
          <w:p>
            <w:pPr>
              <w:pStyle w:val="TableContents"/>
              <w:spacing w:before="0" w:after="283"/>
              <w:jc w:val="center"/>
              <w:rPr/>
            </w:pPr>
            <w:r>
              <w:rPr/>
              <w:t>5,184,300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45" w:type="dxa"/>
            <w:tcBorders/>
            <w:shd w:fill="auto" w:val="clear"/>
          </w:tcPr>
          <w:p>
            <w:pPr>
              <w:pStyle w:val="TableContents"/>
              <w:spacing w:before="0" w:after="283"/>
              <w:jc w:val="center"/>
              <w:rPr/>
            </w:pPr>
            <w:r>
              <w:rPr/>
              <w:t>$26.01(3)</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090" w:type="dxa"/>
            <w:tcBorders/>
            <w:shd w:fill="auto" w:val="clear"/>
          </w:tcPr>
          <w:p>
            <w:pPr>
              <w:pStyle w:val="TableContents"/>
              <w:spacing w:before="0" w:after="283"/>
              <w:jc w:val="center"/>
              <w:rPr/>
            </w:pPr>
            <w:r>
              <w:rPr/>
              <w:t>$134,843,643.00(3)</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50"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$92.70 per</w:t>
            </w:r>
          </w:p>
          <w:p>
            <w:pPr>
              <w:pStyle w:val="TableContents"/>
              <w:spacing w:before="0" w:after="20"/>
              <w:jc w:val="center"/>
              <w:rPr>
                <w:rFonts w:ascii="Times New Roman" w:hAnsi="Times New Roman"/>
                <w:sz w:val="20"/>
              </w:rPr>
            </w:pPr>
            <w:r>
              <w:rPr>
                <w:rFonts w:ascii="Times New Roman" w:hAnsi="Times New Roman"/>
                <w:sz w:val="20"/>
              </w:rPr>
              <w:t>$1,000,000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355" w:type="dxa"/>
            <w:tcBorders>
              <w:right w:val="single" w:sz="2" w:space="0" w:color="000000"/>
            </w:tcBorders>
            <w:shd w:fill="auto" w:val="clear"/>
            <w:tcMar>
              <w:right w:w="40" w:type="dxa"/>
            </w:tcMar>
          </w:tcPr>
          <w:p>
            <w:pPr>
              <w:pStyle w:val="TableContents"/>
              <w:spacing w:before="0" w:after="283"/>
              <w:jc w:val="center"/>
              <w:rPr/>
            </w:pPr>
            <w:r>
              <w:rPr/>
              <w:t>$</w:t>
            </w:r>
          </w:p>
        </w:tc>
      </w:tr>
      <w:tr>
        <w:trPr>
          <w:trHeight w:val="15" w:hRule="atLeast"/>
        </w:trPr>
        <w:tc>
          <w:tcPr>
            <w:tcW w:w="197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7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4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0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15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1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1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970" w:type="dxa"/>
            <w:tcBorders>
              <w:left w:val="single" w:sz="2" w:space="0" w:color="000000"/>
            </w:tcBorders>
            <w:shd w:fill="auto" w:val="clear"/>
            <w:tcMar>
              <w:left w:w="160" w:type="dxa"/>
            </w:tcMar>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95" w:type="dxa"/>
            <w:tcBorders/>
            <w:shd w:fill="auto" w:val="clear"/>
          </w:tcPr>
          <w:p>
            <w:pPr>
              <w:pStyle w:val="TableContents"/>
              <w:spacing w:before="0" w:after="283"/>
              <w:jc w:val="center"/>
              <w:rPr/>
            </w:pPr>
            <w:r>
              <w:rPr/>
              <w:t>Equity</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37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Warrants to purchase Class A</w:t>
            </w:r>
          </w:p>
          <w:p>
            <w:pPr>
              <w:pStyle w:val="TableContents"/>
              <w:spacing w:before="0" w:after="20"/>
              <w:rPr>
                <w:rFonts w:ascii="Times New Roman" w:hAnsi="Times New Roman"/>
                <w:sz w:val="20"/>
              </w:rPr>
            </w:pPr>
            <w:r>
              <w:rPr>
                <w:rFonts w:ascii="Times New Roman" w:hAnsi="Times New Roman"/>
                <w:sz w:val="20"/>
              </w:rPr>
              <w:t>common stock(6)</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80" w:type="dxa"/>
            <w:tcBorders/>
            <w:shd w:fill="auto" w:val="clear"/>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shd w:fill="auto" w:val="clear"/>
          </w:tcPr>
          <w:p>
            <w:pPr>
              <w:pStyle w:val="TableContents"/>
              <w:spacing w:before="0" w:after="283"/>
              <w:jc w:val="center"/>
              <w:rPr/>
            </w:pPr>
            <w:r>
              <w:rPr/>
              <w:t>6,147,440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45" w:type="dxa"/>
            <w:tcBorders/>
            <w:shd w:fill="auto" w:val="clear"/>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090" w:type="dxa"/>
            <w:tcBorders/>
            <w:shd w:fill="auto" w:val="clear"/>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50" w:type="dxa"/>
            <w:tcBorders/>
            <w:shd w:fill="auto" w:val="clear"/>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355" w:type="dxa"/>
            <w:tcBorders>
              <w:right w:val="single" w:sz="2" w:space="0" w:color="000000"/>
            </w:tcBorders>
            <w:shd w:fill="auto" w:val="clear"/>
            <w:tcMar>
              <w:right w:w="40" w:type="dxa"/>
            </w:tcMar>
          </w:tcPr>
          <w:p>
            <w:pPr>
              <w:pStyle w:val="TableContents"/>
              <w:spacing w:before="0" w:after="283"/>
              <w:jc w:val="center"/>
              <w:rPr/>
            </w:pPr>
            <w:r>
              <w:rPr/>
              <w:t>(7) </w:t>
            </w:r>
          </w:p>
        </w:tc>
      </w:tr>
      <w:tr>
        <w:trPr>
          <w:trHeight w:val="15" w:hRule="atLeast"/>
        </w:trPr>
        <w:tc>
          <w:tcPr>
            <w:tcW w:w="197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7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4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0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15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1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1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970" w:type="dxa"/>
            <w:tcBorders>
              <w:left w:val="single" w:sz="2" w:space="0" w:color="000000"/>
            </w:tcBorders>
            <w:shd w:fill="auto" w:val="clear"/>
            <w:tcMar>
              <w:left w:w="160" w:type="dxa"/>
            </w:tcMar>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95" w:type="dxa"/>
            <w:tcBorders/>
            <w:shd w:fill="auto" w:val="clear"/>
          </w:tcPr>
          <w:p>
            <w:pPr>
              <w:pStyle w:val="TableContents"/>
              <w:spacing w:before="0" w:after="283"/>
              <w:jc w:val="center"/>
              <w:rPr/>
            </w:pPr>
            <w:r>
              <w:rPr/>
              <w:t>Equity</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37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Class A common stock, par</w:t>
            </w:r>
          </w:p>
          <w:p>
            <w:pPr>
              <w:pStyle w:val="TableContents"/>
              <w:spacing w:before="0" w:after="20"/>
              <w:rPr>
                <w:rFonts w:ascii="Times New Roman" w:hAnsi="Times New Roman"/>
                <w:sz w:val="20"/>
              </w:rPr>
            </w:pPr>
            <w:r>
              <w:rPr>
                <w:rFonts w:ascii="Times New Roman" w:hAnsi="Times New Roman"/>
                <w:sz w:val="20"/>
              </w:rPr>
              <w:t>value $0.0001 per share(8)</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80" w:type="dxa"/>
            <w:tcBorders/>
            <w:shd w:fill="auto" w:val="clear"/>
          </w:tcPr>
          <w:p>
            <w:pPr>
              <w:pStyle w:val="TableContents"/>
              <w:spacing w:before="0" w:after="283"/>
              <w:jc w:val="center"/>
              <w:rPr/>
            </w:pPr>
            <w:r>
              <w:rPr/>
              <w:t>457(o)</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shd w:fill="auto" w:val="clear"/>
          </w:tcPr>
          <w:p>
            <w:pPr>
              <w:pStyle w:val="TableContents"/>
              <w:spacing w:before="0" w:after="283"/>
              <w:jc w:val="center"/>
              <w:rPr/>
            </w:pPr>
            <w:r>
              <w:rPr/>
              <w:t>6,147,440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45" w:type="dxa"/>
            <w:tcBorders/>
            <w:shd w:fill="auto" w:val="clear"/>
          </w:tcPr>
          <w:p>
            <w:pPr>
              <w:pStyle w:val="TableContents"/>
              <w:spacing w:before="0" w:after="283"/>
              <w:jc w:val="center"/>
              <w:rPr/>
            </w:pPr>
            <w:r>
              <w:rPr/>
              <w:t>$26.01(3)</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090" w:type="dxa"/>
            <w:tcBorders/>
            <w:shd w:fill="auto" w:val="clear"/>
          </w:tcPr>
          <w:p>
            <w:pPr>
              <w:pStyle w:val="TableContents"/>
              <w:spacing w:before="0" w:after="283"/>
              <w:jc w:val="center"/>
              <w:rPr/>
            </w:pPr>
            <w:r>
              <w:rPr/>
              <w:t>$159,894,914.40(3)</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50"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$92.70 per</w:t>
            </w:r>
          </w:p>
          <w:p>
            <w:pPr>
              <w:pStyle w:val="TableContents"/>
              <w:spacing w:before="0" w:after="20"/>
              <w:jc w:val="center"/>
              <w:rPr>
                <w:rFonts w:ascii="Times New Roman" w:hAnsi="Times New Roman"/>
                <w:sz w:val="20"/>
              </w:rPr>
            </w:pPr>
            <w:r>
              <w:rPr>
                <w:rFonts w:ascii="Times New Roman" w:hAnsi="Times New Roman"/>
                <w:sz w:val="20"/>
              </w:rPr>
              <w:t>$1,000,000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355" w:type="dxa"/>
            <w:tcBorders>
              <w:right w:val="single" w:sz="2" w:space="0" w:color="000000"/>
            </w:tcBorders>
            <w:shd w:fill="auto" w:val="clear"/>
            <w:tcMar>
              <w:right w:w="40" w:type="dxa"/>
            </w:tcMar>
          </w:tcPr>
          <w:p>
            <w:pPr>
              <w:pStyle w:val="TableContents"/>
              <w:spacing w:before="0" w:after="283"/>
              <w:jc w:val="center"/>
              <w:rPr/>
            </w:pPr>
            <w:r>
              <w:rPr/>
              <w:t>$</w:t>
            </w:r>
          </w:p>
        </w:tc>
      </w:tr>
      <w:tr>
        <w:trPr>
          <w:trHeight w:val="15" w:hRule="atLeast"/>
        </w:trPr>
        <w:tc>
          <w:tcPr>
            <w:tcW w:w="197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5510"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0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15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1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1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970" w:type="dxa"/>
            <w:tcBorders>
              <w:left w:val="single" w:sz="2" w:space="0" w:color="000000"/>
            </w:tcBorders>
            <w:shd w:fill="auto" w:val="clear"/>
            <w:tcMar>
              <w:left w:w="160" w:type="dxa"/>
            </w:tcMar>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5450" w:type="dxa"/>
            <w:gridSpan w:val="7"/>
            <w:tcBorders/>
            <w:shd w:fill="auto" w:val="clear"/>
            <w:vAlign w:val="bottom"/>
          </w:tcPr>
          <w:p>
            <w:pPr>
              <w:pStyle w:val="TableContents"/>
              <w:spacing w:before="0" w:after="283"/>
              <w:jc w:val="center"/>
              <w:rPr/>
            </w:pPr>
            <w:r>
              <w:rPr/>
              <w:t>Total Offering Amounts</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090" w:type="dxa"/>
            <w:tcBorders/>
            <w:shd w:fill="auto" w:val="clear"/>
            <w:vAlign w:val="bottom"/>
          </w:tcPr>
          <w:p>
            <w:pPr>
              <w:pStyle w:val="TableContents"/>
              <w:spacing w:before="0" w:after="283"/>
              <w:jc w:val="center"/>
              <w:rPr/>
            </w:pPr>
            <w:r>
              <w:rPr/>
              <w:t>$6,100,863,411.78</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5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355" w:type="dxa"/>
            <w:tcBorders>
              <w:right w:val="single" w:sz="2" w:space="0" w:color="000000"/>
            </w:tcBorders>
            <w:shd w:fill="auto" w:val="clear"/>
            <w:tcMar>
              <w:right w:w="40" w:type="dxa"/>
            </w:tcMar>
            <w:vAlign w:val="bottom"/>
          </w:tcPr>
          <w:p>
            <w:pPr>
              <w:pStyle w:val="TableContents"/>
              <w:spacing w:before="0" w:after="283"/>
              <w:jc w:val="center"/>
              <w:rPr/>
            </w:pPr>
            <w:r>
              <w:rPr/>
              <w:t>$565,550.04</w:t>
            </w:r>
          </w:p>
        </w:tc>
      </w:tr>
      <w:tr>
        <w:trPr>
          <w:trHeight w:val="15" w:hRule="atLeast"/>
        </w:trPr>
        <w:tc>
          <w:tcPr>
            <w:tcW w:w="197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5510"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0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15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1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1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970" w:type="dxa"/>
            <w:tcBorders>
              <w:left w:val="single" w:sz="2" w:space="0" w:color="000000"/>
            </w:tcBorders>
            <w:shd w:fill="auto" w:val="clear"/>
            <w:tcMar>
              <w:left w:w="160" w:type="dxa"/>
            </w:tcMar>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5450" w:type="dxa"/>
            <w:gridSpan w:val="7"/>
            <w:tcBorders/>
            <w:shd w:fill="auto" w:val="clear"/>
            <w:vAlign w:val="bottom"/>
          </w:tcPr>
          <w:p>
            <w:pPr>
              <w:pStyle w:val="TableContents"/>
              <w:spacing w:before="0" w:after="283"/>
              <w:jc w:val="center"/>
              <w:rPr/>
            </w:pPr>
            <w:r>
              <w:rPr/>
              <w:t>Total Fees Previously Paid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09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5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355" w:type="dxa"/>
            <w:tcBorders>
              <w:right w:val="single" w:sz="2" w:space="0" w:color="000000"/>
            </w:tcBorders>
            <w:shd w:fill="auto" w:val="clear"/>
            <w:tcMar>
              <w:right w:w="40" w:type="dxa"/>
            </w:tcMar>
            <w:vAlign w:val="bottom"/>
          </w:tcPr>
          <w:p>
            <w:pPr>
              <w:pStyle w:val="TableContents"/>
              <w:spacing w:before="0" w:after="283"/>
              <w:jc w:val="center"/>
              <w:rPr/>
            </w:pPr>
            <w:r>
              <w:rPr/>
              <w:t>$565,550.04</w:t>
            </w:r>
          </w:p>
        </w:tc>
      </w:tr>
      <w:tr>
        <w:trPr>
          <w:trHeight w:val="15" w:hRule="atLeast"/>
        </w:trPr>
        <w:tc>
          <w:tcPr>
            <w:tcW w:w="197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5510"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0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15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1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1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970" w:type="dxa"/>
            <w:tcBorders>
              <w:left w:val="single" w:sz="2" w:space="0" w:color="000000"/>
            </w:tcBorders>
            <w:shd w:fill="auto" w:val="clear"/>
            <w:tcMar>
              <w:left w:w="160" w:type="dxa"/>
            </w:tcMar>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5450" w:type="dxa"/>
            <w:gridSpan w:val="7"/>
            <w:tcBorders/>
            <w:shd w:fill="auto" w:val="clear"/>
            <w:vAlign w:val="bottom"/>
          </w:tcPr>
          <w:p>
            <w:pPr>
              <w:pStyle w:val="TableContents"/>
              <w:spacing w:before="0" w:after="283"/>
              <w:jc w:val="center"/>
              <w:rPr/>
            </w:pPr>
            <w:r>
              <w:rPr/>
              <w:t>Total Fee Offsets</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45"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09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5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355" w:type="dxa"/>
            <w:tcBorders>
              <w:right w:val="single" w:sz="2" w:space="0" w:color="000000"/>
            </w:tcBorders>
            <w:shd w:fill="auto" w:val="clear"/>
            <w:tcMar>
              <w:right w:w="40" w:type="dxa"/>
            </w:tcMar>
            <w:vAlign w:val="bottom"/>
          </w:tcPr>
          <w:p>
            <w:pPr>
              <w:pStyle w:val="TableContents"/>
              <w:spacing w:before="0" w:after="283"/>
              <w:jc w:val="center"/>
              <w:rPr/>
            </w:pPr>
            <w:r>
              <w:rPr/>
              <w:t>$0</w:t>
            </w:r>
          </w:p>
        </w:tc>
      </w:tr>
      <w:tr>
        <w:trPr>
          <w:trHeight w:val="15" w:hRule="atLeast"/>
        </w:trPr>
        <w:tc>
          <w:tcPr>
            <w:tcW w:w="197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5510"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0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15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1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15"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1970"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5450" w:type="dxa"/>
            <w:gridSpan w:val="7"/>
            <w:tcBorders>
              <w:bottom w:val="single" w:sz="2" w:space="0" w:color="000000"/>
            </w:tcBorders>
            <w:shd w:fill="auto" w:val="clear"/>
            <w:tcMar>
              <w:bottom w:w="28" w:type="dxa"/>
            </w:tcMar>
            <w:vAlign w:val="bottom"/>
          </w:tcPr>
          <w:p>
            <w:pPr>
              <w:pStyle w:val="TableContents"/>
              <w:spacing w:before="0" w:after="283"/>
              <w:jc w:val="center"/>
              <w:rPr/>
            </w:pPr>
            <w:r>
              <w:rPr/>
              <w:t>Net Fee Due</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45"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09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5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355"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jc w:val="center"/>
              <w:rPr/>
            </w:pPr>
            <w:r>
              <w:rPr/>
              <w:t>$0(9)</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 xml:space="preserve">Pursuant to Rule 416(a) of the Securities Act, the registrant is also registering an indeterminate number of additional shares of Class A Common Stock, that may be issued to prevent dilution resulting from stock splits, stock dividends or similar transactions.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 xml:space="preserve">Relates to 32,500,000 shares of Class A Common Stock issued to certain qualified institutional buyers and accredited investors in a private placement.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 xml:space="preserve">Estimated solely for the purpose of calculating the registration fee, based on the average of the high and low prices of the shares of Class A Common Stock on the NYSE on November 11, 2021 in accordance with Rule 457(c) of the Securities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 xml:space="preserve">Relates to 190,726,638 shares of Class A Common Stock, issuable upon the exchange of outstanding and issuable Paired Interests (as defined in the registration statement ).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(5)</w:t>
            </w:r>
          </w:p>
        </w:tc>
        <w:tc>
          <w:tcPr>
            <w:tcW w:w="9799"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 xml:space="preserve">Relates to 5,184,300 shares of Class A Common Stock issued to the Sponsor and certain of its affiliates upon the conversion the Founder shares (as defined in the registration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 xml:space="preserve">Relates to 6,147,440 warrants to purchase shares of Class A Common Stock issued to the Sponsor.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 xml:space="preserve">Pursuant to Rule 457(g) under the Securities Act, no separate fee is recorded for the warrants, and the entire fee is allocated to the underlying Class A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w:t>
            </w:r>
          </w:p>
        </w:tc>
        <w:tc>
          <w:tcPr>
            <w:tcW w:w="9798"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 xml:space="preserve">Relates to shares of Class A Common Stock issuable upon the exercise of certain warrants to purchase Class A Common Stock, each exercisable for one share of Class A Common Stock at an exercise price of $11.50 per share.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(9)</w:t>
            </w:r>
          </w:p>
        </w:tc>
        <w:tc>
          <w:tcPr>
            <w:tcW w:w="9798"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 xml:space="preserve">A registration fee of $565,550.04 has previously been paid in connection with the Initial Registration Statement, filed with the SEC on November 12, 2021. Accordingly, no registration fee is being paid with this Post-Effective Amendment No. 2 to the Registration Statement. </w:t>
            </w:r>
          </w:p>
        </w:tc>
      </w:tr>
    </w:tbl>
    <w:p>
      <w:pPr>
        <w:pStyle w:val="TextBody"/>
        <w:spacing w:before="240" w:after="0"/>
        <w:jc w:val="center"/>
        <w:rPr>
          <w:rFonts w:ascii="Times New Roman" w:hAnsi="Times New Roman"/>
          <w:b/>
          <w:sz w:val="18"/>
          <w:u w:val="single"/>
        </w:rPr>
      </w:pPr>
      <w:r>
        <w:rPr>
          <w:rFonts w:ascii="Times New Roman" w:hAnsi="Times New Roman"/>
          <w:b/>
          <w:sz w:val="18"/>
          <w:u w:val="single"/>
        </w:rPr>
        <w:t xml:space="preserve">Table 2: Fee Offset Claims and Sources </w:t>
      </w:r>
    </w:p>
    <w:p>
      <w:pPr>
        <w:pStyle w:val="TextBody"/>
        <w:spacing w:before="240" w:after="0"/>
        <w:jc w:val="center"/>
        <w:rPr>
          <w:rFonts w:ascii="Times New Roman" w:hAnsi="Times New Roman"/>
          <w:sz w:val="18"/>
        </w:rPr>
      </w:pPr>
      <w:r>
        <w:rPr>
          <w:rFonts w:ascii="Times New Roman" w:hAnsi="Times New Roman"/>
          <w:sz w:val="18"/>
        </w:rPr>
        <w:t xml:space="preserve">N/A </w:t>
      </w:r>
    </w:p>
    <w:p>
      <w:pPr>
        <w:pStyle w:val="TextBody"/>
        <w:spacing w:before="240" w:after="0"/>
        <w:jc w:val="center"/>
        <w:rPr>
          <w:rFonts w:ascii="Times New Roman" w:hAnsi="Times New Roman"/>
          <w:b/>
          <w:sz w:val="18"/>
          <w:u w:val="single"/>
        </w:rPr>
      </w:pPr>
      <w:r>
        <w:rPr>
          <w:rFonts w:ascii="Times New Roman" w:hAnsi="Times New Roman"/>
          <w:b/>
          <w:sz w:val="18"/>
          <w:u w:val="single"/>
        </w:rPr>
        <w:t xml:space="preserve">Table 3: Combined Prospectuses </w:t>
      </w:r>
    </w:p>
    <w:p>
      <w:pPr>
        <w:pStyle w:val="TextBody"/>
        <w:spacing w:before="240" w:after="0"/>
        <w:jc w:val="center"/>
        <w:rPr>
          <w:rFonts w:ascii="Times New Roman" w:hAnsi="Times New Roman"/>
          <w:sz w:val="18"/>
        </w:rPr>
      </w:pPr>
      <w:r>
        <w:rPr>
          <w:rFonts w:ascii="Times New Roman" w:hAnsi="Times New Roman"/>
          <w:sz w:val="18"/>
        </w:rPr>
        <w:t xml:space="preserve">N/A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Narrow">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20302/000182030223000016/bakkt-20221231.htm" TargetMode="External"/><Relationship Id="rId4" Type="http://schemas.openxmlformats.org/officeDocument/2006/relationships/hyperlink" Target="http://www.sec.gov/Archives/edgar/data/../../../ix?doc=/Archives/edgar/data/1820302/000182030223000006/bakkt-20230309.htm" TargetMode="External"/><Relationship Id="rId5" Type="http://schemas.openxmlformats.org/officeDocument/2006/relationships/hyperlink" Target="http://www.sec.gov/Archives/edgar/data/../../../ix?doc=/Archives/edgar/data/1820302/000119312523089016/d482123d8k.htm" TargetMode="External"/><Relationship Id="rId6" Type="http://schemas.openxmlformats.org/officeDocument/2006/relationships/hyperlink" Target="http://www.sec.gov/Archives/edgar/data/../../../ix?doc=/Archives/edgar/data/0001820302/000182030223000033/bakkt-20230418.htm" TargetMode="External"/><Relationship Id="rId7" Type="http://schemas.openxmlformats.org/officeDocument/2006/relationships/hyperlink" Target="http://www.sec.gov/Archives/edgar/data/../../../ix?doc=/Archives/edgar/data/0001820302/000119312522096343/d322705d8ka.htm" TargetMode="External"/><Relationship Id="rId8" Type="http://schemas.openxmlformats.org/officeDocument/2006/relationships/hyperlink" Target="http://www.sec.gov/Archives/edgar/data/../../../ix?doc=/Archives/edgar/data/0001820302/000182030223000030/bakkt-20230401.htm" TargetMode="External"/><Relationship Id="rId9" Type="http://schemas.openxmlformats.org/officeDocument/2006/relationships/hyperlink" Target="http://www.sec.gov/Archives/edgar/data/1820302/000119312521299620/d211377d8a12b.htm" TargetMode="External"/><Relationship Id="rId10" Type="http://schemas.openxmlformats.org/officeDocument/2006/relationships/hyperlink" Target="http://www.sec.gov/Archives/edgar/data/1820302/000119312521005832/d913171dex21.htm" TargetMode="External"/><Relationship Id="rId11" Type="http://schemas.openxmlformats.org/officeDocument/2006/relationships/hyperlink" Target="http://www.sec.gov/Archives/edgar/data/1820302/000119312521101249/d107545dex21.htm" TargetMode="External"/><Relationship Id="rId12" Type="http://schemas.openxmlformats.org/officeDocument/2006/relationships/hyperlink" Target="http://www.sec.gov/Archives/edgar/data/1820302/000119312521286927/d204551dex21.htm" TargetMode="External"/><Relationship Id="rId13" Type="http://schemas.openxmlformats.org/officeDocument/2006/relationships/hyperlink" Target="http://www.sec.gov/Archives/edgar/data/1820302/000119312521303985/d219325dex31.htm" TargetMode="External"/><Relationship Id="rId14" Type="http://schemas.openxmlformats.org/officeDocument/2006/relationships/hyperlink" Target="http://www.sec.gov/Archives/edgar/data/1820302/000119312521303985/d219325dex32.htm" TargetMode="External"/><Relationship Id="rId15" Type="http://schemas.openxmlformats.org/officeDocument/2006/relationships/hyperlink" Target="http://www.sec.gov/Archives/edgar/data/1820302/000119312521303985/d219325dex41.htm" TargetMode="External"/><Relationship Id="rId16" Type="http://schemas.openxmlformats.org/officeDocument/2006/relationships/hyperlink" Target="http://www.sec.gov/Archives/edgar/data/1820302/000119312521303985/d219325dex42.htm" TargetMode="External"/><Relationship Id="rId17" Type="http://schemas.openxmlformats.org/officeDocument/2006/relationships/hyperlink" Target="http://www.sec.gov/Archives/edgar/data/1820302/000119312520256308/d38926dex41.htm" TargetMode="External"/><Relationship Id="rId18" Type="http://schemas.openxmlformats.org/officeDocument/2006/relationships/hyperlink" Target="http://www.sec.gov/Archives/edgar/data/1820302/000119312521303985/d219325dex43.htm" TargetMode="External"/><Relationship Id="rId19" Type="http://schemas.openxmlformats.org/officeDocument/2006/relationships/hyperlink" Target="http://www.sec.gov/Archives/edgar/data/1820302/000119312521328170/d226097dex51.htm" TargetMode="External"/><Relationship Id="rId20" Type="http://schemas.openxmlformats.org/officeDocument/2006/relationships/hyperlink" Target="http://www.sec.gov/Archives/edgar/data/1820302/000119312521328170/d226097dex51.htm" TargetMode="External"/><Relationship Id="rId21" Type="http://schemas.openxmlformats.org/officeDocument/2006/relationships/hyperlink" Target="http://www.sec.gov/Archives/edgar/data/../../../ix?doc=/Archives/edgar/data/0001820302/000119312521328170/d226097ds1.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36</Pages>
  <Words>15659</Words>
  <CharactersWithSpaces>98272</CharactersWithSpaces>
  <Paragraphs>1562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