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333-261034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13, 2022)</w:t>
      </w:r>
    </w:p>
    <w:p>
      <w:pPr>
        <w:spacing w:after="0" w:line="19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25"/>
          <w:szCs w:val="25"/>
          <w:b w:val="1"/>
          <w:bCs w:val="1"/>
          <w:color w:val="auto"/>
        </w:rPr>
        <w:t>190,726,638 Shares of Class A Common Stock Issuable Upon the Exchange of Paired Interests</w:t>
      </w:r>
    </w:p>
    <w:p>
      <w:pPr>
        <w:spacing w:after="0" w:line="22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25"/>
          <w:szCs w:val="25"/>
          <w:b w:val="1"/>
          <w:bCs w:val="1"/>
          <w:color w:val="auto"/>
        </w:rPr>
        <w:t>32,500,000 Shares of Class A Common Stock issued in the PIPE Financing</w:t>
      </w:r>
    </w:p>
    <w:p>
      <w:pPr>
        <w:spacing w:after="0" w:line="226"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25"/>
          <w:szCs w:val="25"/>
          <w:b w:val="1"/>
          <w:bCs w:val="1"/>
          <w:color w:val="auto"/>
        </w:rPr>
        <w:t>5,184,300 Shares of Class A Common Stock Issued in Respect of Founder Shares</w:t>
      </w:r>
    </w:p>
    <w:p>
      <w:pPr>
        <w:spacing w:after="0" w:line="22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5"/>
          <w:szCs w:val="25"/>
          <w:b w:val="1"/>
          <w:bCs w:val="1"/>
          <w:color w:val="auto"/>
        </w:rPr>
        <w:t>3,151,890 shares of Class A Common Stock Issued Upon the Exchange of a Portion of the Private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765810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156845</wp:posOffset>
            </wp:positionV>
            <wp:extent cx="103695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April 13, 2022 (as amended and supplemented from time to time, the “Prospectus”) with the information contained in our Current Report on Form 8-K, filed with the Securities and Exchange Commission on July 25, 2022 (the “Form 8-K”). Accordingly, we have attached the Form 8-K to this prospectus supplement.</w:t>
      </w:r>
    </w:p>
    <w:p>
      <w:pPr>
        <w:spacing w:after="0" w:line="176"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Times New Roman" w:cs="Times New Roman" w:eastAsia="Times New Roman" w:hAnsi="Times New Roman"/>
          <w:sz w:val="18"/>
          <w:szCs w:val="18"/>
          <w:i w:val="1"/>
          <w:iCs w:val="1"/>
          <w:color w:val="auto"/>
        </w:rPr>
        <w:t>About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w:t>
      </w:r>
    </w:p>
    <w:p>
      <w:pPr>
        <w:spacing w:after="0" w:line="192"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Our Class A Common Stock is listed on The New York Stock Exchange (“NYSE”) under the symbol “BKKT” and our warrants to purchase Class A Common Stock (the “Warrants”) are listed on NYSE under the symbol “BKKT WS.” On July 18, 2022, the last quoted sale price for our Class A Common Stock as reported on NYSE was $2.54 per share and the last quoted sale price for our Warrants as reported on NYSE was $0.66 per warrant.</w:t>
      </w:r>
    </w:p>
    <w:p>
      <w:pPr>
        <w:spacing w:after="0" w:line="158"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148" w:lineRule="exact"/>
        <w:rPr>
          <w:sz w:val="24"/>
          <w:szCs w:val="24"/>
          <w:color w:val="auto"/>
        </w:rPr>
      </w:pPr>
    </w:p>
    <w:p>
      <w:pPr>
        <w:ind w:right="40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of the Prospectus.</w:t>
      </w:r>
    </w:p>
    <w:p>
      <w:pPr>
        <w:spacing w:after="0" w:line="159" w:lineRule="exact"/>
        <w:rPr>
          <w:sz w:val="24"/>
          <w:szCs w:val="24"/>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155" w:lineRule="exact"/>
        <w:rPr>
          <w:sz w:val="24"/>
          <w:szCs w:val="24"/>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207010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25, 2022</w:t>
      </w:r>
    </w:p>
    <w:p>
      <w:pPr>
        <w:sectPr>
          <w:pgSz w:w="11900" w:h="16838" w:orient="portrait"/>
          <w:cols w:equalWidth="0" w:num="1">
            <w:col w:w="11020"/>
          </w:cols>
          <w:pgMar w:left="440" w:top="225" w:right="439" w:bottom="1440" w:gutter="0" w:footer="0" w:header="0"/>
        </w:sectPr>
      </w:pPr>
    </w:p>
    <w:bookmarkStart w:id="1" w:name="page2"/>
    <w:bookmarkEnd w:id="1"/>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48"/>
        </w:trPr>
        <w:tc>
          <w:tcPr>
            <w:tcW w:w="400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320" w:type="dxa"/>
            <w:vAlign w:val="bottom"/>
            <w:gridSpan w:val="2"/>
          </w:tcPr>
          <w:p>
            <w:pPr>
              <w:jc w:val="center"/>
              <w:ind w:right="962"/>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 Alpharetta, Georgia</w:t>
            </w: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400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0"/>
          <w:szCs w:val="20"/>
          <w:color w:val="auto"/>
        </w:rPr>
      </w:pPr>
    </w:p>
    <w:p>
      <w:pPr>
        <w:ind w:left="2924"/>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23"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0"/>
          <w:szCs w:val="20"/>
          <w:color w:val="auto"/>
        </w:rPr>
      </w:pPr>
    </w:p>
    <w:tbl>
      <w:tblPr>
        <w:tblLayout w:type="fixed"/>
        <w:tblInd w:w="84"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0" w:type="dxa"/>
            <w:vAlign w:val="bottom"/>
            <w:vMerge w:val="restart"/>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460" w:type="dxa"/>
            <w:vAlign w:val="bottom"/>
          </w:tcPr>
          <w:p>
            <w:pPr>
              <w:spacing w:after="0"/>
              <w:rPr>
                <w:sz w:val="13"/>
                <w:szCs w:val="13"/>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1"/>
              </w:rPr>
              <w:t>Class A Common</w:t>
            </w:r>
          </w:p>
        </w:tc>
        <w:tc>
          <w:tcPr>
            <w:tcW w:w="110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26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460" w:type="dxa"/>
            <w:vAlign w:val="bottom"/>
          </w:tcPr>
          <w:p>
            <w:pPr>
              <w:spacing w:after="0"/>
              <w:rPr>
                <w:sz w:val="15"/>
                <w:szCs w:val="15"/>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vMerge w:val="continue"/>
          </w:tcPr>
          <w:p>
            <w:pPr>
              <w:spacing w:after="0"/>
              <w:rPr>
                <w:sz w:val="16"/>
                <w:szCs w:val="16"/>
                <w:color w:val="auto"/>
              </w:rPr>
            </w:pPr>
          </w:p>
        </w:tc>
        <w:tc>
          <w:tcPr>
            <w:tcW w:w="310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Stock, par value $0.0001 per</w:t>
            </w:r>
          </w:p>
        </w:tc>
        <w:tc>
          <w:tcPr>
            <w:tcW w:w="900" w:type="dxa"/>
            <w:vAlign w:val="bottom"/>
            <w:vMerge w:val="continue"/>
          </w:tcPr>
          <w:p>
            <w:pPr>
              <w:spacing w:after="0"/>
              <w:rPr>
                <w:sz w:val="16"/>
                <w:szCs w:val="16"/>
                <w:color w:val="auto"/>
              </w:rPr>
            </w:pPr>
          </w:p>
        </w:tc>
        <w:tc>
          <w:tcPr>
            <w:tcW w:w="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120" w:type="dxa"/>
            <w:vAlign w:val="bottom"/>
            <w:vMerge w:val="continue"/>
          </w:tcPr>
          <w:p>
            <w:pPr>
              <w:spacing w:after="0"/>
              <w:rPr>
                <w:sz w:val="16"/>
                <w:szCs w:val="16"/>
                <w:color w:val="auto"/>
              </w:rPr>
            </w:pPr>
          </w:p>
        </w:tc>
        <w:tc>
          <w:tcPr>
            <w:tcW w:w="3380" w:type="dxa"/>
            <w:vAlign w:val="bottom"/>
            <w:gridSpan w:val="3"/>
          </w:tcPr>
          <w:p>
            <w:pPr>
              <w:jc w:val="center"/>
              <w:ind w:left="9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310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4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38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0"/>
          <w:szCs w:val="20"/>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416" w:right="7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July 21, 2022, Bakkt Trust Company LLC (“Bakkt Trust”), whose principal office is at 55 Each 52nd Street, New York, NY 10055 (the “Warehouse”) and which is a wholly owned subsidiary of Bakkt Holdings, Inc. (the “Company”), entered into Amendment No. 4 (the “Amendment”) to that certain Digital Currency Trading, Clearing, and Warehouse Services Agreement (the “Triparty Agreement”), dated August 29, 2019, by and among Bakkt Trust, ICE Futures U.S., Inc. (“IFUS”) and ICE Clear US, Inc. (“ICUS,” and together with Bakkt Trust and IFUS, the “Parties”), pursuant to which the Triparty Agreement was amended to (i) specify certain marketing obligations of the Parties and (ii) revise the revenue allocation among the Parties such that one half of all revenues of IFUS and ICUS with respect to the trading and clearing, respectively, of certain futures or option contracts traded on IFUS shall be for the account of the Warehouse and one half of all revenues of Warehouse with respect to providing certain services specified the Triparty Agreement shall be for the account of IFUS and ICUS, collectively.</w:t>
      </w:r>
    </w:p>
    <w:p>
      <w:pPr>
        <w:spacing w:after="0" w:line="19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qualified by the full text thereof, which has been filed with this Current Report on Form 8-K as Exhibit 10.1 and is incorporated herein by reference.</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IFUS and ICUS are both wholly owned subsidiaries of Intercontinental Exchange, Inc. (“ICE”). The Company has certain commercial and other relationships with ICE, including that David Clifton (an employee of an affiliate of ICE) serves on the Company’s board of directors and that ICE or its affiliates has certain other contractual relationships with the Company. For more information on the Company’s relationships with ICE, please see the section entitled “Related Person Transactions” in the Company’s definitive proxy statement filed with the Securities and Exchange Commission on April 28, 2022, which is incorporated herein by reference.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5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39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80" w:type="dxa"/>
            <w:vAlign w:val="bottom"/>
            <w:gridSpan w:val="4"/>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Amendment No. 4 to Digital Currency Trading, Clearing, and Warehouse Services Agreement, dated as of July 21, 2022, by and</w:t>
              </w:r>
            </w:hyperlink>
          </w:p>
        </w:tc>
      </w:tr>
      <w:tr>
        <w:trPr>
          <w:trHeight w:val="196"/>
        </w:trPr>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among ICE Futures U.S., Inc., ICE Clear US, Inc. and Bakkt Trust Company LLC</w:t>
              </w:r>
            </w:hyperlink>
          </w:p>
        </w:tc>
        <w:tc>
          <w:tcPr>
            <w:tcW w:w="3360" w:type="dxa"/>
            <w:vAlign w:val="bottom"/>
          </w:tcPr>
          <w:p>
            <w:pPr>
              <w:spacing w:after="0"/>
              <w:rPr>
                <w:sz w:val="17"/>
                <w:szCs w:val="17"/>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60"/>
          </w:cols>
          <w:pgMar w:left="440" w:top="266" w:right="4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25,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General Counsel and Secretary</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2" Type="http://schemas.openxmlformats.org/officeDocument/2006/relationships/hyperlink" Target="http://www.sec.gov/Archives/edgar/data/1820302/000119312522200875/d3679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2022-07-25T16:00:17Z</dcterms:created>
  <dcterms:modified xsi:type="dcterms:W3CDTF">2022-07-25T16:00:17Z</dcterms:modified>
</cp:coreProperties>
</file>