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740410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766445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64135</wp:posOffset>
            </wp:positionV>
            <wp:extent cx="1037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3322955</wp:posOffset>
            </wp:positionH>
            <wp:positionV relativeFrom="paragraph">
              <wp:posOffset>83820</wp:posOffset>
            </wp:positionV>
            <wp:extent cx="497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40" w:hanging="514"/>
        <w:spacing w:after="0"/>
        <w:tabs>
          <w:tab w:leader="none" w:pos="5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05"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3322955</wp:posOffset>
            </wp:positionH>
            <wp:positionV relativeFrom="paragraph">
              <wp:posOffset>240030</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BAKKT HOLDINGS,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3322955</wp:posOffset>
            </wp:positionH>
            <wp:positionV relativeFrom="paragraph">
              <wp:posOffset>73025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0"/>
          <w:szCs w:val="10"/>
          <w:b w:val="1"/>
          <w:bCs w:val="1"/>
          <w:color w:val="auto"/>
        </w:rPr>
        <w:t>(State or other jurisdiction of</w:t>
      </w:r>
    </w:p>
    <w:p>
      <w:pPr>
        <w:spacing w:after="0" w:line="21"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98-1550750</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42"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10000 Avalon Boulevard, Suite 1000</w:t>
            </w:r>
          </w:p>
        </w:tc>
        <w:tc>
          <w:tcPr>
            <w:tcW w:w="2560" w:type="dxa"/>
            <w:vAlign w:val="bottom"/>
          </w:tcPr>
          <w:p>
            <w:pPr>
              <w:spacing w:after="0"/>
              <w:rPr>
                <w:sz w:val="18"/>
                <w:szCs w:val="18"/>
                <w:color w:val="auto"/>
              </w:rPr>
            </w:pPr>
          </w:p>
        </w:tc>
      </w:tr>
      <w:tr>
        <w:trPr>
          <w:trHeight w:val="243"/>
        </w:trPr>
        <w:tc>
          <w:tcPr>
            <w:tcW w:w="47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Alpharetta, Georgia</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30009</w:t>
            </w:r>
          </w:p>
        </w:tc>
      </w:tr>
      <w:tr>
        <w:trPr>
          <w:trHeight w:val="164"/>
        </w:trPr>
        <w:tc>
          <w:tcPr>
            <w:tcW w:w="4720" w:type="dxa"/>
            <w:vAlign w:val="bottom"/>
          </w:tcPr>
          <w:p>
            <w:pPr>
              <w:jc w:val="center"/>
              <w:ind w:right="187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560" w:type="dxa"/>
            <w:vAlign w:val="bottom"/>
          </w:tcPr>
          <w:p>
            <w:pPr>
              <w:jc w:val="center"/>
              <w:ind w:left="1904"/>
              <w:spacing w:after="0"/>
              <w:rPr>
                <w:sz w:val="20"/>
                <w:szCs w:val="20"/>
                <w:color w:val="auto"/>
              </w:rPr>
            </w:pPr>
            <w:r>
              <w:rPr>
                <w:rFonts w:ascii="Arial" w:cs="Arial" w:eastAsia="Arial" w:hAnsi="Arial"/>
                <w:sz w:val="13"/>
                <w:szCs w:val="13"/>
                <w:b w:val="1"/>
                <w:bCs w:val="1"/>
                <w:color w:val="auto"/>
                <w:w w:val="90"/>
              </w:rPr>
              <w:t>(Zip Code)</w:t>
            </w:r>
          </w:p>
        </w:tc>
      </w:tr>
    </w:tbl>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3322955</wp:posOffset>
            </wp:positionH>
            <wp:positionV relativeFrom="paragraph">
              <wp:posOffset>85725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8" w:lineRule="exact"/>
        <w:rPr>
          <w:sz w:val="24"/>
          <w:szCs w:val="24"/>
          <w:color w:val="auto"/>
        </w:rPr>
      </w:pPr>
    </w:p>
    <w:p>
      <w:pPr>
        <w:ind w:left="40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ind w:left="1780"/>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 Symbol (s)</w:t>
            </w:r>
          </w:p>
        </w:tc>
        <w:tc>
          <w:tcPr>
            <w:tcW w:w="160" w:type="dxa"/>
            <w:vAlign w:val="bottom"/>
          </w:tcPr>
          <w:p>
            <w:pPr>
              <w:spacing w:after="0"/>
              <w:rPr>
                <w:sz w:val="16"/>
                <w:szCs w:val="16"/>
                <w:color w:val="auto"/>
              </w:rPr>
            </w:pPr>
          </w:p>
        </w:tc>
        <w:tc>
          <w:tcPr>
            <w:tcW w:w="4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17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BKKT</w:t>
            </w:r>
          </w:p>
        </w:tc>
        <w:tc>
          <w:tcPr>
            <w:tcW w:w="160" w:type="dxa"/>
            <w:vAlign w:val="bottom"/>
          </w:tcPr>
          <w:p>
            <w:pPr>
              <w:spacing w:after="0"/>
              <w:rPr>
                <w:sz w:val="15"/>
                <w:szCs w:val="15"/>
                <w:color w:val="auto"/>
              </w:rPr>
            </w:pPr>
          </w:p>
        </w:tc>
        <w:tc>
          <w:tcPr>
            <w:tcW w:w="4420" w:type="dxa"/>
            <w:vAlign w:val="bottom"/>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Warrants to purchase Class A Common Stock</w:t>
            </w:r>
          </w:p>
        </w:tc>
        <w:tc>
          <w:tcPr>
            <w:tcW w:w="1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BKKT WS</w:t>
            </w:r>
          </w:p>
        </w:tc>
        <w:tc>
          <w:tcPr>
            <w:tcW w:w="160" w:type="dxa"/>
            <w:vAlign w:val="bottom"/>
          </w:tcPr>
          <w:p>
            <w:pPr>
              <w:spacing w:after="0"/>
              <w:rPr>
                <w:sz w:val="16"/>
                <w:szCs w:val="16"/>
                <w:color w:val="auto"/>
              </w:rPr>
            </w:pPr>
          </w:p>
        </w:tc>
        <w:tc>
          <w:tcPr>
            <w:tcW w:w="4420" w:type="dxa"/>
            <w:vAlign w:val="bottom"/>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164" w:lineRule="exact"/>
        <w:rPr>
          <w:sz w:val="24"/>
          <w:szCs w:val="24"/>
          <w:color w:val="auto"/>
        </w:rPr>
      </w:pPr>
    </w:p>
    <w:p>
      <w:pPr>
        <w:jc w:val="both"/>
        <w:ind w:firstLine="518"/>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right="180" w:firstLine="518"/>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ind w:right="300" w:firstLine="518"/>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94" w:lineRule="exact"/>
        <w:rPr>
          <w:sz w:val="24"/>
          <w:szCs w:val="24"/>
          <w:color w:val="auto"/>
        </w:rPr>
      </w:pPr>
    </w:p>
    <w:p>
      <w:pPr>
        <w:ind w:right="60" w:firstLine="518"/>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340" w:firstLine="518"/>
        <w:spacing w:after="0"/>
        <w:rPr>
          <w:sz w:val="20"/>
          <w:szCs w:val="20"/>
          <w:color w:val="auto"/>
        </w:rPr>
      </w:pPr>
      <w:r>
        <w:rPr>
          <w:rFonts w:ascii="Arial" w:cs="Arial" w:eastAsia="Arial" w:hAnsi="Arial"/>
          <w:sz w:val="16"/>
          <w:szCs w:val="16"/>
          <w:color w:val="auto"/>
        </w:rPr>
        <w:t>As of May 5, 2023, there were 89,395,877 shares of the registrant’s Class A common stock, 183,279,887 shares of Class V common stock, and 7,140,808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55245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81280</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40" w:type="dxa"/>
            <w:vAlign w:val="bottom"/>
            <w:gridSpan w:val="6"/>
          </w:tcPr>
          <w:p>
            <w:pPr>
              <w:ind w:left="18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4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gridSpan w:val="20"/>
            <w:vMerge w:val="restart"/>
          </w:tcPr>
          <w:p>
            <w:pPr>
              <w:spacing w:after="0"/>
              <w:rPr>
                <w:sz w:val="20"/>
                <w:szCs w:val="20"/>
                <w:color w:val="auto"/>
              </w:rPr>
            </w:pPr>
            <w:r>
              <w:rPr>
                <w:rFonts w:ascii="Arial" w:cs="Arial" w:eastAsia="Arial" w:hAnsi="Arial"/>
                <w:sz w:val="18"/>
                <w:szCs w:val="18"/>
                <w:color w:val="0E32E1"/>
              </w:rPr>
              <w:t>FINANCIAL INFORMATION</w:t>
            </w: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180" w:type="dxa"/>
            <w:vAlign w:val="bottom"/>
            <w:gridSpan w:val="20"/>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E32E1"/>
            </w:tcBorders>
            <w:gridSpan w:val="13"/>
          </w:tcPr>
          <w:p>
            <w:pPr>
              <w:spacing w:after="0"/>
              <w:rPr>
                <w:sz w:val="20"/>
                <w:szCs w:val="20"/>
                <w:color w:val="auto"/>
              </w:rPr>
            </w:pPr>
            <w:r>
              <w:rPr>
                <w:rFonts w:ascii="Arial" w:cs="Arial" w:eastAsia="Arial" w:hAnsi="Arial"/>
                <w:sz w:val="18"/>
                <w:szCs w:val="18"/>
                <w:color w:val="0E32E1"/>
                <w:w w:val="90"/>
              </w:rPr>
              <w:t>Consolidated Financial Statements (Unaudited)</w:t>
            </w:r>
          </w:p>
        </w:tc>
        <w:tc>
          <w:tcPr>
            <w:tcW w:w="5760" w:type="dxa"/>
            <w:vAlign w:val="bottom"/>
            <w:gridSpan w:val="7"/>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Arial" w:cs="Arial" w:eastAsia="Arial" w:hAnsi="Arial"/>
                <w:sz w:val="18"/>
                <w:szCs w:val="18"/>
                <w:color w:val="0E32E1"/>
              </w:rPr>
              <w:t>Consolidated Balance Sheets</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2820" w:type="dxa"/>
            <w:vAlign w:val="bottom"/>
            <w:tcBorders>
              <w:bottom w:val="single" w:sz="8" w:color="0E32E1"/>
            </w:tcBorders>
            <w:gridSpan w:val="11"/>
          </w:tcPr>
          <w:p>
            <w:pPr>
              <w:spacing w:after="0"/>
              <w:rPr>
                <w:sz w:val="20"/>
                <w:szCs w:val="20"/>
                <w:color w:val="auto"/>
              </w:rPr>
            </w:pPr>
            <w:r>
              <w:rPr>
                <w:rFonts w:ascii="Arial" w:cs="Arial" w:eastAsia="Arial" w:hAnsi="Arial"/>
                <w:sz w:val="18"/>
                <w:szCs w:val="18"/>
                <w:color w:val="0E32E1"/>
                <w:w w:val="89"/>
              </w:rPr>
              <w:t>Consolidated Statements of Operations</w:t>
            </w:r>
          </w:p>
        </w:tc>
        <w:tc>
          <w:tcPr>
            <w:tcW w:w="6360" w:type="dxa"/>
            <w:vAlign w:val="bottom"/>
            <w:gridSpan w:val="9"/>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40" w:type="dxa"/>
            <w:vAlign w:val="bottom"/>
            <w:tcBorders>
              <w:bottom w:val="single" w:sz="8" w:color="0E32E1"/>
            </w:tcBorders>
            <w:gridSpan w:val="14"/>
          </w:tcPr>
          <w:p>
            <w:pPr>
              <w:spacing w:after="0"/>
              <w:rPr>
                <w:sz w:val="20"/>
                <w:szCs w:val="20"/>
                <w:color w:val="auto"/>
              </w:rPr>
            </w:pPr>
            <w:r>
              <w:rPr>
                <w:rFonts w:ascii="Arial" w:cs="Arial" w:eastAsia="Arial" w:hAnsi="Arial"/>
                <w:sz w:val="18"/>
                <w:szCs w:val="18"/>
                <w:color w:val="0E32E1"/>
                <w:w w:val="89"/>
              </w:rPr>
              <w:t>Consolidated Statements of Comprehensive Loss</w:t>
            </w:r>
          </w:p>
        </w:tc>
        <w:tc>
          <w:tcPr>
            <w:tcW w:w="5640" w:type="dxa"/>
            <w:vAlign w:val="bottom"/>
            <w:gridSpan w:val="6"/>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Arial" w:cs="Arial" w:eastAsia="Arial" w:hAnsi="Arial"/>
                <w:sz w:val="18"/>
                <w:szCs w:val="18"/>
                <w:color w:val="0E32E1"/>
              </w:rPr>
              <w:t>Consolidated Statements of Changes in Stockholders’ Equity</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380" w:type="dxa"/>
            <w:vAlign w:val="bottom"/>
            <w:tcBorders>
              <w:top w:val="single" w:sz="8" w:color="0E32E1"/>
            </w:tcBorders>
            <w:gridSpan w:val="18"/>
          </w:tcPr>
          <w:p>
            <w:pPr>
              <w:spacing w:after="0"/>
              <w:rPr>
                <w:sz w:val="20"/>
                <w:szCs w:val="20"/>
                <w:color w:val="auto"/>
              </w:rPr>
            </w:pPr>
            <w:r>
              <w:rPr>
                <w:rFonts w:ascii="Arial" w:cs="Arial" w:eastAsia="Arial" w:hAnsi="Arial"/>
                <w:sz w:val="18"/>
                <w:szCs w:val="18"/>
                <w:color w:val="0E32E1"/>
              </w:rPr>
              <w:t>Consolidated Statements of Cash Flows</w:t>
            </w:r>
          </w:p>
        </w:tc>
        <w:tc>
          <w:tcPr>
            <w:tcW w:w="480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20"/>
          </w:tcPr>
          <w:p>
            <w:pPr>
              <w:spacing w:after="0"/>
              <w:rPr>
                <w:sz w:val="20"/>
                <w:szCs w:val="20"/>
                <w:color w:val="auto"/>
              </w:rPr>
            </w:pPr>
            <w:r>
              <w:rPr>
                <w:rFonts w:ascii="Arial" w:cs="Arial" w:eastAsia="Arial" w:hAnsi="Arial"/>
                <w:sz w:val="18"/>
                <w:szCs w:val="18"/>
                <w:color w:val="0E32E1"/>
              </w:rPr>
              <w:t>Notes to Unaudited Consolidated 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1620" w:type="dxa"/>
            <w:vAlign w:val="bottom"/>
            <w:gridSpan w:val="5"/>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gridSpan w:val="20"/>
          </w:tcPr>
          <w:p>
            <w:pPr>
              <w:spacing w:after="0"/>
              <w:rPr>
                <w:sz w:val="20"/>
                <w:szCs w:val="20"/>
                <w:color w:val="auto"/>
              </w:rPr>
            </w:pPr>
            <w:r>
              <w:rPr>
                <w:rFonts w:ascii="Arial" w:cs="Arial" w:eastAsia="Arial" w:hAnsi="Arial"/>
                <w:sz w:val="18"/>
                <w:szCs w:val="18"/>
                <w:color w:val="0E32E1"/>
              </w:rPr>
              <w:t>Management’s Discussion and Analysis of Financial Condition and Results of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E32E1"/>
              <w:bottom w:val="single" w:sz="8" w:color="0E32E1"/>
            </w:tcBorders>
            <w:gridSpan w:val="17"/>
          </w:tcPr>
          <w:p>
            <w:pPr>
              <w:spacing w:after="0"/>
              <w:rPr>
                <w:sz w:val="20"/>
                <w:szCs w:val="20"/>
                <w:color w:val="auto"/>
              </w:rPr>
            </w:pPr>
            <w:r>
              <w:rPr>
                <w:rFonts w:ascii="Arial" w:cs="Arial" w:eastAsia="Arial" w:hAnsi="Arial"/>
                <w:sz w:val="18"/>
                <w:szCs w:val="18"/>
                <w:color w:val="0E32E1"/>
                <w:w w:val="92"/>
              </w:rPr>
              <w:t>Quantitative and Qualitative Disclosures About Market Risk</w:t>
            </w:r>
          </w:p>
        </w:tc>
        <w:tc>
          <w:tcPr>
            <w:tcW w:w="2080" w:type="dxa"/>
            <w:vAlign w:val="bottom"/>
            <w:tcBorders>
              <w:top w:val="single" w:sz="8" w:color="0E32E1"/>
            </w:tcBorders>
            <w:gridSpan w:val="2"/>
          </w:tcPr>
          <w:p>
            <w:pPr>
              <w:spacing w:after="0"/>
              <w:rPr>
                <w:sz w:val="18"/>
                <w:szCs w:val="18"/>
                <w:color w:val="auto"/>
              </w:rPr>
            </w:pPr>
          </w:p>
        </w:tc>
        <w:tc>
          <w:tcPr>
            <w:tcW w:w="27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0"/>
          </w:tcPr>
          <w:p>
            <w:pPr>
              <w:spacing w:after="0"/>
              <w:rPr>
                <w:sz w:val="20"/>
                <w:szCs w:val="20"/>
                <w:color w:val="auto"/>
              </w:rPr>
            </w:pPr>
            <w:r>
              <w:rPr>
                <w:rFonts w:ascii="Arial" w:cs="Arial" w:eastAsia="Arial" w:hAnsi="Arial"/>
                <w:sz w:val="18"/>
                <w:szCs w:val="18"/>
                <w:color w:val="0E32E1"/>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9180" w:type="dxa"/>
            <w:vAlign w:val="bottom"/>
            <w:gridSpan w:val="20"/>
          </w:tcPr>
          <w:p>
            <w:pPr>
              <w:spacing w:after="0"/>
              <w:rPr>
                <w:sz w:val="20"/>
                <w:szCs w:val="20"/>
                <w:color w:val="auto"/>
              </w:rPr>
            </w:pPr>
            <w:r>
              <w:rPr>
                <w:rFonts w:ascii="Arial" w:cs="Arial" w:eastAsia="Arial" w:hAnsi="Arial"/>
                <w:sz w:val="18"/>
                <w:szCs w:val="18"/>
                <w:color w:val="0E32E1"/>
              </w:rPr>
              <w:t>OTHER INFORMATION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E32E1"/>
              <w:bottom w:val="single" w:sz="8" w:color="0E32E1"/>
            </w:tcBorders>
            <w:gridSpan w:val="5"/>
          </w:tcPr>
          <w:p>
            <w:pPr>
              <w:spacing w:after="0"/>
              <w:rPr>
                <w:sz w:val="20"/>
                <w:szCs w:val="20"/>
                <w:color w:val="auto"/>
              </w:rPr>
            </w:pPr>
            <w:r>
              <w:rPr>
                <w:rFonts w:ascii="Arial" w:cs="Arial" w:eastAsia="Arial" w:hAnsi="Arial"/>
                <w:sz w:val="18"/>
                <w:szCs w:val="18"/>
                <w:color w:val="0E32E1"/>
                <w:w w:val="88"/>
              </w:rPr>
              <w:t>Legal Proceedings</w:t>
            </w:r>
          </w:p>
        </w:tc>
        <w:tc>
          <w:tcPr>
            <w:tcW w:w="540" w:type="dxa"/>
            <w:vAlign w:val="bottom"/>
            <w:tcBorders>
              <w:top w:val="single" w:sz="8" w:color="0E32E1"/>
            </w:tcBorders>
            <w:gridSpan w:val="2"/>
          </w:tcPr>
          <w:p>
            <w:pPr>
              <w:spacing w:after="0"/>
              <w:rPr>
                <w:sz w:val="18"/>
                <w:szCs w:val="18"/>
                <w:color w:val="auto"/>
              </w:rPr>
            </w:pPr>
          </w:p>
        </w:tc>
        <w:tc>
          <w:tcPr>
            <w:tcW w:w="7300" w:type="dxa"/>
            <w:vAlign w:val="bottom"/>
            <w:gridSpan w:val="13"/>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gridSpan w:val="20"/>
          </w:tcPr>
          <w:p>
            <w:pPr>
              <w:spacing w:after="0"/>
              <w:rPr>
                <w:sz w:val="20"/>
                <w:szCs w:val="20"/>
                <w:color w:val="auto"/>
              </w:rPr>
            </w:pPr>
            <w:r>
              <w:rPr>
                <w:rFonts w:ascii="Arial" w:cs="Arial" w:eastAsia="Arial" w:hAnsi="Arial"/>
                <w:sz w:val="18"/>
                <w:szCs w:val="18"/>
                <w:color w:val="0E32E1"/>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gridSpan w:val="20"/>
          </w:tcPr>
          <w:p>
            <w:pPr>
              <w:spacing w:after="0"/>
              <w:rPr>
                <w:sz w:val="20"/>
                <w:szCs w:val="20"/>
                <w:color w:val="auto"/>
              </w:rPr>
            </w:pPr>
            <w:r>
              <w:rPr>
                <w:rFonts w:ascii="Arial" w:cs="Arial" w:eastAsia="Arial" w:hAnsi="Arial"/>
                <w:sz w:val="18"/>
                <w:szCs w:val="18"/>
                <w:color w:val="0E32E1"/>
              </w:rPr>
              <w:t>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E32E1"/>
            </w:tcBorders>
            <w:gridSpan w:val="16"/>
          </w:tcPr>
          <w:p>
            <w:pPr>
              <w:spacing w:after="0"/>
              <w:rPr>
                <w:sz w:val="20"/>
                <w:szCs w:val="20"/>
                <w:color w:val="auto"/>
              </w:rPr>
            </w:pPr>
            <w:r>
              <w:rPr>
                <w:rFonts w:ascii="Arial" w:cs="Arial" w:eastAsia="Arial" w:hAnsi="Arial"/>
                <w:sz w:val="18"/>
                <w:szCs w:val="18"/>
                <w:color w:val="0E32E1"/>
              </w:rPr>
              <w:t>Defaults Upon Senior Securities</w:t>
            </w:r>
          </w:p>
        </w:tc>
        <w:tc>
          <w:tcPr>
            <w:tcW w:w="4840" w:type="dxa"/>
            <w:vAlign w:val="bottom"/>
            <w:gridSpan w:val="4"/>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E32E1"/>
            </w:tcBorders>
            <w:gridSpan w:val="10"/>
          </w:tcPr>
          <w:p>
            <w:pPr>
              <w:spacing w:after="0"/>
              <w:rPr>
                <w:sz w:val="20"/>
                <w:szCs w:val="20"/>
                <w:color w:val="auto"/>
              </w:rPr>
            </w:pPr>
            <w:r>
              <w:rPr>
                <w:rFonts w:ascii="Arial" w:cs="Arial" w:eastAsia="Arial" w:hAnsi="Arial"/>
                <w:sz w:val="18"/>
                <w:szCs w:val="18"/>
                <w:color w:val="0E32E1"/>
              </w:rPr>
              <w:t>Mine Safety Disclosures</w:t>
            </w:r>
          </w:p>
        </w:tc>
        <w:tc>
          <w:tcPr>
            <w:tcW w:w="6860" w:type="dxa"/>
            <w:vAlign w:val="bottom"/>
            <w:gridSpan w:val="10"/>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E32E1"/>
              <w:bottom w:val="single" w:sz="8" w:color="0E32E1"/>
            </w:tcBorders>
            <w:gridSpan w:val="4"/>
          </w:tcPr>
          <w:p>
            <w:pPr>
              <w:spacing w:after="0"/>
              <w:rPr>
                <w:sz w:val="20"/>
                <w:szCs w:val="20"/>
                <w:color w:val="auto"/>
              </w:rPr>
            </w:pPr>
            <w:r>
              <w:rPr>
                <w:rFonts w:ascii="Arial" w:cs="Arial" w:eastAsia="Arial" w:hAnsi="Arial"/>
                <w:sz w:val="18"/>
                <w:szCs w:val="18"/>
                <w:color w:val="0E32E1"/>
                <w:w w:val="92"/>
              </w:rPr>
              <w:t>Other Information</w:t>
            </w:r>
          </w:p>
        </w:tc>
        <w:tc>
          <w:tcPr>
            <w:tcW w:w="440" w:type="dxa"/>
            <w:vAlign w:val="bottom"/>
            <w:tcBorders>
              <w:top w:val="single" w:sz="8" w:color="0E32E1"/>
            </w:tcBorders>
            <w:gridSpan w:val="2"/>
          </w:tcPr>
          <w:p>
            <w:pPr>
              <w:spacing w:after="0"/>
              <w:rPr>
                <w:sz w:val="18"/>
                <w:szCs w:val="18"/>
                <w:color w:val="auto"/>
              </w:rPr>
            </w:pPr>
          </w:p>
        </w:tc>
        <w:tc>
          <w:tcPr>
            <w:tcW w:w="7420" w:type="dxa"/>
            <w:vAlign w:val="bottom"/>
            <w:gridSpan w:val="14"/>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E32E1"/>
            </w:tcBorders>
          </w:tcPr>
          <w:p>
            <w:pPr>
              <w:spacing w:after="0"/>
              <w:rPr>
                <w:sz w:val="20"/>
                <w:szCs w:val="20"/>
                <w:color w:val="auto"/>
              </w:rPr>
            </w:pPr>
            <w:r>
              <w:rPr>
                <w:rFonts w:ascii="Arial" w:cs="Arial" w:eastAsia="Arial" w:hAnsi="Arial"/>
                <w:sz w:val="18"/>
                <w:szCs w:val="18"/>
                <w:color w:val="0E32E1"/>
                <w:w w:val="91"/>
              </w:rPr>
              <w:t>Exhibits</w:t>
            </w:r>
          </w:p>
        </w:tc>
        <w:tc>
          <w:tcPr>
            <w:tcW w:w="8580" w:type="dxa"/>
            <w:vAlign w:val="bottom"/>
            <w:gridSpan w:val="19"/>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60" w:type="dxa"/>
            <w:vAlign w:val="bottom"/>
            <w:tcBorders>
              <w:bottom w:val="single" w:sz="8" w:color="0E32E1"/>
            </w:tcBorders>
            <w:gridSpan w:val="2"/>
          </w:tcPr>
          <w:p>
            <w:pPr>
              <w:spacing w:after="0"/>
              <w:rPr>
                <w:sz w:val="20"/>
                <w:szCs w:val="20"/>
                <w:color w:val="auto"/>
              </w:rPr>
            </w:pPr>
            <w:r>
              <w:rPr>
                <w:rFonts w:ascii="Arial" w:cs="Arial" w:eastAsia="Arial" w:hAnsi="Arial"/>
                <w:sz w:val="18"/>
                <w:szCs w:val="18"/>
                <w:color w:val="0E32E1"/>
                <w:w w:val="85"/>
              </w:rPr>
              <w:t>Signatures</w:t>
            </w:r>
          </w:p>
        </w:tc>
        <w:tc>
          <w:tcPr>
            <w:tcW w:w="8420" w:type="dxa"/>
            <w:vAlign w:val="bottom"/>
            <w:gridSpan w:val="18"/>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9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18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spacing w:after="0" w:line="105" w:lineRule="exact"/>
        <w:rPr>
          <w:sz w:val="20"/>
          <w:szCs w:val="20"/>
          <w:color w:val="auto"/>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future financial performance;</w:t>
      </w:r>
    </w:p>
    <w:p>
      <w:pPr>
        <w:spacing w:after="0" w:line="157" w:lineRule="exact"/>
        <w:rPr>
          <w:rFonts w:ascii="Arial" w:cs="Arial" w:eastAsia="Arial" w:hAnsi="Arial"/>
          <w:sz w:val="18"/>
          <w:szCs w:val="18"/>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changes in the market for our products and services;</w:t>
      </w:r>
    </w:p>
    <w:p>
      <w:pPr>
        <w:spacing w:after="0" w:line="144" w:lineRule="exact"/>
        <w:rPr>
          <w:rFonts w:ascii="Arial" w:cs="Arial" w:eastAsia="Arial" w:hAnsi="Arial"/>
          <w:sz w:val="18"/>
          <w:szCs w:val="18"/>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expected impacts from our acquisition of Apex Crypto, LLC ("Apex Crypto"); and</w:t>
      </w:r>
    </w:p>
    <w:p>
      <w:pPr>
        <w:spacing w:after="0" w:line="157" w:lineRule="exact"/>
        <w:rPr>
          <w:rFonts w:ascii="Arial" w:cs="Arial" w:eastAsia="Arial" w:hAnsi="Arial"/>
          <w:sz w:val="18"/>
          <w:szCs w:val="18"/>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expansion plans and opportunities.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 xml:space="preserve">These forward-looking statements are based on information available as of the date of this </w:t>
      </w:r>
      <w:r>
        <w:rPr>
          <w:rFonts w:ascii="Arial" w:cs="Arial" w:eastAsia="Arial" w:hAnsi="Arial"/>
          <w:sz w:val="18"/>
          <w:szCs w:val="18"/>
          <w:color w:val="000000"/>
        </w:rPr>
        <w:t>Report</w:t>
      </w:r>
      <w:r>
        <w:rPr>
          <w:rFonts w:ascii="Arial" w:cs="Arial" w:eastAsia="Arial" w:hAnsi="Arial"/>
          <w:sz w:val="18"/>
          <w:szCs w:val="18"/>
          <w:color w:val="231F20"/>
        </w:rPr>
        <w:t xml:space="preserve">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95" w:lineRule="exact"/>
        <w:rPr>
          <w:sz w:val="20"/>
          <w:szCs w:val="20"/>
          <w:color w:val="auto"/>
        </w:rPr>
      </w:pPr>
    </w:p>
    <w:p>
      <w:pPr>
        <w:jc w:val="both"/>
        <w:ind w:right="40" w:firstLine="648"/>
        <w:spacing w:after="0" w:line="328" w:lineRule="auto"/>
        <w:rPr>
          <w:sz w:val="20"/>
          <w:szCs w:val="20"/>
          <w:color w:val="auto"/>
        </w:rPr>
      </w:pPr>
      <w:r>
        <w:rPr>
          <w:rFonts w:ascii="Arial" w:cs="Arial" w:eastAsia="Arial" w:hAnsi="Arial"/>
          <w:sz w:val="17"/>
          <w:szCs w:val="17"/>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spacing w:after="0" w:line="63"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and manage growth profitably;</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business strategy;</w:t>
      </w:r>
    </w:p>
    <w:p>
      <w:pPr>
        <w:spacing w:after="0" w:line="157" w:lineRule="exact"/>
        <w:rPr>
          <w:rFonts w:ascii="Arial" w:cs="Arial" w:eastAsia="Arial" w:hAnsi="Arial"/>
          <w:sz w:val="18"/>
          <w:szCs w:val="18"/>
          <w:color w:val="auto"/>
        </w:rPr>
      </w:pPr>
    </w:p>
    <w:p>
      <w:pPr>
        <w:ind w:left="820" w:hanging="326"/>
        <w:spacing w:after="0" w:line="30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 in which we compete, including with respect to our competitive landscape, technology evolution or changes in applicable laws or regulations;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markets that we target;</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the crypto market that subject us to additional risks, including the risk that banks may not provide</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banking services to us;</w:t>
      </w:r>
    </w:p>
    <w:p>
      <w:pPr>
        <w:spacing w:after="0" w:line="144"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launch new services and products or to profitably expand into new markets and services;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execute our growth strategies, including identifying and executing acquisitions and our initiatives to add new clients;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successfully integrate the Apex Crypto business and employees, and to achieve the expected benefits from the acquisition;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extensive government regulation, oversight, licensure and appraisals;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 regulatory regime governing blockchain technologies and crypto;</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 and procedures;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exposure to any liability, protracted and costly litigation or reputational damage relating to our data security;</w:t>
      </w:r>
    </w:p>
    <w:p>
      <w:pPr>
        <w:spacing w:after="0" w:line="167" w:lineRule="exact"/>
        <w:rPr>
          <w:rFonts w:ascii="Arial" w:cs="Arial" w:eastAsia="Arial" w:hAnsi="Arial"/>
          <w:sz w:val="16"/>
          <w:szCs w:val="16"/>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any goodwill or other intangible assets impairments on our operating results;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any pandemics or other public health emergencies;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maintain the listing of our securities on the NYSE;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other risks and uncertainties indicated in this Report, including those set forth under “</w:t>
      </w:r>
      <w:r>
        <w:rPr>
          <w:rFonts w:ascii="Arial" w:cs="Arial" w:eastAsia="Arial" w:hAnsi="Arial"/>
          <w:sz w:val="18"/>
          <w:szCs w:val="18"/>
          <w:i w:val="1"/>
          <w:iCs w:val="1"/>
          <w:color w:val="231F20"/>
        </w:rPr>
        <w:t>Risk Factors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ind w:right="168"/>
              <w:spacing w:after="0" w:line="156" w:lineRule="exact"/>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628"/>
              <w:spacing w:after="0" w:line="156"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ind w:right="168"/>
              <w:spacing w:after="0" w:line="139" w:lineRule="exact"/>
              <w:rPr>
                <w:sz w:val="20"/>
                <w:szCs w:val="20"/>
                <w:color w:val="auto"/>
              </w:rPr>
            </w:pPr>
            <w:r>
              <w:rPr>
                <w:rFonts w:ascii="Arial" w:cs="Arial" w:eastAsia="Arial" w:hAnsi="Arial"/>
                <w:sz w:val="14"/>
                <w:szCs w:val="14"/>
                <w:b w:val="1"/>
                <w:bCs w:val="1"/>
                <w:color w:val="auto"/>
                <w:w w:val="96"/>
              </w:rPr>
              <w:t>March 31, 2023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50,834</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98,332</w:t>
            </w:r>
          </w:p>
        </w:tc>
        <w:tc>
          <w:tcPr>
            <w:tcW w:w="0" w:type="dxa"/>
            <w:vAlign w:val="bottom"/>
          </w:tcPr>
          <w:p>
            <w:pPr>
              <w:spacing w:after="0"/>
              <w:rPr>
                <w:sz w:val="1"/>
                <w:szCs w:val="1"/>
                <w:color w:val="auto"/>
              </w:rPr>
            </w:pPr>
          </w:p>
        </w:tc>
      </w:tr>
      <w:tr>
        <w:trPr>
          <w:trHeight w:val="182"/>
        </w:trPr>
        <w:tc>
          <w:tcPr>
            <w:tcW w:w="772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19,305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held in escrow</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67,209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720" w:type="dxa"/>
            <w:vAlign w:val="bottom"/>
          </w:tcPr>
          <w:p>
            <w:pPr>
              <w:ind w:left="240"/>
              <w:spacing w:after="0"/>
              <w:rPr>
                <w:sz w:val="20"/>
                <w:szCs w:val="20"/>
                <w:color w:val="auto"/>
              </w:rPr>
            </w:pPr>
            <w:r>
              <w:rPr>
                <w:rFonts w:ascii="Arial" w:cs="Arial" w:eastAsia="Arial" w:hAnsi="Arial"/>
                <w:sz w:val="14"/>
                <w:szCs w:val="14"/>
                <w:color w:val="auto"/>
              </w:rPr>
              <w:t>Customer funds</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Available-for-sale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66,789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141,062</w:t>
            </w:r>
          </w:p>
        </w:tc>
        <w:tc>
          <w:tcPr>
            <w:tcW w:w="0" w:type="dxa"/>
            <w:vAlign w:val="bottom"/>
          </w:tcPr>
          <w:p>
            <w:pPr>
              <w:spacing w:after="0"/>
              <w:rPr>
                <w:sz w:val="1"/>
                <w:szCs w:val="1"/>
                <w:color w:val="auto"/>
              </w:rPr>
            </w:pPr>
          </w:p>
        </w:tc>
      </w:tr>
      <w:tr>
        <w:trPr>
          <w:trHeight w:val="186"/>
        </w:trPr>
        <w:tc>
          <w:tcPr>
            <w:tcW w:w="772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25,394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25,306</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Prepaid insurance</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18,490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22,822</w:t>
            </w:r>
          </w:p>
        </w:tc>
        <w:tc>
          <w:tcPr>
            <w:tcW w:w="0" w:type="dxa"/>
            <w:vAlign w:val="bottom"/>
          </w:tcPr>
          <w:p>
            <w:pPr>
              <w:spacing w:after="0"/>
              <w:rPr>
                <w:sz w:val="1"/>
                <w:szCs w:val="1"/>
                <w:color w:val="auto"/>
              </w:rPr>
            </w:pPr>
          </w:p>
        </w:tc>
      </w:tr>
      <w:tr>
        <w:trPr>
          <w:trHeight w:val="182"/>
        </w:trPr>
        <w:tc>
          <w:tcPr>
            <w:tcW w:w="7720" w:type="dxa"/>
            <w:vAlign w:val="bottom"/>
          </w:tcPr>
          <w:p>
            <w:pPr>
              <w:ind w:left="240"/>
              <w:spacing w:after="0"/>
              <w:rPr>
                <w:sz w:val="20"/>
                <w:szCs w:val="20"/>
                <w:color w:val="auto"/>
              </w:rPr>
            </w:pPr>
            <w:r>
              <w:rPr>
                <w:rFonts w:ascii="Arial" w:cs="Arial" w:eastAsia="Arial" w:hAnsi="Arial"/>
                <w:sz w:val="14"/>
                <w:szCs w:val="14"/>
                <w:color w:val="auto"/>
              </w:rPr>
              <w:t>Safeguarding asset for crypto</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26,055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15,792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7,624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6,060</w:t>
            </w:r>
          </w:p>
        </w:tc>
        <w:tc>
          <w:tcPr>
            <w:tcW w:w="0" w:type="dxa"/>
            <w:vAlign w:val="bottom"/>
          </w:tcPr>
          <w:p>
            <w:pPr>
              <w:spacing w:after="0"/>
              <w:rPr>
                <w:sz w:val="1"/>
                <w:szCs w:val="1"/>
                <w:color w:val="auto"/>
              </w:rPr>
            </w:pPr>
          </w:p>
        </w:tc>
      </w:tr>
      <w:tr>
        <w:trPr>
          <w:trHeight w:val="179"/>
        </w:trPr>
        <w:tc>
          <w:tcPr>
            <w:tcW w:w="772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282,255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326,465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equipment and software, net</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20,098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19,744</w:t>
            </w:r>
          </w:p>
        </w:tc>
        <w:tc>
          <w:tcPr>
            <w:tcW w:w="0" w:type="dxa"/>
            <w:vAlign w:val="bottom"/>
          </w:tcPr>
          <w:p>
            <w:pPr>
              <w:spacing w:after="0"/>
              <w:rPr>
                <w:sz w:val="1"/>
                <w:szCs w:val="1"/>
                <w:color w:val="auto"/>
              </w:rPr>
            </w:pP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15,853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54,428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55,833</w:t>
            </w:r>
          </w:p>
        </w:tc>
        <w:tc>
          <w:tcPr>
            <w:tcW w:w="0" w:type="dxa"/>
            <w:vAlign w:val="bottom"/>
          </w:tcPr>
          <w:p>
            <w:pPr>
              <w:spacing w:after="0"/>
              <w:rPr>
                <w:sz w:val="1"/>
                <w:szCs w:val="1"/>
                <w:color w:val="auto"/>
              </w:rPr>
            </w:pP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Deposits with clearinghouse</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15,309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15,150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25,374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22,458</w:t>
            </w:r>
          </w:p>
        </w:tc>
        <w:tc>
          <w:tcPr>
            <w:tcW w:w="0" w:type="dxa"/>
            <w:vAlign w:val="bottom"/>
          </w:tcPr>
          <w:p>
            <w:pPr>
              <w:spacing w:after="0"/>
              <w:rPr>
                <w:sz w:val="1"/>
                <w:szCs w:val="1"/>
                <w:color w:val="auto"/>
              </w:rPr>
            </w:pPr>
          </w:p>
        </w:tc>
      </w:tr>
      <w:tr>
        <w:trPr>
          <w:trHeight w:val="19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413,317</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455,502</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payable and accrued liabilities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49,018</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66,787</w:t>
            </w:r>
          </w:p>
        </w:tc>
        <w:tc>
          <w:tcPr>
            <w:tcW w:w="0" w:type="dxa"/>
            <w:vAlign w:val="bottom"/>
          </w:tcPr>
          <w:p>
            <w:pPr>
              <w:spacing w:after="0"/>
              <w:rPr>
                <w:sz w:val="1"/>
                <w:szCs w:val="1"/>
                <w:color w:val="auto"/>
              </w:rPr>
            </w:pPr>
          </w:p>
        </w:tc>
      </w:tr>
      <w:tr>
        <w:trPr>
          <w:trHeight w:val="182"/>
        </w:trPr>
        <w:tc>
          <w:tcPr>
            <w:tcW w:w="7720" w:type="dxa"/>
            <w:vAlign w:val="bottom"/>
          </w:tcPr>
          <w:p>
            <w:pPr>
              <w:ind w:left="240"/>
              <w:spacing w:after="0"/>
              <w:rPr>
                <w:sz w:val="20"/>
                <w:szCs w:val="20"/>
                <w:color w:val="auto"/>
              </w:rPr>
            </w:pPr>
            <w:r>
              <w:rPr>
                <w:rFonts w:ascii="Arial" w:cs="Arial" w:eastAsia="Arial" w:hAnsi="Arial"/>
                <w:sz w:val="14"/>
                <w:szCs w:val="14"/>
                <w:color w:val="auto"/>
              </w:rPr>
              <w:t>Customer funds payable</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 current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182"/>
        </w:trPr>
        <w:tc>
          <w:tcPr>
            <w:tcW w:w="7720" w:type="dxa"/>
            <w:vAlign w:val="bottom"/>
          </w:tcPr>
          <w:p>
            <w:pPr>
              <w:ind w:left="240"/>
              <w:spacing w:after="0"/>
              <w:rPr>
                <w:sz w:val="20"/>
                <w:szCs w:val="20"/>
                <w:color w:val="auto"/>
              </w:rPr>
            </w:pPr>
            <w:r>
              <w:rPr>
                <w:rFonts w:ascii="Arial" w:cs="Arial" w:eastAsia="Arial" w:hAnsi="Arial"/>
                <w:sz w:val="14"/>
                <w:szCs w:val="14"/>
                <w:color w:val="auto"/>
              </w:rPr>
              <w:t>Due to related party</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Safeguarding obligation for crypto</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26,055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15,792</w:t>
            </w:r>
          </w:p>
        </w:tc>
        <w:tc>
          <w:tcPr>
            <w:tcW w:w="0" w:type="dxa"/>
            <w:vAlign w:val="bottom"/>
          </w:tcPr>
          <w:p>
            <w:pPr>
              <w:spacing w:after="0"/>
              <w:rPr>
                <w:sz w:val="1"/>
                <w:szCs w:val="1"/>
                <w:color w:val="auto"/>
              </w:rPr>
            </w:pPr>
          </w:p>
        </w:tc>
      </w:tr>
      <w:tr>
        <w:trPr>
          <w:trHeight w:val="186"/>
        </w:trPr>
        <w:tc>
          <w:tcPr>
            <w:tcW w:w="7720" w:type="dxa"/>
            <w:vAlign w:val="bottom"/>
          </w:tcPr>
          <w:p>
            <w:pPr>
              <w:ind w:left="24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4,313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179"/>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84,273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92,129</w:t>
            </w:r>
          </w:p>
        </w:tc>
        <w:tc>
          <w:tcPr>
            <w:tcW w:w="0" w:type="dxa"/>
            <w:vAlign w:val="bottom"/>
          </w:tcPr>
          <w:p>
            <w:pPr>
              <w:spacing w:after="0"/>
              <w:rPr>
                <w:sz w:val="1"/>
                <w:szCs w:val="1"/>
                <w:color w:val="auto"/>
              </w:rPr>
            </w:pP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2,719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3,112</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Deferred tax liabilities, net</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26,277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23,402</w:t>
            </w:r>
          </w:p>
        </w:tc>
        <w:tc>
          <w:tcPr>
            <w:tcW w:w="0" w:type="dxa"/>
            <w:vAlign w:val="bottom"/>
          </w:tcPr>
          <w:p>
            <w:pPr>
              <w:spacing w:after="0"/>
              <w:rPr>
                <w:sz w:val="1"/>
                <w:szCs w:val="1"/>
                <w:color w:val="auto"/>
              </w:rPr>
            </w:pPr>
          </w:p>
        </w:tc>
      </w:tr>
      <w:tr>
        <w:trPr>
          <w:trHeight w:val="179"/>
        </w:trPr>
        <w:tc>
          <w:tcPr>
            <w:tcW w:w="7720" w:type="dxa"/>
            <w:vAlign w:val="bottom"/>
          </w:tcPr>
          <w:p>
            <w:pPr>
              <w:ind w:left="46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115,054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119,428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14)</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720" w:type="dxa"/>
            <w:vAlign w:val="bottom"/>
          </w:tcPr>
          <w:p>
            <w:pPr>
              <w:ind w:left="20"/>
              <w:spacing w:after="0" w:line="135" w:lineRule="exact"/>
              <w:rPr>
                <w:sz w:val="20"/>
                <w:szCs w:val="20"/>
                <w:color w:val="auto"/>
              </w:rPr>
            </w:pPr>
            <w:r>
              <w:rPr>
                <w:rFonts w:ascii="Arial" w:cs="Arial" w:eastAsia="Arial" w:hAnsi="Arial"/>
                <w:sz w:val="14"/>
                <w:szCs w:val="14"/>
                <w:color w:val="auto"/>
              </w:rPr>
              <w:t>Class A common stock ($0.0001 par value, 750,000,000 shares authorized, 82,624,773 shares</w:t>
            </w: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20" w:type="dxa"/>
            <w:vAlign w:val="bottom"/>
          </w:tcPr>
          <w:p>
            <w:pPr>
              <w:ind w:left="20"/>
              <w:spacing w:after="0" w:line="143" w:lineRule="exact"/>
              <w:rPr>
                <w:sz w:val="20"/>
                <w:szCs w:val="20"/>
                <w:color w:val="auto"/>
              </w:rPr>
            </w:pPr>
            <w:r>
              <w:rPr>
                <w:rFonts w:ascii="Arial" w:cs="Arial" w:eastAsia="Arial" w:hAnsi="Arial"/>
                <w:sz w:val="14"/>
                <w:szCs w:val="14"/>
                <w:color w:val="auto"/>
              </w:rPr>
              <w:t>issued and outstanding as of March 31, 2023 and 80,926,843 shares issued and outstanding</w:t>
            </w: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as of December 31, 2022)</w:t>
            </w: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7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Class V common stock ($0.0001 par value, 250,000,000 shares authorized, 183,279,887 shares</w:t>
            </w: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issued and outstanding as of March 31, 2023 and 183,482,777 shares issued and outstanding</w:t>
            </w: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of December 31, 2022)</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780,031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772,973</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(690,423)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(676,447)</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stockholders’ equity</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89,280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96,263</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208,983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239,811</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298,263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336,074</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413,317</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455,502</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jc w:val="center"/>
        <w:spacing w:after="0" w:line="219"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line="203"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8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March 31,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March 31, 2022</w:t>
            </w:r>
          </w:p>
        </w:tc>
      </w:tr>
      <w:tr>
        <w:trPr>
          <w:trHeight w:val="212"/>
        </w:trPr>
        <w:tc>
          <w:tcPr>
            <w:tcW w:w="81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revenues (includes related party net revenues of $1 and $20, respectively)</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12,532</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benefits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35,088</w:t>
            </w:r>
          </w:p>
        </w:tc>
      </w:tr>
      <w:tr>
        <w:trPr>
          <w:trHeight w:val="213"/>
        </w:trPr>
        <w:tc>
          <w:tcPr>
            <w:tcW w:w="8100" w:type="dxa"/>
            <w:vAlign w:val="bottom"/>
          </w:tcPr>
          <w:p>
            <w:pPr>
              <w:ind w:left="240"/>
              <w:spacing w:after="0"/>
              <w:rPr>
                <w:sz w:val="20"/>
                <w:szCs w:val="20"/>
                <w:color w:val="auto"/>
              </w:rPr>
            </w:pPr>
            <w:r>
              <w:rPr>
                <w:rFonts w:ascii="Arial" w:cs="Arial" w:eastAsia="Arial" w:hAnsi="Arial"/>
                <w:sz w:val="16"/>
                <w:szCs w:val="16"/>
                <w:color w:val="auto"/>
              </w:rPr>
              <w:t>Professional services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4,675</w:t>
            </w:r>
          </w:p>
        </w:tc>
      </w:tr>
      <w:tr>
        <w:trPr>
          <w:trHeight w:val="219"/>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communication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4,358</w:t>
            </w:r>
          </w:p>
        </w:tc>
      </w:tr>
      <w:tr>
        <w:trPr>
          <w:trHeight w:val="213"/>
        </w:trPr>
        <w:tc>
          <w:tcPr>
            <w:tcW w:w="810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9,435</w:t>
            </w:r>
          </w:p>
        </w:tc>
      </w:tr>
      <w:tr>
        <w:trPr>
          <w:trHeight w:val="219"/>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r>
      <w:tr>
        <w:trPr>
          <w:trHeight w:val="213"/>
        </w:trPr>
        <w:tc>
          <w:tcPr>
            <w:tcW w:w="81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5,851</w:t>
            </w:r>
          </w:p>
        </w:tc>
      </w:tr>
      <w:tr>
        <w:trPr>
          <w:trHeight w:val="219"/>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Related party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13"/>
        </w:trPr>
        <w:tc>
          <w:tcPr>
            <w:tcW w:w="8100" w:type="dxa"/>
            <w:vAlign w:val="bottom"/>
          </w:tcPr>
          <w:p>
            <w:pPr>
              <w:ind w:left="240"/>
              <w:spacing w:after="0"/>
              <w:rPr>
                <w:sz w:val="20"/>
                <w:szCs w:val="20"/>
                <w:color w:val="auto"/>
              </w:rPr>
            </w:pPr>
            <w:r>
              <w:rPr>
                <w:rFonts w:ascii="Arial" w:cs="Arial" w:eastAsia="Arial" w:hAnsi="Arial"/>
                <w:sz w:val="16"/>
                <w:szCs w:val="16"/>
                <w:color w:val="auto"/>
              </w:rPr>
              <w:t>Restructuring expenses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07"/>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58,434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61,018</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(48,486)</w:t>
            </w:r>
          </w:p>
        </w:tc>
      </w:tr>
      <w:tr>
        <w:trPr>
          <w:trHeight w:val="206"/>
        </w:trPr>
        <w:tc>
          <w:tcPr>
            <w:tcW w:w="8100" w:type="dxa"/>
            <w:vAlign w:val="bottom"/>
          </w:tcPr>
          <w:p>
            <w:pPr>
              <w:ind w:left="240"/>
              <w:spacing w:after="0"/>
              <w:rPr>
                <w:sz w:val="20"/>
                <w:szCs w:val="20"/>
                <w:color w:val="auto"/>
              </w:rPr>
            </w:pPr>
            <w:r>
              <w:rPr>
                <w:rFonts w:ascii="Arial" w:cs="Arial" w:eastAsia="Arial" w:hAnsi="Arial"/>
                <w:sz w:val="16"/>
                <w:szCs w:val="16"/>
                <w:color w:val="auto"/>
              </w:rPr>
              <w:t>Interest income, net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8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gain from change in fair value of warrant liability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w:t>
            </w:r>
          </w:p>
        </w:tc>
      </w:tr>
      <w:tr>
        <w:trPr>
          <w:trHeight w:val="213"/>
        </w:trPr>
        <w:tc>
          <w:tcPr>
            <w:tcW w:w="81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expense, net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(46,459)</w:t>
            </w:r>
          </w:p>
        </w:tc>
      </w:tr>
      <w:tr>
        <w:trPr>
          <w:trHeight w:val="213"/>
        </w:trPr>
        <w:tc>
          <w:tcPr>
            <w:tcW w:w="81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(43,321)</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attributable to noncontrolling interest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(36,193)</w:t>
            </w:r>
          </w:p>
        </w:tc>
      </w:tr>
      <w:tr>
        <w:trPr>
          <w:trHeight w:val="23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Bakkt Holdings, Inc.</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Class A common stockholders: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Basic</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(0.17)</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(0.12)</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jc w:val="center"/>
        <w:spacing w:after="0" w:line="219" w:lineRule="auto"/>
        <w:rPr>
          <w:sz w:val="20"/>
          <w:szCs w:val="20"/>
          <w:color w:val="auto"/>
        </w:rPr>
      </w:pPr>
      <w:r>
        <w:rPr>
          <w:rFonts w:ascii="Arial" w:cs="Arial" w:eastAsia="Arial" w:hAnsi="Arial"/>
          <w:sz w:val="18"/>
          <w:szCs w:val="18"/>
          <w:b w:val="1"/>
          <w:bCs w:val="1"/>
          <w:color w:val="231F20"/>
        </w:rPr>
        <w:t>Consolidated Statements of Comprehensive Loss</w:t>
      </w:r>
    </w:p>
    <w:p>
      <w:pPr>
        <w:jc w:val="center"/>
        <w:spacing w:after="0" w:line="203" w:lineRule="auto"/>
        <w:rPr>
          <w:sz w:val="20"/>
          <w:szCs w:val="20"/>
          <w:color w:val="auto"/>
        </w:rPr>
      </w:pPr>
      <w:r>
        <w:rPr>
          <w:rFonts w:ascii="Arial" w:cs="Arial" w:eastAsia="Arial" w:hAnsi="Arial"/>
          <w:sz w:val="18"/>
          <w:szCs w:val="18"/>
          <w:b w:val="1"/>
          <w:bCs w:val="1"/>
          <w:color w:val="231F20"/>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Three Months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Three Months</w:t>
            </w:r>
          </w:p>
        </w:tc>
      </w:tr>
      <w:tr>
        <w:trPr>
          <w:trHeight w:val="162"/>
        </w:trPr>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3"/>
              </w:rPr>
              <w:t>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Ended</w:t>
            </w:r>
          </w:p>
        </w:tc>
      </w:tr>
      <w:tr>
        <w:trPr>
          <w:trHeight w:val="213"/>
        </w:trPr>
        <w:tc>
          <w:tcPr>
            <w:tcW w:w="8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March 31, 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March 31, 2022</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(43,321)</w:t>
            </w:r>
          </w:p>
        </w:tc>
      </w:tr>
      <w:tr>
        <w:trPr>
          <w:trHeight w:val="213"/>
        </w:trPr>
        <w:tc>
          <w:tcPr>
            <w:tcW w:w="8160" w:type="dxa"/>
            <w:vAlign w:val="bottom"/>
          </w:tcPr>
          <w:p>
            <w:pPr>
              <w:ind w:left="140"/>
              <w:spacing w:after="0"/>
              <w:rPr>
                <w:sz w:val="20"/>
                <w:szCs w:val="20"/>
                <w:color w:val="auto"/>
              </w:rPr>
            </w:pPr>
            <w:r>
              <w:rPr>
                <w:rFonts w:ascii="Arial" w:cs="Arial" w:eastAsia="Arial" w:hAnsi="Arial"/>
                <w:sz w:val="16"/>
                <w:szCs w:val="16"/>
                <w:color w:val="auto"/>
              </w:rPr>
              <w:t>Currency translation adjustment, net of tax</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9"/>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1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(45,066)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(43,133)</w:t>
            </w:r>
          </w:p>
        </w:tc>
      </w:tr>
      <w:tr>
        <w:trPr>
          <w:trHeight w:val="21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(36,046)</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Comprehensive loss attributable to Bakkt Holdings, Inc.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(14,039)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(7,087)</w:t>
            </w:r>
          </w:p>
        </w:tc>
      </w:tr>
      <w:tr>
        <w:trPr>
          <w:trHeight w:val="20"/>
        </w:trPr>
        <w:tc>
          <w:tcPr>
            <w:tcW w:w="8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jc w:val="center"/>
        <w:spacing w:after="0" w:line="219" w:lineRule="auto"/>
        <w:rPr>
          <w:sz w:val="20"/>
          <w:szCs w:val="20"/>
          <w:color w:val="auto"/>
        </w:rPr>
      </w:pPr>
      <w:r>
        <w:rPr>
          <w:rFonts w:ascii="Arial" w:cs="Arial" w:eastAsia="Arial" w:hAnsi="Arial"/>
          <w:sz w:val="18"/>
          <w:szCs w:val="18"/>
          <w:b w:val="1"/>
          <w:bCs w:val="1"/>
          <w:color w:val="231F20"/>
        </w:rPr>
        <w:t>Consolidated Statements of Changes in Stockholders’ Equity</w:t>
      </w:r>
    </w:p>
    <w:p>
      <w:pPr>
        <w:jc w:val="center"/>
        <w:spacing w:after="0" w:line="203" w:lineRule="auto"/>
        <w:rPr>
          <w:sz w:val="20"/>
          <w:szCs w:val="20"/>
          <w:color w:val="auto"/>
        </w:rPr>
      </w:pPr>
      <w:r>
        <w:rPr>
          <w:rFonts w:ascii="Arial" w:cs="Arial" w:eastAsia="Arial" w:hAnsi="Arial"/>
          <w:sz w:val="18"/>
          <w:szCs w:val="18"/>
          <w:b w:val="1"/>
          <w:bCs w:val="1"/>
          <w:color w:val="231F20"/>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tbl>
      <w:tblPr>
        <w:tblLayout w:type="fixed"/>
        <w:tblInd w:w="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w w:val="97"/>
              </w:rPr>
              <w:t>Additional Paid-</w:t>
            </w:r>
          </w:p>
        </w:tc>
        <w:tc>
          <w:tcPr>
            <w:tcW w:w="160" w:type="dxa"/>
            <w:vAlign w:val="bottom"/>
          </w:tcPr>
          <w:p>
            <w:pPr>
              <w:spacing w:after="0"/>
              <w:rPr>
                <w:sz w:val="10"/>
                <w:szCs w:val="10"/>
                <w:color w:val="auto"/>
              </w:rPr>
            </w:pPr>
          </w:p>
        </w:tc>
        <w:tc>
          <w:tcPr>
            <w:tcW w:w="8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w w:val="92"/>
              </w:rPr>
              <w:t>Accumulated</w:t>
            </w:r>
          </w:p>
        </w:tc>
        <w:tc>
          <w:tcPr>
            <w:tcW w:w="140" w:type="dxa"/>
            <w:vAlign w:val="bottom"/>
          </w:tcPr>
          <w:p>
            <w:pPr>
              <w:spacing w:after="0"/>
              <w:rPr>
                <w:sz w:val="10"/>
                <w:szCs w:val="10"/>
                <w:color w:val="auto"/>
              </w:rPr>
            </w:pPr>
          </w:p>
        </w:tc>
        <w:tc>
          <w:tcPr>
            <w:tcW w:w="1020" w:type="dxa"/>
            <w:vAlign w:val="bottom"/>
          </w:tcPr>
          <w:p>
            <w:pPr>
              <w:jc w:val="center"/>
              <w:ind w:right="66"/>
              <w:spacing w:after="0" w:line="115" w:lineRule="exact"/>
              <w:rPr>
                <w:sz w:val="20"/>
                <w:szCs w:val="20"/>
                <w:color w:val="auto"/>
              </w:rPr>
            </w:pPr>
            <w:r>
              <w:rPr>
                <w:rFonts w:ascii="Arial" w:cs="Arial" w:eastAsia="Arial" w:hAnsi="Arial"/>
                <w:sz w:val="11"/>
                <w:szCs w:val="11"/>
                <w:b w:val="1"/>
                <w:bCs w:val="1"/>
                <w:color w:val="auto"/>
                <w:w w:val="88"/>
              </w:rPr>
              <w:t>Accumulated Other</w:t>
            </w:r>
          </w:p>
        </w:tc>
        <w:tc>
          <w:tcPr>
            <w:tcW w:w="10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w w:val="93"/>
              </w:rPr>
              <w:t>Total Stockholders’</w:t>
            </w:r>
          </w:p>
        </w:tc>
        <w:tc>
          <w:tcPr>
            <w:tcW w:w="180" w:type="dxa"/>
            <w:vAlign w:val="bottom"/>
          </w:tcPr>
          <w:p>
            <w:pPr>
              <w:spacing w:after="0"/>
              <w:rPr>
                <w:sz w:val="10"/>
                <w:szCs w:val="10"/>
                <w:color w:val="auto"/>
              </w:rPr>
            </w:pPr>
          </w:p>
        </w:tc>
        <w:tc>
          <w:tcPr>
            <w:tcW w:w="9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w w:val="91"/>
              </w:rPr>
              <w:t>Noncontrolling</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40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w w:val="93"/>
              </w:rPr>
              <w:t>Class A Common Stock</w:t>
            </w:r>
          </w:p>
        </w:tc>
        <w:tc>
          <w:tcPr>
            <w:tcW w:w="1440" w:type="dxa"/>
            <w:vAlign w:val="bottom"/>
            <w:gridSpan w:val="3"/>
            <w:vMerge w:val="restart"/>
          </w:tcPr>
          <w:p>
            <w:pPr>
              <w:jc w:val="right"/>
              <w:ind w:right="146"/>
              <w:spacing w:after="0"/>
              <w:rPr>
                <w:sz w:val="20"/>
                <w:szCs w:val="20"/>
                <w:color w:val="auto"/>
              </w:rPr>
            </w:pPr>
            <w:r>
              <w:rPr>
                <w:rFonts w:ascii="Arial" w:cs="Arial" w:eastAsia="Arial" w:hAnsi="Arial"/>
                <w:sz w:val="11"/>
                <w:szCs w:val="11"/>
                <w:b w:val="1"/>
                <w:bCs w:val="1"/>
                <w:color w:val="auto"/>
                <w:w w:val="98"/>
              </w:rPr>
              <w:t>Class V Common Stock</w:t>
            </w:r>
          </w:p>
        </w:tc>
        <w:tc>
          <w:tcPr>
            <w:tcW w:w="9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4"/>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2"/>
              </w:rPr>
              <w:t>Total Equity</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b w:val="1"/>
                <w:bCs w:val="1"/>
                <w:color w:val="auto"/>
                <w:w w:val="96"/>
              </w:rPr>
              <w:t>in Capital</w:t>
            </w:r>
          </w:p>
        </w:tc>
        <w:tc>
          <w:tcPr>
            <w:tcW w:w="16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1020" w:type="dxa"/>
            <w:vAlign w:val="bottom"/>
          </w:tcPr>
          <w:p>
            <w:pPr>
              <w:jc w:val="center"/>
              <w:ind w:right="66"/>
              <w:spacing w:after="0"/>
              <w:rPr>
                <w:sz w:val="20"/>
                <w:szCs w:val="20"/>
                <w:color w:val="auto"/>
              </w:rPr>
            </w:pPr>
            <w:r>
              <w:rPr>
                <w:rFonts w:ascii="Arial" w:cs="Arial" w:eastAsia="Arial" w:hAnsi="Arial"/>
                <w:sz w:val="11"/>
                <w:szCs w:val="11"/>
                <w:b w:val="1"/>
                <w:bCs w:val="1"/>
                <w:color w:val="auto"/>
                <w:w w:val="88"/>
              </w:rPr>
              <w:t>Income (Loss)</w:t>
            </w:r>
          </w:p>
        </w:tc>
        <w:tc>
          <w:tcPr>
            <w:tcW w:w="260" w:type="dxa"/>
            <w:vAlign w:val="bottom"/>
          </w:tcPr>
          <w:p>
            <w:pPr>
              <w:spacing w:after="0"/>
              <w:rPr>
                <w:sz w:val="12"/>
                <w:szCs w:val="12"/>
                <w:color w:val="auto"/>
              </w:rPr>
            </w:pPr>
          </w:p>
        </w:tc>
        <w:tc>
          <w:tcPr>
            <w:tcW w:w="800" w:type="dxa"/>
            <w:vAlign w:val="bottom"/>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180" w:type="dxa"/>
            <w:vAlign w:val="bottom"/>
          </w:tcPr>
          <w:p>
            <w:pPr>
              <w:spacing w:after="0"/>
              <w:rPr>
                <w:sz w:val="12"/>
                <w:szCs w:val="12"/>
                <w:color w:val="auto"/>
              </w:rPr>
            </w:pPr>
          </w:p>
        </w:tc>
        <w:tc>
          <w:tcPr>
            <w:tcW w:w="960" w:type="dxa"/>
            <w:vAlign w:val="bottom"/>
          </w:tcPr>
          <w:p>
            <w:pPr>
              <w:jc w:val="right"/>
              <w:ind w:right="346"/>
              <w:spacing w:after="0"/>
              <w:rPr>
                <w:sz w:val="20"/>
                <w:szCs w:val="20"/>
                <w:color w:val="auto"/>
              </w:rPr>
            </w:pPr>
            <w:r>
              <w:rPr>
                <w:rFonts w:ascii="Arial" w:cs="Arial" w:eastAsia="Arial" w:hAnsi="Arial"/>
                <w:sz w:val="11"/>
                <w:szCs w:val="11"/>
                <w:b w:val="1"/>
                <w:bCs w:val="1"/>
                <w:color w:val="auto"/>
              </w:rPr>
              <w:t>Interest</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76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44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880" w:type="dxa"/>
            <w:vAlign w:val="bottom"/>
          </w:tcPr>
          <w:p>
            <w:pPr>
              <w:jc w:val="right"/>
              <w:ind w:right="26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360" w:type="dxa"/>
            <w:vAlign w:val="bottom"/>
          </w:tcPr>
          <w:p>
            <w:pPr>
              <w:jc w:val="right"/>
              <w:ind w:right="186"/>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as of December 31, 2021</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57,164,388</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6</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206,271,792</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566,766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(98,342)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468,396</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1,825,775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2,294,171</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Share-based compensation</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6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13,190</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Unit-based compensation</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1,118</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1,118</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w w:val="97"/>
              </w:rPr>
              <w:t>Forfeiture and cancellation of common units</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(268,522)</w:t>
            </w:r>
          </w:p>
        </w:tc>
        <w:tc>
          <w:tcPr>
            <w:tcW w:w="200" w:type="dxa"/>
            <w:vAlign w:val="bottom"/>
          </w:tcPr>
          <w:p>
            <w:pPr>
              <w:spacing w:after="0"/>
              <w:rPr>
                <w:sz w:val="12"/>
                <w:szCs w:val="12"/>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(60)</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Exercise of warrants</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Currency translation adjustment, net of tax</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147</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w:t>
            </w:r>
          </w:p>
        </w:tc>
        <w:tc>
          <w:tcPr>
            <w:tcW w:w="7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(7,128)</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(7,128)</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(36,193)</w:t>
            </w: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(43,321)</w:t>
            </w:r>
          </w:p>
        </w:tc>
        <w:tc>
          <w:tcPr>
            <w:tcW w:w="0" w:type="dxa"/>
            <w:vAlign w:val="bottom"/>
          </w:tcPr>
          <w:p>
            <w:pPr>
              <w:spacing w:after="0"/>
              <w:rPr>
                <w:sz w:val="1"/>
                <w:szCs w:val="1"/>
                <w:color w:val="auto"/>
              </w:rPr>
            </w:pPr>
          </w:p>
        </w:tc>
      </w:tr>
      <w:tr>
        <w:trPr>
          <w:trHeight w:val="160"/>
        </w:trPr>
        <w:tc>
          <w:tcPr>
            <w:tcW w:w="2240" w:type="dxa"/>
            <w:vAlign w:val="bottom"/>
          </w:tcPr>
          <w:p>
            <w:pPr>
              <w:ind w:left="20"/>
              <w:spacing w:after="0"/>
              <w:rPr>
                <w:sz w:val="20"/>
                <w:szCs w:val="20"/>
                <w:color w:val="auto"/>
              </w:rPr>
            </w:pPr>
            <w:r>
              <w:rPr>
                <w:rFonts w:ascii="Arial" w:cs="Arial" w:eastAsia="Arial" w:hAnsi="Arial"/>
                <w:sz w:val="11"/>
                <w:szCs w:val="11"/>
                <w:color w:val="auto"/>
              </w:rPr>
              <w:t>Balance as of March 31, 2022</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57,164,488</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206,003,270</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579,957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(105,470)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(14)</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474,500</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1,790,787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2,265,287</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40" w:type="dxa"/>
            <w:vAlign w:val="bottom"/>
          </w:tcPr>
          <w:p>
            <w:pPr>
              <w:ind w:left="20"/>
              <w:spacing w:after="0"/>
              <w:rPr>
                <w:sz w:val="20"/>
                <w:szCs w:val="20"/>
                <w:color w:val="auto"/>
              </w:rPr>
            </w:pPr>
            <w:r>
              <w:rPr>
                <w:rFonts w:ascii="Arial" w:cs="Arial" w:eastAsia="Arial" w:hAnsi="Arial"/>
                <w:sz w:val="11"/>
                <w:szCs w:val="11"/>
                <w:color w:val="auto"/>
              </w:rPr>
              <w:t>Balance as of December 31, 2022</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80,926,843</w:t>
            </w:r>
          </w:p>
        </w:tc>
        <w:tc>
          <w:tcPr>
            <w:tcW w:w="20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183,482,777</w:t>
            </w:r>
          </w:p>
        </w:tc>
        <w:tc>
          <w:tcPr>
            <w:tcW w:w="200" w:type="dxa"/>
            <w:vAlign w:val="bottom"/>
          </w:tcPr>
          <w:p>
            <w:pPr>
              <w:spacing w:after="0"/>
              <w:rPr>
                <w:sz w:val="12"/>
                <w:szCs w:val="12"/>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772,973</w:t>
            </w:r>
          </w:p>
        </w:tc>
        <w:tc>
          <w:tcPr>
            <w:tcW w:w="1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(676,447)</w:t>
            </w:r>
          </w:p>
        </w:tc>
        <w:tc>
          <w:tcPr>
            <w:tcW w:w="140" w:type="dxa"/>
            <w:vAlign w:val="bottom"/>
          </w:tcPr>
          <w:p>
            <w:pPr>
              <w:spacing w:after="0"/>
              <w:rPr>
                <w:sz w:val="12"/>
                <w:szCs w:val="12"/>
                <w:color w:val="auto"/>
              </w:rPr>
            </w:pP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(290)</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96,263</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239,811</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336,074</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Share-based compensation</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6,713</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6,713</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6,713</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Unit-based compensation</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542</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542</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2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8"/>
              </w:rPr>
              <w:t>Shares issued upon vesting of share-based</w:t>
            </w:r>
          </w:p>
        </w:tc>
        <w:tc>
          <w:tcPr>
            <w:tcW w:w="7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1,495,040</w:t>
            </w:r>
          </w:p>
        </w:tc>
        <w:tc>
          <w:tcPr>
            <w:tcW w:w="2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awards, net of tax withholding</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w w:val="89"/>
              </w:rPr>
              <w:t>Exchange of Class V shares for Class A shares</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202,890</w:t>
            </w:r>
          </w:p>
        </w:tc>
        <w:tc>
          <w:tcPr>
            <w:tcW w:w="20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(202,890)</w:t>
            </w:r>
          </w:p>
        </w:tc>
        <w:tc>
          <w:tcPr>
            <w:tcW w:w="200" w:type="dxa"/>
            <w:vAlign w:val="bottom"/>
          </w:tcPr>
          <w:p>
            <w:pPr>
              <w:spacing w:after="0"/>
              <w:rPr>
                <w:sz w:val="12"/>
                <w:szCs w:val="12"/>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345</w:t>
            </w:r>
          </w:p>
        </w:tc>
        <w:tc>
          <w:tcPr>
            <w:tcW w:w="16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345</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(345)</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Currency translation adjustment, net of tax</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12"/>
        </w:trPr>
        <w:tc>
          <w:tcPr>
            <w:tcW w:w="2240" w:type="dxa"/>
            <w:vAlign w:val="bottom"/>
          </w:tcPr>
          <w:p>
            <w:pPr>
              <w:ind w:left="140"/>
              <w:spacing w:after="0" w:line="112" w:lineRule="exact"/>
              <w:rPr>
                <w:sz w:val="20"/>
                <w:szCs w:val="20"/>
                <w:color w:val="auto"/>
              </w:rPr>
            </w:pPr>
            <w:r>
              <w:rPr>
                <w:rFonts w:ascii="Arial" w:cs="Arial" w:eastAsia="Arial" w:hAnsi="Arial"/>
                <w:sz w:val="11"/>
                <w:szCs w:val="11"/>
                <w:color w:val="auto"/>
              </w:rPr>
              <w:t>Unrealized losses on available-for-</w:t>
            </w: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4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3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020" w:type="dxa"/>
            <w:vAlign w:val="bottom"/>
            <w:vMerge w:val="restart"/>
          </w:tcPr>
          <w:p>
            <w:pPr>
              <w:jc w:val="right"/>
              <w:ind w:right="26"/>
              <w:spacing w:after="0"/>
              <w:rPr>
                <w:sz w:val="20"/>
                <w:szCs w:val="20"/>
                <w:color w:val="auto"/>
              </w:rPr>
            </w:pPr>
            <w:r>
              <w:rPr>
                <w:rFonts w:ascii="Arial" w:cs="Arial" w:eastAsia="Arial" w:hAnsi="Arial"/>
                <w:sz w:val="11"/>
                <w:szCs w:val="11"/>
                <w:color w:val="auto"/>
              </w:rPr>
              <w:t>(72)</w:t>
            </w:r>
          </w:p>
        </w:tc>
        <w:tc>
          <w:tcPr>
            <w:tcW w:w="260" w:type="dxa"/>
            <w:vAlign w:val="bottom"/>
          </w:tcPr>
          <w:p>
            <w:pPr>
              <w:spacing w:after="0"/>
              <w:rPr>
                <w:sz w:val="9"/>
                <w:szCs w:val="9"/>
                <w:color w:val="auto"/>
              </w:rPr>
            </w:pP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(72)</w:t>
            </w:r>
          </w:p>
        </w:tc>
        <w:tc>
          <w:tcPr>
            <w:tcW w:w="180" w:type="dxa"/>
            <w:vAlign w:val="bottom"/>
          </w:tcPr>
          <w:p>
            <w:pPr>
              <w:spacing w:after="0"/>
              <w:rPr>
                <w:sz w:val="9"/>
                <w:szCs w:val="9"/>
                <w:color w:val="auto"/>
              </w:rPr>
            </w:pPr>
          </w:p>
        </w:tc>
        <w:tc>
          <w:tcPr>
            <w:tcW w:w="960" w:type="dxa"/>
            <w:vAlign w:val="bottom"/>
            <w:vMerge w:val="restart"/>
          </w:tcPr>
          <w:p>
            <w:pPr>
              <w:jc w:val="right"/>
              <w:ind w:right="26"/>
              <w:spacing w:after="0"/>
              <w:rPr>
                <w:sz w:val="20"/>
                <w:szCs w:val="20"/>
                <w:color w:val="auto"/>
              </w:rPr>
            </w:pPr>
            <w:r>
              <w:rPr>
                <w:rFonts w:ascii="Arial" w:cs="Arial" w:eastAsia="Arial" w:hAnsi="Arial"/>
                <w:sz w:val="11"/>
                <w:szCs w:val="11"/>
                <w:color w:val="auto"/>
              </w:rPr>
              <w:t>(157)</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136"/>
        </w:trPr>
        <w:tc>
          <w:tcPr>
            <w:tcW w:w="2240" w:type="dxa"/>
            <w:vAlign w:val="bottom"/>
          </w:tcPr>
          <w:p>
            <w:pPr>
              <w:ind w:left="140"/>
              <w:spacing w:after="0"/>
              <w:rPr>
                <w:sz w:val="20"/>
                <w:szCs w:val="20"/>
                <w:color w:val="auto"/>
              </w:rPr>
            </w:pPr>
            <w:r>
              <w:rPr>
                <w:rFonts w:ascii="Arial" w:cs="Arial" w:eastAsia="Arial" w:hAnsi="Arial"/>
                <w:sz w:val="11"/>
                <w:szCs w:val="11"/>
                <w:color w:val="auto"/>
              </w:rPr>
              <w:t>sale securities, net of tax</w:t>
            </w: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w:t>
            </w:r>
          </w:p>
        </w:tc>
        <w:tc>
          <w:tcPr>
            <w:tcW w:w="7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(13,976)</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(13,976)</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(30,883)</w:t>
            </w: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(44,859)</w:t>
            </w:r>
          </w:p>
        </w:tc>
        <w:tc>
          <w:tcPr>
            <w:tcW w:w="0" w:type="dxa"/>
            <w:vAlign w:val="bottom"/>
          </w:tcPr>
          <w:p>
            <w:pPr>
              <w:spacing w:after="0"/>
              <w:rPr>
                <w:sz w:val="1"/>
                <w:szCs w:val="1"/>
                <w:color w:val="auto"/>
              </w:rPr>
            </w:pPr>
          </w:p>
        </w:tc>
      </w:tr>
      <w:tr>
        <w:trPr>
          <w:trHeight w:val="160"/>
        </w:trPr>
        <w:tc>
          <w:tcPr>
            <w:tcW w:w="2240" w:type="dxa"/>
            <w:vAlign w:val="bottom"/>
          </w:tcPr>
          <w:p>
            <w:pPr>
              <w:ind w:left="20"/>
              <w:spacing w:after="0"/>
              <w:rPr>
                <w:sz w:val="20"/>
                <w:szCs w:val="20"/>
                <w:color w:val="auto"/>
              </w:rPr>
            </w:pPr>
            <w:r>
              <w:rPr>
                <w:rFonts w:ascii="Arial" w:cs="Arial" w:eastAsia="Arial" w:hAnsi="Arial"/>
                <w:sz w:val="11"/>
                <w:szCs w:val="11"/>
                <w:color w:val="auto"/>
              </w:rPr>
              <w:t>Balance as of March 31, 2023</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82,624,773</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183,279,887</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19</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780,031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(690,423)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(355)</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89,280</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208,983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298,263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92"/>
        </w:trPr>
        <w:tc>
          <w:tcPr>
            <w:tcW w:w="8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183"/>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(44,859)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(43,321)</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5,851</w:t>
            </w:r>
          </w:p>
        </w:tc>
        <w:tc>
          <w:tcPr>
            <w:tcW w:w="0" w:type="dxa"/>
            <w:vAlign w:val="bottom"/>
          </w:tcPr>
          <w:p>
            <w:pPr>
              <w:spacing w:after="0"/>
              <w:rPr>
                <w:sz w:val="1"/>
                <w:szCs w:val="1"/>
                <w:color w:val="auto"/>
              </w:rPr>
            </w:pPr>
          </w:p>
        </w:tc>
      </w:tr>
      <w:tr>
        <w:trPr>
          <w:trHeight w:val="182"/>
        </w:trPr>
        <w:tc>
          <w:tcPr>
            <w:tcW w:w="8140" w:type="dxa"/>
            <w:vAlign w:val="bottom"/>
          </w:tcPr>
          <w:p>
            <w:pPr>
              <w:ind w:left="180"/>
              <w:spacing w:after="0"/>
              <w:rPr>
                <w:sz w:val="20"/>
                <w:szCs w:val="20"/>
                <w:color w:val="auto"/>
              </w:rPr>
            </w:pPr>
            <w:r>
              <w:rPr>
                <w:rFonts w:ascii="Arial" w:cs="Arial" w:eastAsia="Arial" w:hAnsi="Arial"/>
                <w:sz w:val="14"/>
                <w:szCs w:val="14"/>
                <w:color w:val="auto"/>
              </w:rPr>
              <w:t>Non-cash lease expense</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13,190</w:t>
            </w:r>
          </w:p>
        </w:tc>
        <w:tc>
          <w:tcPr>
            <w:tcW w:w="0" w:type="dxa"/>
            <w:vAlign w:val="bottom"/>
          </w:tcPr>
          <w:p>
            <w:pPr>
              <w:spacing w:after="0"/>
              <w:rPr>
                <w:sz w:val="1"/>
                <w:szCs w:val="1"/>
                <w:color w:val="auto"/>
              </w:rPr>
            </w:pPr>
          </w:p>
        </w:tc>
      </w:tr>
      <w:tr>
        <w:trPr>
          <w:trHeight w:val="186"/>
        </w:trPr>
        <w:tc>
          <w:tcPr>
            <w:tcW w:w="8140" w:type="dxa"/>
            <w:vAlign w:val="bottom"/>
          </w:tcPr>
          <w:p>
            <w:pPr>
              <w:ind w:left="180"/>
              <w:spacing w:after="0"/>
              <w:rPr>
                <w:sz w:val="20"/>
                <w:szCs w:val="20"/>
                <w:color w:val="auto"/>
              </w:rPr>
            </w:pPr>
            <w:r>
              <w:rPr>
                <w:rFonts w:ascii="Arial" w:cs="Arial" w:eastAsia="Arial" w:hAnsi="Arial"/>
                <w:sz w:val="14"/>
                <w:szCs w:val="14"/>
                <w:color w:val="auto"/>
              </w:rPr>
              <w:t>Unit-based compensation expense</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Forfeiture and cancellation of common units</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2"/>
        </w:trPr>
        <w:tc>
          <w:tcPr>
            <w:tcW w:w="81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(3,144)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40" w:type="dxa"/>
            <w:vAlign w:val="bottom"/>
          </w:tcPr>
          <w:p>
            <w:pPr>
              <w:ind w:left="180"/>
              <w:spacing w:after="0"/>
              <w:rPr>
                <w:sz w:val="20"/>
                <w:szCs w:val="20"/>
                <w:color w:val="auto"/>
              </w:rPr>
            </w:pPr>
            <w:r>
              <w:rPr>
                <w:rFonts w:ascii="Arial" w:cs="Arial" w:eastAsia="Arial" w:hAnsi="Arial"/>
                <w:sz w:val="14"/>
                <w:szCs w:val="14"/>
                <w:color w:val="auto"/>
              </w:rPr>
              <w:t>Loss (gain) from change in fair value of warrant liability</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6"/>
        </w:trPr>
        <w:tc>
          <w:tcPr>
            <w:tcW w:w="81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182"/>
        </w:trPr>
        <w:tc>
          <w:tcPr>
            <w:tcW w:w="8140" w:type="dxa"/>
            <w:vAlign w:val="bottom"/>
          </w:tcPr>
          <w:p>
            <w:pPr>
              <w:ind w:left="340"/>
              <w:spacing w:after="0"/>
              <w:rPr>
                <w:sz w:val="20"/>
                <w:szCs w:val="20"/>
                <w:color w:val="auto"/>
              </w:rPr>
            </w:pPr>
            <w:r>
              <w:rPr>
                <w:rFonts w:ascii="Arial" w:cs="Arial" w:eastAsia="Arial" w:hAnsi="Arial"/>
                <w:sz w:val="14"/>
                <w:szCs w:val="14"/>
                <w:color w:val="auto"/>
              </w:rPr>
              <w:t>Prepaid insurance</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4,332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4,343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Deposits with clearinghouse</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40" w:type="dxa"/>
            <w:vAlign w:val="bottom"/>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(15,991)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Due to related party</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6"/>
        </w:trPr>
        <w:tc>
          <w:tcPr>
            <w:tcW w:w="814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Operating lease 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2"/>
        </w:trPr>
        <w:tc>
          <w:tcPr>
            <w:tcW w:w="8140" w:type="dxa"/>
            <w:vAlign w:val="bottom"/>
          </w:tcPr>
          <w:p>
            <w:pPr>
              <w:ind w:left="340"/>
              <w:spacing w:after="0"/>
              <w:rPr>
                <w:sz w:val="20"/>
                <w:szCs w:val="20"/>
                <w:color w:val="auto"/>
              </w:rPr>
            </w:pPr>
            <w:r>
              <w:rPr>
                <w:rFonts w:ascii="Arial" w:cs="Arial" w:eastAsia="Arial" w:hAnsi="Arial"/>
                <w:sz w:val="14"/>
                <w:szCs w:val="14"/>
                <w:color w:val="auto"/>
              </w:rPr>
              <w:t>Customer funds payable</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assets and liabilities</w:t>
            </w: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(4,324)</w:t>
            </w:r>
          </w:p>
        </w:tc>
        <w:tc>
          <w:tcPr>
            <w:tcW w:w="0" w:type="dxa"/>
            <w:vAlign w:val="bottom"/>
          </w:tcPr>
          <w:p>
            <w:pPr>
              <w:spacing w:after="0"/>
              <w:rPr>
                <w:sz w:val="1"/>
                <w:szCs w:val="1"/>
                <w:color w:val="auto"/>
              </w:rPr>
            </w:pPr>
          </w:p>
        </w:tc>
      </w:tr>
      <w:tr>
        <w:trPr>
          <w:trHeight w:val="19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(33,156)</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40" w:type="dxa"/>
            <w:vAlign w:val="bottom"/>
          </w:tcPr>
          <w:p>
            <w:pPr>
              <w:ind w:left="180"/>
              <w:spacing w:after="0"/>
              <w:rPr>
                <w:sz w:val="20"/>
                <w:szCs w:val="20"/>
                <w:color w:val="auto"/>
              </w:rPr>
            </w:pPr>
            <w:r>
              <w:rPr>
                <w:rFonts w:ascii="Arial" w:cs="Arial" w:eastAsia="Arial" w:hAnsi="Arial"/>
                <w:sz w:val="14"/>
                <w:szCs w:val="14"/>
                <w:color w:val="auto"/>
              </w:rPr>
              <w:t>Capitalized internal-use software development costs and other capital expenditures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(3,122)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available-for-sale securities</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40" w:type="dxa"/>
            <w:vAlign w:val="bottom"/>
          </w:tcPr>
          <w:p>
            <w:pPr>
              <w:ind w:left="180"/>
              <w:spacing w:after="0"/>
              <w:rPr>
                <w:sz w:val="20"/>
                <w:szCs w:val="20"/>
                <w:color w:val="auto"/>
              </w:rPr>
            </w:pPr>
            <w:r>
              <w:rPr>
                <w:rFonts w:ascii="Arial" w:cs="Arial" w:eastAsia="Arial" w:hAnsi="Arial"/>
                <w:sz w:val="14"/>
                <w:szCs w:val="14"/>
                <w:color w:val="auto"/>
              </w:rPr>
              <w:t>Proceeds from the maturity of available-for-sale securities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101,048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Bumped LLC</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1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69,699</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(3,122)</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140" w:type="dxa"/>
            <w:vAlign w:val="bottom"/>
          </w:tcPr>
          <w:p>
            <w:pPr>
              <w:ind w:left="180"/>
              <w:spacing w:after="0"/>
              <w:rPr>
                <w:sz w:val="20"/>
                <w:szCs w:val="20"/>
                <w:color w:val="auto"/>
              </w:rPr>
            </w:pPr>
            <w:r>
              <w:rPr>
                <w:rFonts w:ascii="Arial" w:cs="Arial" w:eastAsia="Arial" w:hAnsi="Arial"/>
                <w:sz w:val="14"/>
                <w:szCs w:val="14"/>
                <w:color w:val="auto"/>
              </w:rPr>
              <w:t>Proceeds from the exercise of warrants</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8140" w:type="dxa"/>
            <w:vAlign w:val="bottom"/>
          </w:tcPr>
          <w:p>
            <w:pPr>
              <w:ind w:left="180"/>
              <w:spacing w:after="0"/>
              <w:rPr>
                <w:sz w:val="20"/>
                <w:szCs w:val="20"/>
                <w:color w:val="auto"/>
              </w:rPr>
            </w:pPr>
            <w:r>
              <w:rPr>
                <w:rFonts w:ascii="Arial" w:cs="Arial" w:eastAsia="Arial" w:hAnsi="Arial"/>
                <w:sz w:val="14"/>
                <w:szCs w:val="14"/>
                <w:color w:val="auto"/>
              </w:rPr>
              <w:t>Effect of exchange rate changes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79"/>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increase (decrease) in cash, cash equivalents, restricted cash, cash held in escrow and customer funds</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22,480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(36,089)</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restricted cash, cash held in escrow and customer funds at the beginning of the period</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408,415</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cash held in escrow and customer funds at the end of the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372,326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paid for income taxes</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140" w:type="dxa"/>
            <w:vAlign w:val="bottom"/>
          </w:tcPr>
          <w:p>
            <w:pPr>
              <w:ind w:left="180"/>
              <w:spacing w:after="0"/>
              <w:rPr>
                <w:sz w:val="20"/>
                <w:szCs w:val="20"/>
                <w:color w:val="auto"/>
              </w:rPr>
            </w:pPr>
            <w:r>
              <w:rPr>
                <w:rFonts w:ascii="Arial" w:cs="Arial" w:eastAsia="Arial" w:hAnsi="Arial"/>
                <w:sz w:val="14"/>
                <w:szCs w:val="14"/>
                <w:color w:val="auto"/>
              </w:rPr>
              <w:t>Non-cash operating lease right-of-use asset acquired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3,776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5,696</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investing and financing activity:</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40" w:type="dxa"/>
            <w:vAlign w:val="bottom"/>
          </w:tcPr>
          <w:p>
            <w:pPr>
              <w:ind w:left="180"/>
              <w:spacing w:after="0"/>
              <w:rPr>
                <w:sz w:val="20"/>
                <w:szCs w:val="20"/>
                <w:color w:val="auto"/>
              </w:rPr>
            </w:pPr>
            <w:r>
              <w:rPr>
                <w:rFonts w:ascii="Arial" w:cs="Arial" w:eastAsia="Arial" w:hAnsi="Arial"/>
                <w:sz w:val="14"/>
                <w:szCs w:val="14"/>
                <w:color w:val="auto"/>
                <w:w w:val="94"/>
              </w:rPr>
              <w:t>Capitalized internal-use software development costs and other capital expenditures included in accounts payable and accrued liabilities.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Reconciliation of cash, cash equivalents, restricted cash, cash held in escrow and customer funds to consolidated balance sheet: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50,834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355,196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19,305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86"/>
        </w:trPr>
        <w:tc>
          <w:tcPr>
            <w:tcW w:w="8140" w:type="dxa"/>
            <w:vAlign w:val="bottom"/>
          </w:tcPr>
          <w:p>
            <w:pPr>
              <w:ind w:left="180"/>
              <w:spacing w:after="0"/>
              <w:rPr>
                <w:sz w:val="20"/>
                <w:szCs w:val="20"/>
                <w:color w:val="auto"/>
              </w:rPr>
            </w:pPr>
            <w:r>
              <w:rPr>
                <w:rFonts w:ascii="Arial" w:cs="Arial" w:eastAsia="Arial" w:hAnsi="Arial"/>
                <w:sz w:val="14"/>
                <w:szCs w:val="14"/>
                <w:color w:val="auto"/>
              </w:rPr>
              <w:t>Cash held in escrow</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67,209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Customer funds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02"/>
        </w:trPr>
        <w:tc>
          <w:tcPr>
            <w:tcW w:w="8140" w:type="dxa"/>
            <w:vAlign w:val="bottom"/>
          </w:tcPr>
          <w:p>
            <w:pPr>
              <w:ind w:left="20"/>
              <w:spacing w:after="0"/>
              <w:rPr>
                <w:sz w:val="20"/>
                <w:szCs w:val="20"/>
                <w:color w:val="auto"/>
              </w:rPr>
            </w:pPr>
            <w:r>
              <w:rPr>
                <w:rFonts w:ascii="Arial" w:cs="Arial" w:eastAsia="Arial" w:hAnsi="Arial"/>
                <w:sz w:val="14"/>
                <w:szCs w:val="14"/>
                <w:color w:val="auto"/>
              </w:rPr>
              <w:t>Total cash, cash equivalents, restricted cash, cash held in escrow and customer funds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137,903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372,326</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20" w:lineRule="exact"/>
        <w:rPr>
          <w:sz w:val="20"/>
          <w:szCs w:val="20"/>
          <w:color w:val="auto"/>
        </w:rPr>
      </w:pPr>
    </w:p>
    <w:p>
      <w:pPr>
        <w:ind w:right="7720" w:firstLine="8"/>
        <w:spacing w:after="0" w:line="542" w:lineRule="auto"/>
        <w:tabs>
          <w:tab w:leader="none" w:pos="3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6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Unless the context otherwise provides, “we,” “us,” “our,” “Bakkt”, the “Company” and like terms refer to Bakkt Holdings, Inc. and its subsidiaries, including Opco.</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or are working to provide, simplified solutions focused in the following areas: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Crypto</w:t>
      </w:r>
    </w:p>
    <w:p>
      <w:pPr>
        <w:spacing w:after="0" w:line="266" w:lineRule="exact"/>
        <w:rPr>
          <w:sz w:val="20"/>
          <w:szCs w:val="20"/>
          <w:color w:val="auto"/>
        </w:rPr>
      </w:pPr>
    </w:p>
    <w:p>
      <w:pPr>
        <w:jc w:val="both"/>
        <w:ind w:left="660" w:hanging="328"/>
        <w:spacing w:after="0" w:line="356" w:lineRule="auto"/>
        <w:tabs>
          <w:tab w:leader="none" w:pos="660" w:val="left"/>
        </w:tabs>
        <w:numPr>
          <w:ilvl w:val="0"/>
          <w:numId w:val="8"/>
        </w:numPr>
        <w:rPr>
          <w:rFonts w:ascii="Arial" w:cs="Arial" w:eastAsia="Arial" w:hAnsi="Arial"/>
          <w:sz w:val="16"/>
          <w:szCs w:val="16"/>
          <w:color w:val="0C0C0C"/>
        </w:rPr>
      </w:pPr>
      <w:r>
        <w:rPr>
          <w:rFonts w:ascii="Arial" w:cs="Arial" w:eastAsia="Arial" w:hAnsi="Arial"/>
          <w:sz w:val="16"/>
          <w:szCs w:val="16"/>
          <w:b w:val="1"/>
          <w:bCs w:val="1"/>
          <w:i w:val="1"/>
          <w:iCs w:val="1"/>
          <w:color w:val="0C0C0C"/>
        </w:rPr>
        <w:t xml:space="preserve">Custody. </w:t>
      </w:r>
      <w:r>
        <w:rPr>
          <w:rFonts w:ascii="Arial" w:cs="Arial" w:eastAsia="Arial" w:hAnsi="Arial"/>
          <w:sz w:val="16"/>
          <w:szCs w:val="16"/>
          <w:color w:val="0C0C0C"/>
        </w:rPr>
        <w:t>Our institutional-grade qualified custody solution caters to more experienced market participants and also supports our consumer-facing</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crypto business. Crypto that we custody is held by our subsidiary, Bakkt Trust Company LLC (“Bakkt Trust”), a limited purpose trust company that is supervised by the New York State Department of Financial Services (“NYDFS”) and governed by an independent Board of Managers.</w:t>
      </w:r>
    </w:p>
    <w:p>
      <w:pPr>
        <w:spacing w:after="0" w:line="135" w:lineRule="exact"/>
        <w:rPr>
          <w:rFonts w:ascii="Arial" w:cs="Arial" w:eastAsia="Arial" w:hAnsi="Arial"/>
          <w:sz w:val="16"/>
          <w:szCs w:val="16"/>
          <w:color w:val="0C0C0C"/>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0C0C0C"/>
        </w:rPr>
        <w:t>Crypto Connect</w:t>
      </w:r>
      <w:r>
        <w:rPr>
          <w:rFonts w:ascii="Arial" w:cs="Arial" w:eastAsia="Arial" w:hAnsi="Arial"/>
          <w:sz w:val="16"/>
          <w:szCs w:val="16"/>
          <w:b w:val="1"/>
          <w:bCs w:val="1"/>
          <w:color w:val="0C0C0C"/>
        </w:rPr>
        <w:t>.</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00000"/>
        </w:rPr>
        <w:t>Bakkt Marketplace, LLC (“Bakkt Marketplace”) operates</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a platform that provides consumers, businesses and institutions with</w:t>
      </w:r>
    </w:p>
    <w:p>
      <w:pPr>
        <w:spacing w:after="0" w:line="76"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0C0C0C"/>
        </w:rPr>
        <w:t>the ability to buy, sell and store crypto in a simple, intuitive digital experience accessed via application programming interfaces (“APIs”) or embedded web experience. We aim to enable businesses in various industries - such as fintechs, financial institutions and wallet providers - to provide their customers with the ability to transact in crypto directly in their trusted environments.</w:t>
      </w:r>
    </w:p>
    <w:p>
      <w:pPr>
        <w:spacing w:after="0" w:line="170" w:lineRule="exact"/>
        <w:rPr>
          <w:rFonts w:ascii="Arial" w:cs="Arial" w:eastAsia="Arial" w:hAnsi="Arial"/>
          <w:sz w:val="16"/>
          <w:szCs w:val="16"/>
          <w:color w:val="auto"/>
        </w:rPr>
      </w:pPr>
    </w:p>
    <w:p>
      <w:pPr>
        <w:ind w:left="660" w:hanging="328"/>
        <w:spacing w:after="0" w:line="32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0C0C0C"/>
        </w:rPr>
        <w:t>Crypto Rewards</w:t>
      </w:r>
      <w:r>
        <w:rPr>
          <w:rFonts w:ascii="Arial" w:cs="Arial" w:eastAsia="Arial" w:hAnsi="Arial"/>
          <w:sz w:val="18"/>
          <w:szCs w:val="18"/>
          <w:b w:val="1"/>
          <w:bCs w:val="1"/>
          <w:color w:val="0C0C0C"/>
        </w:rPr>
        <w:t>.</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We are in the process of enabling customers of all sizes to offer loyalty and rewards to their customers in the form of crypto –</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either by earning crypto rewards, or by redeeming existing reward currencies, such as points or miles, into crypto.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0C0C0C"/>
        </w:rPr>
        <w:t xml:space="preserve">Crypto Payouts. </w:t>
      </w:r>
      <w:r>
        <w:rPr>
          <w:rFonts w:ascii="Arial" w:cs="Arial" w:eastAsia="Arial" w:hAnsi="Arial"/>
          <w:sz w:val="16"/>
          <w:szCs w:val="16"/>
          <w:color w:val="0C0C0C"/>
        </w:rPr>
        <w:t>We are in the process of enabling consumers to automatically invest a portion of payments into crypto. Crypto payouts allow for</w:t>
      </w:r>
    </w:p>
    <w:p>
      <w:pPr>
        <w:spacing w:after="0" w:line="72"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0C0C0C"/>
        </w:rPr>
        <w:t>new cases (for instance, for gig economy or marketplace participants such as freelancers, content providers, and delivery workers to receive their wages in crypto).</w:t>
      </w:r>
    </w:p>
    <w:p>
      <w:pPr>
        <w:spacing w:after="0" w:line="18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Bakkt Trust operates, in conjunction with Intercontinental Exchange, Inc. ("ICE"), regulated infrastructure for trading, clearing, and custody services for physically-delivered bitcoin futures. Bakkt Marketplace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 Bakkt Trust’s custody solution provides support to Bakkt Marketplace with respect to bitcoin and ether functionality.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Loyalty</w:t>
      </w:r>
    </w:p>
    <w:p>
      <w:pPr>
        <w:spacing w:after="0" w:line="252" w:lineRule="exact"/>
        <w:rPr>
          <w:sz w:val="20"/>
          <w:szCs w:val="20"/>
          <w:color w:val="auto"/>
        </w:rPr>
      </w:pPr>
    </w:p>
    <w:p>
      <w:pPr>
        <w:jc w:val="both"/>
        <w:ind w:left="660" w:hanging="328"/>
        <w:spacing w:after="0" w:line="306" w:lineRule="auto"/>
        <w:tabs>
          <w:tab w:leader="none" w:pos="660" w:val="left"/>
        </w:tabs>
        <w:numPr>
          <w:ilvl w:val="1"/>
          <w:numId w:val="10"/>
        </w:numPr>
        <w:rPr>
          <w:rFonts w:ascii="Arial" w:cs="Arial" w:eastAsia="Arial" w:hAnsi="Arial"/>
          <w:sz w:val="18"/>
          <w:szCs w:val="18"/>
          <w:color w:val="0C0C0C"/>
        </w:rPr>
      </w:pPr>
      <w:r>
        <w:rPr>
          <w:rFonts w:ascii="Arial" w:cs="Arial" w:eastAsia="Arial" w:hAnsi="Arial"/>
          <w:sz w:val="16"/>
          <w:szCs w:val="16"/>
          <w:color w:val="0C0C0C"/>
        </w:rPr>
        <w:t>We offer a full spectrum of content that customers can make available to their customers when redeeming loyalty currencies. Our redemption solutions span a variety of rewards categories including merchandise (such as Apple products and services), gift cards and digital experiences. Our</w:t>
      </w:r>
    </w:p>
    <w:p>
      <w:pPr>
        <w:spacing w:after="0" w:line="1" w:lineRule="exact"/>
        <w:rPr>
          <w:rFonts w:ascii="Arial" w:cs="Arial" w:eastAsia="Arial" w:hAnsi="Arial"/>
          <w:sz w:val="18"/>
          <w:szCs w:val="18"/>
          <w:color w:val="0C0C0C"/>
        </w:rPr>
      </w:pPr>
    </w:p>
    <w:p>
      <w:pPr>
        <w:jc w:val="both"/>
        <w:ind w:left="660"/>
        <w:spacing w:after="0" w:line="325" w:lineRule="auto"/>
        <w:rPr>
          <w:rFonts w:ascii="Arial" w:cs="Arial" w:eastAsia="Arial" w:hAnsi="Arial"/>
          <w:sz w:val="18"/>
          <w:szCs w:val="18"/>
          <w:color w:val="0C0C0C"/>
        </w:rPr>
      </w:pPr>
      <w:r>
        <w:rPr>
          <w:rFonts w:ascii="Arial" w:cs="Arial" w:eastAsia="Arial" w:hAnsi="Arial"/>
          <w:sz w:val="16"/>
          <w:szCs w:val="16"/>
          <w:color w:val="0C0C0C"/>
        </w:rPr>
        <w:t>travel solution offers a retail e-commerce booking platform, as well as live-agent booking and servicing. Our platform provides a unified shopping experience that is configurable for companies and their programs. Capabilities include a mobile-first user experience, a multi-tier construct to</w:t>
      </w:r>
    </w:p>
    <w:p>
      <w:pPr>
        <w:spacing w:after="0" w:line="1" w:lineRule="exact"/>
        <w:rPr>
          <w:rFonts w:ascii="Arial" w:cs="Arial" w:eastAsia="Arial" w:hAnsi="Arial"/>
          <w:sz w:val="18"/>
          <w:szCs w:val="18"/>
          <w:color w:val="0C0C0C"/>
        </w:rPr>
      </w:pPr>
    </w:p>
    <w:p>
      <w:pPr>
        <w:ind w:left="660"/>
        <w:spacing w:after="0" w:line="308" w:lineRule="auto"/>
        <w:rPr>
          <w:rFonts w:ascii="Arial" w:cs="Arial" w:eastAsia="Arial" w:hAnsi="Arial"/>
          <w:sz w:val="18"/>
          <w:szCs w:val="18"/>
          <w:color w:val="0C0C0C"/>
        </w:rPr>
      </w:pPr>
      <w:r>
        <w:rPr>
          <w:rFonts w:ascii="Arial" w:cs="Arial" w:eastAsia="Arial" w:hAnsi="Arial"/>
          <w:sz w:val="18"/>
          <w:szCs w:val="18"/>
          <w:color w:val="0C0C0C"/>
        </w:rPr>
        <w:t>accommodate loyalty tiers, comprehensive fraud protection capabilities and a split-tender payments platform to accept both points and credit cards as a form of payment.</w:t>
      </w:r>
    </w:p>
    <w:p>
      <w:pPr>
        <w:spacing w:after="0" w:line="180" w:lineRule="exact"/>
        <w:rPr>
          <w:rFonts w:ascii="Arial" w:cs="Arial" w:eastAsia="Arial" w:hAnsi="Arial"/>
          <w:sz w:val="18"/>
          <w:szCs w:val="18"/>
          <w:color w:val="0C0C0C"/>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accounting policies are as set forth in the notes to our Annual Report on Form 10-K for the year ended December 31, 2022 (our "Form 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the opinion of management, all adjustments (consisting of normal recurring accruals), considered necessary for a fair presentation have been included. The interim results for the three months ended March 31, 2023 are not necessarily indicative of the results that may be expected for the year ending December 31, 2023, or for any other future annual or interim period. These consolidated financial statements should be read in conjunction with the Company’s audited financial statements and accompanying notes thereto included in our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For the three months ended March 31, 2023, there were no significant changes to the recently adopted accounting pronouncements applicable to us from those disclosed in Note 2 to the consolidated financial statements included in our Form 10-K.</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On March 31, 2022, the Securities and Exchange Commission (the "SEC") issued Staff Accounting Bulletin ("SAB") Number 121 ("SAB 121"), which provides the SEC staff’s view that it would be appropriate for an entity that has an obligation to safeguard crypto held for platform users to record a liability and corresponding asset on its balance sheet at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fair value of the crypto. SAB 121 also added Section FF to SAB Topic 5 to include interpretive guidance for entities to consider when they have obligations to safeguard crypto held for their platform users. We adopted the guidance in SAB 121 during the quarter ended June 30, 2022 with retrospective application as of January 1, 2022. Refer to Note 18 for additional information.</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disaggregate revenue by service type and by platform, respectively,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Service Type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94"/>
              <w:spacing w:after="0"/>
              <w:rPr>
                <w:sz w:val="20"/>
                <w:szCs w:val="20"/>
                <w:color w:val="auto"/>
              </w:rPr>
            </w:pPr>
            <w:r>
              <w:rPr>
                <w:rFonts w:ascii="Arial" w:cs="Arial" w:eastAsia="Arial" w:hAnsi="Arial"/>
                <w:sz w:val="16"/>
                <w:szCs w:val="16"/>
                <w:b w:val="1"/>
                <w:bCs w:val="1"/>
                <w:color w:val="auto"/>
                <w:w w:val="94"/>
              </w:rPr>
              <w:t>Three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114"/>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6"/>
        </w:trPr>
        <w:tc>
          <w:tcPr>
            <w:tcW w:w="7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37"/>
        </w:trPr>
        <w:tc>
          <w:tcPr>
            <w:tcW w:w="730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Transaction revenue, net</w:t>
            </w:r>
            <w:r>
              <w:rPr>
                <w:rFonts w:ascii="Arial" w:cs="Arial" w:eastAsia="Arial" w:hAnsi="Arial"/>
                <w:sz w:val="23"/>
                <w:szCs w:val="23"/>
                <w:color w:val="auto"/>
                <w:vertAlign w:val="superscript"/>
              </w:rPr>
              <w:t>(a)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and service revenue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340" w:hanging="332"/>
        <w:spacing w:after="0" w:line="30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are net of rebates and incentive payments of less than $0.1 million for the three months ended March 31, 2023, and $0.3 million for the three months ended March 31, 2022. Included in these amounts are amounts earned from related parties of less than $0.1 million for both the three months ended March 31, 2023 and March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Platform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94"/>
              <w:spacing w:after="0"/>
              <w:rPr>
                <w:sz w:val="20"/>
                <w:szCs w:val="20"/>
                <w:color w:val="auto"/>
              </w:rPr>
            </w:pPr>
            <w:r>
              <w:rPr>
                <w:rFonts w:ascii="Arial" w:cs="Arial" w:eastAsia="Arial" w:hAnsi="Arial"/>
                <w:sz w:val="16"/>
                <w:szCs w:val="16"/>
                <w:b w:val="1"/>
                <w:bCs w:val="1"/>
                <w:color w:val="auto"/>
                <w:w w:val="94"/>
              </w:rPr>
              <w:t>Three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114"/>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6"/>
        </w:trPr>
        <w:tc>
          <w:tcPr>
            <w:tcW w:w="7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3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redemption platform</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line="230" w:lineRule="exact"/>
              <w:rPr>
                <w:sz w:val="20"/>
                <w:szCs w:val="20"/>
                <w:color w:val="auto"/>
              </w:rPr>
            </w:pPr>
            <w:r>
              <w:rPr>
                <w:rFonts w:ascii="Arial" w:cs="Arial" w:eastAsia="Arial" w:hAnsi="Arial"/>
                <w:sz w:val="18"/>
                <w:szCs w:val="18"/>
                <w:color w:val="auto"/>
              </w:rPr>
              <w:t>Crypto services</w:t>
            </w:r>
            <w:r>
              <w:rPr>
                <w:rFonts w:ascii="Arial" w:cs="Arial" w:eastAsia="Arial" w:hAnsi="Arial"/>
                <w:sz w:val="23"/>
                <w:szCs w:val="23"/>
                <w:color w:val="auto"/>
                <w:vertAlign w:val="superscript"/>
              </w:rPr>
              <w:t>(b)</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are net of rebates and incentive payments of less than $0.1 million for the three months ended March 31, 2023, and $0.3 million for the three</w:t>
      </w:r>
    </w:p>
    <w:p>
      <w:pPr>
        <w:spacing w:after="0" w:line="72" w:lineRule="exact"/>
        <w:rPr>
          <w:rFonts w:ascii="Arial" w:cs="Arial" w:eastAsia="Arial" w:hAnsi="Arial"/>
          <w:sz w:val="16"/>
          <w:szCs w:val="16"/>
          <w:color w:val="auto"/>
        </w:rPr>
      </w:pPr>
    </w:p>
    <w:p>
      <w:pPr>
        <w:ind w:left="340"/>
        <w:spacing w:after="0" w:line="308" w:lineRule="auto"/>
        <w:rPr>
          <w:rFonts w:ascii="Arial" w:cs="Arial" w:eastAsia="Arial" w:hAnsi="Arial"/>
          <w:sz w:val="16"/>
          <w:szCs w:val="16"/>
          <w:color w:val="auto"/>
        </w:rPr>
      </w:pPr>
      <w:r>
        <w:rPr>
          <w:rFonts w:ascii="Arial" w:cs="Arial" w:eastAsia="Arial" w:hAnsi="Arial"/>
          <w:sz w:val="18"/>
          <w:szCs w:val="18"/>
          <w:color w:val="auto"/>
        </w:rPr>
        <w:t>months ended March 31, 2022. Included in these amounts are amounts earned from related parties of less than $0.1 million for both the three months ended March 31, 2023 and March 31, 2022.</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We recognized revenue from foreign jurisdictions of $0.9 million for the three months ended March 31, 2023, and $1.1 million for the three months ended March 31,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one reportable segment to which our revenues relate.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66"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Contract liabilities consist of deferred revenue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three months ended March 31, 2023 and March 31, 2022, respectively,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93"/>
              <w:spacing w:after="0"/>
              <w:rPr>
                <w:sz w:val="20"/>
                <w:szCs w:val="20"/>
                <w:color w:val="auto"/>
              </w:rPr>
            </w:pPr>
            <w:r>
              <w:rPr>
                <w:rFonts w:ascii="Arial" w:cs="Arial" w:eastAsia="Arial" w:hAnsi="Arial"/>
                <w:sz w:val="16"/>
                <w:szCs w:val="16"/>
                <w:b w:val="1"/>
                <w:bCs w:val="1"/>
                <w:color w:val="auto"/>
                <w:w w:val="94"/>
              </w:rPr>
              <w:t>Three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Three Months Ended</w:t>
            </w:r>
          </w:p>
        </w:tc>
      </w:tr>
      <w:tr>
        <w:trPr>
          <w:trHeight w:val="213"/>
        </w:trPr>
        <w:tc>
          <w:tcPr>
            <w:tcW w:w="7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March 31, 2022</w:t>
            </w:r>
          </w:p>
        </w:tc>
      </w:tr>
      <w:tr>
        <w:trPr>
          <w:trHeight w:val="23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 contract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Revenue recognized from contract liabilities included in the beginning balance</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3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due to cash received, net of amounts recognized in revenue during the period</w:t>
            </w: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End of the period contract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6,542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8,505</w:t>
            </w: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March 31, 2023, the aggregate amount of the transaction price allocated to the remaining performance obligations related to partially completed contracts is $24.4 million, comprised of $17.9 million of subscription fees and $6.5 million of service fees that are deferred. We recognize our subscription fees as revenue over a weighted-average period of 32 months (ranges from 1 month – 42 months) and our service fees as revenue over approximately 17 months.</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March 31, 2022, the aggregate amount of the transaction price allocated to the remaining performance obligations related to partially completed contracts is $26.4 million, comprised of $17.9 million of subscription fees and $8.5 million of service fees that are deferred. We recognize our subscription fees as revenue over a weighted-average period of 42 months (ranges from 3 months – 54 months) and our service fees as revenue over approximately 24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For the three months ended March 31, 2023 and March 31, 2022, we incurred no incremental costs to obtain and/or fulfill contracts with customers.</w:t>
      </w:r>
    </w:p>
    <w:p>
      <w:pPr>
        <w:spacing w:after="0" w:line="15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Asset Acquisition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Apex Crypto</w:t>
      </w:r>
    </w:p>
    <w:p>
      <w:pPr>
        <w:spacing w:after="0" w:line="252"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On April 1, 2023 we completed the acquisition of 100% of the ownership interests of Apex Crypto, LLC ("Apex Crypto"). We expect to leverage Apex Crypto's proprietary trading platform and existing relationships with liquidity providers to provide a wider range of assets and competitive pricing to our customers. We expect to recognize goodwill from the acquisition due to the assembled, experienced workforce and anticipated growth we expect to achieve from Apex’s sales pipeline and product capabilities .The total consideration as measured at April 1, 2023 included $55.0 million in cash, approximately $9.1 million in Class A common stock payable based on Apex Crypto’s performance in the fourth quarter of 2022, and $12.2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However, as of the acquisition date the Company does not anticipate paying the contingent consideration and no material fair value was attributed to the contingent consideration. The Company’s evaluation of the fair value of the contingent consideration and of the assets acquired and the liabilities assumed is preliminary. Accordingly, the adjustments to record the assets acquired and the liabilities assumed at fair value reflect the best estimates of the Company based on the information currently available and are subject to change once additional analyses are completed.</w:t>
      </w:r>
    </w:p>
    <w:p>
      <w:pPr>
        <w:spacing w:after="0" w:line="16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is a preliminary reconciliation of the fair value of consideration transferred in the acquisition to the fair value of the assets acquired and liabilities assumed.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ind w:left="20"/>
              <w:spacing w:after="0"/>
              <w:rPr>
                <w:sz w:val="20"/>
                <w:szCs w:val="20"/>
                <w:color w:val="auto"/>
              </w:rPr>
            </w:pPr>
            <w:r>
              <w:rPr>
                <w:rFonts w:ascii="Arial" w:cs="Arial" w:eastAsia="Arial" w:hAnsi="Arial"/>
                <w:sz w:val="14"/>
                <w:szCs w:val="14"/>
                <w:b w:val="1"/>
                <w:bCs w:val="1"/>
                <w:color w:val="auto"/>
              </w:rPr>
              <w:t>($ in millions)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consideration paid</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9760" w:type="dxa"/>
            <w:vAlign w:val="bottom"/>
          </w:tcPr>
          <w:p>
            <w:pPr>
              <w:ind w:left="240"/>
              <w:spacing w:after="0"/>
              <w:rPr>
                <w:sz w:val="20"/>
                <w:szCs w:val="20"/>
                <w:color w:val="auto"/>
              </w:rPr>
            </w:pPr>
            <w:r>
              <w:rPr>
                <w:rFonts w:ascii="Arial" w:cs="Arial" w:eastAsia="Arial" w:hAnsi="Arial"/>
                <w:sz w:val="18"/>
                <w:szCs w:val="18"/>
                <w:color w:val="auto"/>
              </w:rPr>
              <w:t>Cash paid working capital and cash</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at transaction close</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Estimated fair value of Class A common stock contingent consideration</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37"/>
        </w:trPr>
        <w:tc>
          <w:tcPr>
            <w:tcW w:w="976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6"/>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Safeguarding asset for crypto</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r>
      <w:tr>
        <w:trPr>
          <w:trHeight w:val="230"/>
        </w:trPr>
        <w:tc>
          <w:tcPr>
            <w:tcW w:w="9760" w:type="dxa"/>
            <w:vAlign w:val="bottom"/>
          </w:tcPr>
          <w:p>
            <w:pPr>
              <w:ind w:left="240"/>
              <w:spacing w:after="0"/>
              <w:rPr>
                <w:sz w:val="20"/>
                <w:szCs w:val="20"/>
                <w:color w:val="auto"/>
              </w:rPr>
            </w:pPr>
            <w:r>
              <w:rPr>
                <w:rFonts w:ascii="Arial" w:cs="Arial" w:eastAsia="Arial" w:hAnsi="Arial"/>
                <w:sz w:val="18"/>
                <w:szCs w:val="18"/>
                <w:color w:val="auto"/>
              </w:rPr>
              <w:t>Property, equipment and software, net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Non-current assets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9760" w:type="dxa"/>
            <w:vAlign w:val="bottom"/>
          </w:tcPr>
          <w:p>
            <w:pPr>
              <w:ind w:left="240"/>
              <w:spacing w:after="0"/>
              <w:rPr>
                <w:sz w:val="20"/>
                <w:szCs w:val="20"/>
                <w:color w:val="auto"/>
              </w:rPr>
            </w:pPr>
            <w:r>
              <w:rPr>
                <w:rFonts w:ascii="Arial" w:cs="Arial" w:eastAsia="Arial" w:hAnsi="Arial"/>
                <w:sz w:val="18"/>
                <w:szCs w:val="18"/>
                <w:color w:val="auto"/>
              </w:rPr>
              <w:t>Intangible assets - developed technology</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 customer relationships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97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36"/>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9760" w:type="dxa"/>
            <w:vAlign w:val="bottom"/>
          </w:tcPr>
          <w:p>
            <w:pPr>
              <w:ind w:left="240"/>
              <w:spacing w:after="0"/>
              <w:rPr>
                <w:sz w:val="20"/>
                <w:szCs w:val="20"/>
                <w:color w:val="auto"/>
              </w:rPr>
            </w:pPr>
            <w:r>
              <w:rPr>
                <w:rFonts w:ascii="Arial" w:cs="Arial" w:eastAsia="Arial" w:hAnsi="Arial"/>
                <w:sz w:val="18"/>
                <w:szCs w:val="18"/>
                <w:color w:val="auto"/>
              </w:rPr>
              <w:t>Safeguarding obligation for crypto</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w:t>
            </w:r>
          </w:p>
        </w:tc>
      </w:tr>
      <w:tr>
        <w:trPr>
          <w:trHeight w:val="23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r>
    </w:tbl>
    <w:p>
      <w:pPr>
        <w:spacing w:after="0" w:line="29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net revenue for the three months ended March 31, 2023 and March 31, 2022 would be $458.4 million and $1,308.3 million, respectively. Proforma net loss for the three months ended March 31, 2023 and March 31, 2022 would be $48.2 million and $53.5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Bumped Acquisition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On February 8, 2023, we acquired 100% of the units of Bumped Financial, LLC ("Bumped"), a broker-dealer registered with the SEC and the Financial Industry Regulatory Authority, Inc., for cash consideration of $631,000. Because of the limited scope of its historical operations we determined that substantially all of the purchase consideration in the transaction would be allocated to the in-place licenses Bumped held and as such have accounted for this as an asset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r>
              <w:rPr>
                <w:rFonts w:ascii="Arial" w:cs="Arial" w:eastAsia="Arial" w:hAnsi="Arial"/>
                <w:sz w:val="18"/>
                <w:szCs w:val="18"/>
                <w:b w:val="1"/>
                <w:bCs w:val="1"/>
                <w:color w:val="auto"/>
              </w:rPr>
              <w:t>5.  Goodwill and Intangible Assets, Net</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9740" w:type="dxa"/>
            <w:vAlign w:val="bottom"/>
          </w:tcPr>
          <w:p>
            <w:pPr>
              <w:ind w:left="660"/>
              <w:spacing w:after="0"/>
              <w:rPr>
                <w:sz w:val="20"/>
                <w:szCs w:val="20"/>
                <w:color w:val="auto"/>
              </w:rPr>
            </w:pPr>
            <w:r>
              <w:rPr>
                <w:rFonts w:ascii="Arial" w:cs="Arial" w:eastAsia="Arial" w:hAnsi="Arial"/>
                <w:sz w:val="18"/>
                <w:szCs w:val="18"/>
                <w:color w:val="auto"/>
              </w:rPr>
              <w:t>Changes in goodwill consisted of the following (in thousands):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9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15,852</w:t>
            </w:r>
          </w:p>
        </w:tc>
      </w:tr>
      <w:tr>
        <w:trPr>
          <w:trHeight w:val="230"/>
        </w:trPr>
        <w:tc>
          <w:tcPr>
            <w:tcW w:w="974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62"/>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goodwill impairment charges have been recognized in the periods presented.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8"/>
                <w:szCs w:val="18"/>
                <w:b w:val="1"/>
                <w:bCs w:val="1"/>
                <w:color w:val="auto"/>
              </w:rPr>
              <w:t>March 31, 2023</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58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88"/>
              </w:rPr>
              <w:t>Weighted Average</w:t>
            </w:r>
          </w:p>
        </w:tc>
        <w:tc>
          <w:tcPr>
            <w:tcW w:w="140" w:type="dxa"/>
            <w:vAlign w:val="bottom"/>
          </w:tcPr>
          <w:p>
            <w:pPr>
              <w:spacing w:after="0"/>
              <w:rPr>
                <w:sz w:val="13"/>
                <w:szCs w:val="13"/>
                <w:color w:val="auto"/>
              </w:rPr>
            </w:pPr>
          </w:p>
        </w:tc>
        <w:tc>
          <w:tcPr>
            <w:tcW w:w="136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w w:val="96"/>
              </w:rPr>
              <w:t>Gross Carrying</w:t>
            </w:r>
          </w:p>
        </w:tc>
        <w:tc>
          <w:tcPr>
            <w:tcW w:w="260" w:type="dxa"/>
            <w:vAlign w:val="bottom"/>
          </w:tcPr>
          <w:p>
            <w:pPr>
              <w:spacing w:after="0"/>
              <w:rPr>
                <w:sz w:val="13"/>
                <w:szCs w:val="13"/>
                <w:color w:val="auto"/>
              </w:rPr>
            </w:pPr>
          </w:p>
        </w:tc>
        <w:tc>
          <w:tcPr>
            <w:tcW w:w="134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w w:val="99"/>
              </w:rPr>
              <w:t>Accumulated</w:t>
            </w:r>
          </w:p>
        </w:tc>
        <w:tc>
          <w:tcPr>
            <w:tcW w:w="26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80" w:type="dxa"/>
            <w:vAlign w:val="bottom"/>
          </w:tcPr>
          <w:p>
            <w:pPr>
              <w:jc w:val="center"/>
              <w:ind w:right="14"/>
              <w:spacing w:after="0" w:line="162" w:lineRule="exact"/>
              <w:rPr>
                <w:sz w:val="20"/>
                <w:szCs w:val="20"/>
                <w:color w:val="auto"/>
              </w:rPr>
            </w:pPr>
            <w:r>
              <w:rPr>
                <w:rFonts w:ascii="Arial" w:cs="Arial" w:eastAsia="Arial" w:hAnsi="Arial"/>
                <w:sz w:val="16"/>
                <w:szCs w:val="16"/>
                <w:b w:val="1"/>
                <w:bCs w:val="1"/>
                <w:color w:val="auto"/>
                <w:w w:val="94"/>
              </w:rPr>
              <w:t>Useful Life (in</w:t>
            </w:r>
          </w:p>
        </w:tc>
        <w:tc>
          <w:tcPr>
            <w:tcW w:w="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580" w:type="dxa"/>
            <w:vAlign w:val="bottom"/>
          </w:tcPr>
          <w:p>
            <w:pPr>
              <w:jc w:val="center"/>
              <w:ind w:right="34"/>
              <w:spacing w:after="0"/>
              <w:rPr>
                <w:sz w:val="20"/>
                <w:szCs w:val="20"/>
                <w:color w:val="auto"/>
              </w:rPr>
            </w:pPr>
            <w:r>
              <w:rPr>
                <w:rFonts w:ascii="Arial" w:cs="Arial" w:eastAsia="Arial" w:hAnsi="Arial"/>
                <w:sz w:val="16"/>
                <w:szCs w:val="16"/>
                <w:b w:val="1"/>
                <w:bCs w:val="1"/>
                <w:color w:val="auto"/>
                <w:w w:val="88"/>
              </w:rPr>
              <w:t>years)</w:t>
            </w:r>
          </w:p>
        </w:tc>
        <w:tc>
          <w:tcPr>
            <w:tcW w:w="140" w:type="dxa"/>
            <w:vAlign w:val="bottom"/>
          </w:tcPr>
          <w:p>
            <w:pPr>
              <w:spacing w:after="0"/>
              <w:rPr>
                <w:sz w:val="18"/>
                <w:szCs w:val="18"/>
                <w:color w:val="auto"/>
              </w:rPr>
            </w:pPr>
          </w:p>
        </w:tc>
        <w:tc>
          <w:tcPr>
            <w:tcW w:w="1360" w:type="dxa"/>
            <w:vAlign w:val="bottom"/>
          </w:tcPr>
          <w:p>
            <w:pPr>
              <w:jc w:val="right"/>
              <w:ind w:right="392"/>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8"/>
                <w:szCs w:val="18"/>
                <w:color w:val="auto"/>
              </w:rPr>
            </w:pP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8"/>
                <w:szCs w:val="18"/>
                <w:color w:val="auto"/>
              </w:rPr>
            </w:pPr>
          </w:p>
        </w:tc>
        <w:tc>
          <w:tcPr>
            <w:tcW w:w="128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32"/>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8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5"/>
              </w:rPr>
              <w:t>Indefinite</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80" w:type="dxa"/>
            <w:vAlign w:val="bottom"/>
          </w:tcPr>
          <w:p>
            <w:pPr>
              <w:jc w:val="center"/>
              <w:ind w:right="34"/>
              <w:spacing w:after="0"/>
              <w:rPr>
                <w:sz w:val="20"/>
                <w:szCs w:val="20"/>
                <w:color w:val="auto"/>
              </w:rPr>
            </w:pPr>
            <w:r>
              <w:rPr>
                <w:rFonts w:ascii="Arial" w:cs="Arial" w:eastAsia="Arial" w:hAnsi="Arial"/>
                <w:sz w:val="18"/>
                <w:szCs w:val="18"/>
                <w:color w:val="auto"/>
                <w:w w:val="95"/>
              </w:rPr>
              <w:t>Indefinite</w:t>
            </w:r>
          </w:p>
        </w:tc>
        <w:tc>
          <w:tcPr>
            <w:tcW w:w="14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8,000</w:t>
            </w:r>
          </w:p>
        </w:tc>
        <w:tc>
          <w:tcPr>
            <w:tcW w:w="26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12,760</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80" w:type="dxa"/>
            <w:vAlign w:val="bottom"/>
          </w:tcPr>
          <w:p>
            <w:pPr>
              <w:jc w:val="right"/>
              <w:ind w:right="714"/>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44,970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36,777</w:t>
            </w:r>
          </w:p>
        </w:tc>
        <w:tc>
          <w:tcPr>
            <w:tcW w:w="0" w:type="dxa"/>
            <w:vAlign w:val="bottom"/>
          </w:tcPr>
          <w:p>
            <w:pPr>
              <w:spacing w:after="0"/>
              <w:rPr>
                <w:sz w:val="1"/>
                <w:szCs w:val="1"/>
                <w:color w:val="auto"/>
              </w:rPr>
            </w:pPr>
          </w:p>
        </w:tc>
      </w:tr>
      <w:tr>
        <w:trPr>
          <w:trHeight w:val="262"/>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66,341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56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3"/>
                <w:szCs w:val="13"/>
                <w:color w:val="auto"/>
              </w:rPr>
            </w:pPr>
          </w:p>
        </w:tc>
        <w:tc>
          <w:tcPr>
            <w:tcW w:w="134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280" w:type="dxa"/>
            <w:vAlign w:val="bottom"/>
          </w:tcPr>
          <w:p>
            <w:pPr>
              <w:spacing w:after="0"/>
              <w:rPr>
                <w:sz w:val="13"/>
                <w:szCs w:val="13"/>
                <w:color w:val="auto"/>
              </w:rPr>
            </w:pPr>
          </w:p>
        </w:tc>
        <w:tc>
          <w:tcPr>
            <w:tcW w:w="148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w w:val="97"/>
              </w:rPr>
              <w:t>Accumulated</w:t>
            </w: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42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Impairment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15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Amortization</w:t>
            </w:r>
          </w:p>
        </w:tc>
        <w:tc>
          <w:tcPr>
            <w:tcW w:w="14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3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241,320</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60" w:type="dxa"/>
            <w:vAlign w:val="bottom"/>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39,470</w:t>
            </w:r>
          </w:p>
        </w:tc>
        <w:tc>
          <w:tcPr>
            <w:tcW w:w="280" w:type="dxa"/>
            <w:vAlign w:val="bottom"/>
          </w:tcPr>
          <w:p>
            <w:pPr>
              <w:spacing w:after="0"/>
              <w:rPr>
                <w:sz w:val="19"/>
                <w:szCs w:val="19"/>
                <w:color w:val="auto"/>
              </w:rPr>
            </w:pPr>
          </w:p>
        </w:tc>
        <w:tc>
          <w:tcPr>
            <w:tcW w:w="14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(31,470)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67,310</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(19,605)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Borders>
              <w:bottom w:val="single" w:sz="8" w:color="CCEEFF"/>
            </w:tcBorders>
          </w:tcPr>
          <w:p>
            <w:pPr>
              <w:jc w:val="right"/>
              <w:ind w:right="694"/>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44,970</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(6,807)</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38,163</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393,070</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(26,412)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Amortization of intangible assets for the three months ended March 31, 2023 and March 31, 2022 was $2.0 million and $5.4 million, respectively, and is included in “Depreciation and amortization” in the statements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future amortization for definite-lived intangible assets as of March 31, 2023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2023</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45,817</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Consolidated Balance Sheet Components</w:t>
            </w:r>
          </w:p>
        </w:tc>
        <w:tc>
          <w:tcPr>
            <w:tcW w:w="2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040" w:type="dxa"/>
            <w:vAlign w:val="bottom"/>
          </w:tcPr>
          <w:p>
            <w:pPr>
              <w:spacing w:after="0"/>
              <w:rPr>
                <w:sz w:val="20"/>
                <w:szCs w:val="20"/>
                <w:color w:val="auto"/>
              </w:rPr>
            </w:pPr>
            <w:r>
              <w:rPr>
                <w:rFonts w:ascii="Arial" w:cs="Arial" w:eastAsia="Arial" w:hAnsi="Arial"/>
                <w:sz w:val="18"/>
                <w:szCs w:val="18"/>
                <w:color w:val="auto"/>
              </w:rPr>
              <w:t>Accounts receivable, net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16,284</w:t>
            </w:r>
          </w:p>
        </w:tc>
        <w:tc>
          <w:tcPr>
            <w:tcW w:w="0" w:type="dxa"/>
            <w:vAlign w:val="bottom"/>
          </w:tcPr>
          <w:p>
            <w:pPr>
              <w:spacing w:after="0"/>
              <w:rPr>
                <w:sz w:val="1"/>
                <w:szCs w:val="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Total accounts receivable</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25,604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25,516</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704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040" w:type="dxa"/>
            <w:vAlign w:val="bottom"/>
          </w:tcPr>
          <w:p>
            <w:pPr>
              <w:spacing w:after="0"/>
              <w:rPr>
                <w:sz w:val="20"/>
                <w:szCs w:val="20"/>
                <w:color w:val="auto"/>
              </w:rPr>
            </w:pPr>
            <w:r>
              <w:rPr>
                <w:rFonts w:ascii="Arial" w:cs="Arial" w:eastAsia="Arial" w:hAnsi="Arial"/>
                <w:sz w:val="18"/>
                <w:szCs w:val="18"/>
                <w:color w:val="auto"/>
              </w:rPr>
              <w:t>Other current assets consisted of the following (in thousands):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0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March 31, 2023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7,624</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March 31, 2023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Other computer and network equipment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Property, equipment and software, gross</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21,619</w:t>
            </w:r>
          </w:p>
        </w:tc>
        <w:tc>
          <w:tcPr>
            <w:tcW w:w="0" w:type="dxa"/>
            <w:vAlign w:val="bottom"/>
          </w:tcPr>
          <w:p>
            <w:pPr>
              <w:spacing w:after="0"/>
              <w:rPr>
                <w:sz w:val="1"/>
                <w:szCs w:val="1"/>
                <w:color w:val="auto"/>
              </w:rPr>
            </w:pP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 and depreciation</w:t>
            </w:r>
          </w:p>
        </w:tc>
        <w:tc>
          <w:tcPr>
            <w:tcW w:w="2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3"/>
        </w:trPr>
        <w:tc>
          <w:tcPr>
            <w:tcW w:w="704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For the three months ended March 31, 2023 and 2022, depreciation and amortization expense related to property, equipment and software amounted to approximately $1.0 million and $0.5 million, respectively, of which $0.3 million and $0.1 million, respectively, related to amortization expense of capitalized internal-use software placed in service.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with Clearinghouse</w:t>
      </w:r>
    </w:p>
    <w:p>
      <w:pPr>
        <w:spacing w:after="0" w:line="26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Deposits with clearinghouse consisted of the default resource contribution as described in Note 8, as well as other deposits with a different clearinghouse. Total deposits at clearinghouses amounted to $15.3 million and $15.2 million as of March 31, 2023 and December 31, 2022, respectively.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720" w:type="dxa"/>
            <w:vAlign w:val="bottom"/>
          </w:tcPr>
          <w:p>
            <w:pPr>
              <w:spacing w:after="0"/>
              <w:rPr>
                <w:sz w:val="20"/>
                <w:szCs w:val="20"/>
                <w:color w:val="auto"/>
              </w:rPr>
            </w:pPr>
            <w:r>
              <w:rPr>
                <w:rFonts w:ascii="Arial" w:cs="Arial" w:eastAsia="Arial" w:hAnsi="Arial"/>
                <w:sz w:val="18"/>
                <w:szCs w:val="18"/>
                <w:color w:val="auto"/>
              </w:rPr>
              <w:t>Other assets consisted of the following (in thousands):</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19,632</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7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72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Accounts Payable and Accrued Liabilities</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040" w:type="dxa"/>
            <w:vAlign w:val="bottom"/>
          </w:tcPr>
          <w:p>
            <w:pPr>
              <w:spacing w:after="0"/>
              <w:rPr>
                <w:sz w:val="20"/>
                <w:szCs w:val="20"/>
                <w:color w:val="auto"/>
              </w:rPr>
            </w:pPr>
            <w:r>
              <w:rPr>
                <w:rFonts w:ascii="Arial" w:cs="Arial" w:eastAsia="Arial" w:hAnsi="Arial"/>
                <w:sz w:val="18"/>
                <w:szCs w:val="18"/>
                <w:color w:val="auto"/>
              </w:rPr>
              <w:t>Accounts payable and accrued liabilities consisted of the following (in thousands):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25,975</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15,537</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Purchasing card payable</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Salaries and benefits payable</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49,018</w:t>
            </w:r>
          </w:p>
        </w:tc>
        <w:tc>
          <w:tcPr>
            <w:tcW w:w="2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66,787</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March 31, 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 units liability, current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Current maturities of operating lease liability</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6"/>
        </w:trPr>
        <w:tc>
          <w:tcPr>
            <w:tcW w:w="704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4,313</w:t>
            </w:r>
          </w:p>
        </w:tc>
        <w:tc>
          <w:tcPr>
            <w:tcW w:w="2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040" w:type="dxa"/>
            <w:vAlign w:val="bottom"/>
          </w:tcPr>
          <w:p>
            <w:pPr>
              <w:spacing w:after="0"/>
              <w:rPr>
                <w:sz w:val="20"/>
                <w:szCs w:val="20"/>
                <w:color w:val="auto"/>
              </w:rPr>
            </w:pPr>
            <w:r>
              <w:rPr>
                <w:rFonts w:ascii="Arial" w:cs="Arial" w:eastAsia="Arial" w:hAnsi="Arial"/>
                <w:sz w:val="18"/>
                <w:szCs w:val="18"/>
                <w:color w:val="auto"/>
              </w:rPr>
              <w:t>Other noncurrent liabilities consisted of the following (in thousands):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26,277</w:t>
            </w:r>
          </w:p>
        </w:tc>
        <w:tc>
          <w:tcPr>
            <w:tcW w:w="2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23,402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75"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March 31, 2023, 22,678,761 Opco common units had been exchanged for Class A common stock. Refer to Note 14 regarding the contingency related to the TRA.</w:t>
      </w:r>
    </w:p>
    <w:p>
      <w:pPr>
        <w:spacing w:after="0" w:line="16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ICE Management and Technical Support</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Upon consummation of the VIH Business Combination, we entered into a Transition Services Agreement (the “TSA”) with ICE, pursuant to which ICE provides insurance, digital warehouse, data center, technical support, and other transition-related services in exchange for quarterly service fees payable by us. We recognized $0.6 million and $0.4 million of expense related to the TSA for the three months ended March 31, 2023 and March 31, 2022, respectively, which is reflected as “Related party expenses” in the consolidated statements of operations and “Due to related party in the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Triparty Agreement</w:t>
      </w:r>
    </w:p>
    <w:p>
      <w:pPr>
        <w:spacing w:after="0" w:line="2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Digital Currency Trading, Clearing, and Warehouse Services Agreement ("Triparty Agreement") provides for ICE Futures U.S., Inc. ("IFUS") to list for trading one or more digital currency futures and/or options contracts, and for ICE Clear US, Inc. ("ICUS") to serve as the clearing house to provide central counterparty and ancillary services for such contracts. The Triparty Agreement does not currently have a material effect on the consolidated financial statements.</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recognized revenues related to the Triparty Agreement of less than $0.1 million for both the three months ended March 31, 2023 and March 31, 2022, net of rebates and incentive payments (contra-revenue) of less than $0.1 million for both the three months ended March 31, 2023 and March 31, 2022.</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Triparty Agreement also required Bakkt Trust to make, and, subject to certain limits, to replenish as needed a contribution to ICUS, to be used by ICUS in accordance with the ICUS rules. The contribution requirement was $15.2 million as of March 31, 2023 and March 31, 2022. The contribution is reflected as “Deposits with clearinghouse” in the consolidated balance sheets.</w:t>
      </w:r>
    </w:p>
    <w:p>
      <w:pPr>
        <w:spacing w:after="0" w:line="17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As of March 31, 2023 and December 31, 2022, we had approximately $0.5 million and approximately $1.2 million, respectively, reflected as “Due to related party” in the consolidated balance sheets related to the TSA and Triparty Agreement. As of March 31, 2023 and December 31, 2022, we had no amount recorded within “Accounts receivable, net” in the consolidated balance sheets related to the Triparty Agreement.</w:t>
      </w:r>
    </w:p>
    <w:p>
      <w:pPr>
        <w:spacing w:after="0" w:line="16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March 31, 2023 and December 31, 2022, there were 7,140,808 public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During the three months ended March 31, 2023, we did not receive any proceeds from the exercise of the public warrants. During the three months ended March 31, 2022, we received less than $0.1 million in proceeds from the exercise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357" w:lineRule="auto"/>
        <w:rPr>
          <w:sz w:val="20"/>
          <w:szCs w:val="20"/>
          <w:color w:val="auto"/>
        </w:rPr>
      </w:pPr>
      <w:r>
        <w:rPr>
          <w:rFonts w:ascii="Arial" w:cs="Arial" w:eastAsia="Arial" w:hAnsi="Arial"/>
          <w:sz w:val="17"/>
          <w:szCs w:val="17"/>
          <w:color w:val="auto"/>
        </w:rPr>
        <w:t>of the public warrants. We recognized a loss from the change in fair value of the warrant liability during the three months ended March 31, 2023 of $1.0 million. We recognized a gain from the change in fair value of the warrant liability during the three months ended March 31, 2022 of $2.4 million.</w:t>
      </w:r>
    </w:p>
    <w:p>
      <w:pPr>
        <w:spacing w:after="0" w:line="130" w:lineRule="exact"/>
        <w:rPr>
          <w:sz w:val="20"/>
          <w:szCs w:val="20"/>
          <w:color w:val="auto"/>
        </w:rPr>
      </w:pPr>
    </w:p>
    <w:p>
      <w:pPr>
        <w:ind w:right="9300" w:firstLine="8"/>
        <w:spacing w:after="0" w:line="574" w:lineRule="auto"/>
        <w:tabs>
          <w:tab w:leader="none" w:pos="324"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Preferred Stock</w:t>
      </w:r>
    </w:p>
    <w:p>
      <w:pPr>
        <w:jc w:val="both"/>
        <w:ind w:firstLine="648"/>
        <w:spacing w:after="0" w:line="328" w:lineRule="auto"/>
        <w:rPr>
          <w:sz w:val="20"/>
          <w:szCs w:val="20"/>
          <w:color w:val="auto"/>
        </w:rPr>
      </w:pPr>
      <w:r>
        <w:rPr>
          <w:rFonts w:ascii="Arial" w:cs="Arial" w:eastAsia="Arial" w:hAnsi="Arial"/>
          <w:sz w:val="17"/>
          <w:szCs w:val="17"/>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March 31, 2023, no shares of preferred stock have been issued.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are authorized to issue 750,000,000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March 31, 2023 and December 31, 2022, there were 82,624,773 and 80,926,843 shares of Class A common stock issued and outstanding,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March 31, 2023, no dividends have been declared.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We are authorized to issue 250,000,000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to exchange their Paired Interests for Class A common stock or, at our election, cash in lieu thereof. During the three months ended March 31, 2023, holders of Paired Interests exchanged 0.2 million Paired Interests for our Class A common stock, and the Company did not elect to settle any such exchanges in cash. As of March 31, 2023 and December 31, 2022, there were 183,279,887 and 183,482,777 shares of Class V common stock issued and outstanding,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 will not be declared or paid on the Class V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shall not be entitled to receive any of our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ownership interest in Opco as of March 31, 2023 and December 31, 2022.</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40" w:type="dxa"/>
            <w:vAlign w:val="bottom"/>
          </w:tcPr>
          <w:p>
            <w:pPr>
              <w:spacing w:after="0"/>
              <w:rPr>
                <w:sz w:val="21"/>
                <w:szCs w:val="21"/>
                <w:color w:val="auto"/>
              </w:rPr>
            </w:pPr>
          </w:p>
        </w:tc>
        <w:tc>
          <w:tcPr>
            <w:tcW w:w="3260" w:type="dxa"/>
            <w:vAlign w:val="bottom"/>
            <w:tcBorders>
              <w:top w:val="single" w:sz="8" w:color="auto"/>
              <w:bottom w:val="single" w:sz="8" w:color="auto"/>
            </w:tcBorders>
            <w:gridSpan w:val="2"/>
          </w:tcPr>
          <w:p>
            <w:pPr>
              <w:jc w:val="right"/>
              <w:ind w:right="95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Pr>
          <w:p>
            <w:pPr>
              <w:spacing w:after="0"/>
              <w:rPr>
                <w:sz w:val="21"/>
                <w:szCs w:val="21"/>
                <w:color w:val="auto"/>
              </w:rPr>
            </w:pPr>
          </w:p>
        </w:tc>
        <w:tc>
          <w:tcPr>
            <w:tcW w:w="3260" w:type="dxa"/>
            <w:vAlign w:val="bottom"/>
            <w:tcBorders>
              <w:top w:val="single" w:sz="8" w:color="auto"/>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740" w:type="dxa"/>
            <w:vAlign w:val="bottom"/>
          </w:tcPr>
          <w:p>
            <w:pPr>
              <w:jc w:val="right"/>
              <w:ind w:right="630"/>
              <w:spacing w:after="0" w:line="173" w:lineRule="exact"/>
              <w:rPr>
                <w:sz w:val="20"/>
                <w:szCs w:val="20"/>
                <w:color w:val="auto"/>
              </w:rPr>
            </w:pPr>
            <w:r>
              <w:rPr>
                <w:rFonts w:ascii="Arial" w:cs="Arial" w:eastAsia="Arial" w:hAnsi="Arial"/>
                <w:sz w:val="18"/>
                <w:szCs w:val="18"/>
                <w:b w:val="1"/>
                <w:bCs w:val="1"/>
                <w:color w:val="auto"/>
              </w:rPr>
              <w:t>Opco</w:t>
            </w:r>
          </w:p>
        </w:tc>
        <w:tc>
          <w:tcPr>
            <w:tcW w:w="15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Ownership %</w:t>
            </w:r>
          </w:p>
        </w:tc>
        <w:tc>
          <w:tcPr>
            <w:tcW w:w="80" w:type="dxa"/>
            <w:vAlign w:val="bottom"/>
          </w:tcPr>
          <w:p>
            <w:pPr>
              <w:spacing w:after="0"/>
              <w:rPr>
                <w:sz w:val="15"/>
                <w:szCs w:val="15"/>
                <w:color w:val="auto"/>
              </w:rPr>
            </w:pPr>
          </w:p>
        </w:tc>
        <w:tc>
          <w:tcPr>
            <w:tcW w:w="1760" w:type="dxa"/>
            <w:vAlign w:val="bottom"/>
          </w:tcPr>
          <w:p>
            <w:pPr>
              <w:jc w:val="right"/>
              <w:ind w:right="630"/>
              <w:spacing w:after="0" w:line="173" w:lineRule="exact"/>
              <w:rPr>
                <w:sz w:val="20"/>
                <w:szCs w:val="20"/>
                <w:color w:val="auto"/>
              </w:rPr>
            </w:pPr>
            <w:r>
              <w:rPr>
                <w:rFonts w:ascii="Arial" w:cs="Arial" w:eastAsia="Arial" w:hAnsi="Arial"/>
                <w:sz w:val="18"/>
                <w:szCs w:val="18"/>
                <w:b w:val="1"/>
                <w:bCs w:val="1"/>
                <w:color w:val="auto"/>
              </w:rPr>
              <w:t>Opco</w:t>
            </w:r>
          </w:p>
        </w:tc>
        <w:tc>
          <w:tcPr>
            <w:tcW w:w="15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Common Units</w:t>
            </w:r>
          </w:p>
        </w:tc>
        <w:tc>
          <w:tcPr>
            <w:tcW w:w="15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Common Units</w:t>
            </w: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common units held by Bakkt Holdings, Inc.</w:t>
            </w: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82,624,773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80,926,843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w w:val="98"/>
              </w:rPr>
              <w:t>Opco common units held by noncontrolling interest holders</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183,279,887</w:t>
            </w:r>
          </w:p>
        </w:tc>
        <w:tc>
          <w:tcPr>
            <w:tcW w:w="1520" w:type="dxa"/>
            <w:vAlign w:val="bottom"/>
          </w:tcPr>
          <w:p>
            <w:pPr>
              <w:jc w:val="right"/>
              <w:spacing w:after="0"/>
              <w:rPr>
                <w:sz w:val="20"/>
                <w:szCs w:val="20"/>
                <w:color w:val="auto"/>
              </w:rPr>
            </w:pPr>
            <w:r>
              <w:rPr>
                <w:rFonts w:ascii="Arial" w:cs="Arial" w:eastAsia="Arial" w:hAnsi="Arial"/>
                <w:sz w:val="18"/>
                <w:szCs w:val="18"/>
                <w:color w:val="auto"/>
              </w:rPr>
              <w:t>69 %</w:t>
            </w:r>
          </w:p>
        </w:tc>
        <w:tc>
          <w:tcPr>
            <w:tcW w:w="1840" w:type="dxa"/>
            <w:vAlign w:val="bottom"/>
            <w:gridSpan w:val="2"/>
          </w:tcPr>
          <w:p>
            <w:pPr>
              <w:jc w:val="right"/>
              <w:ind w:right="70"/>
              <w:spacing w:after="0"/>
              <w:rPr>
                <w:sz w:val="20"/>
                <w:szCs w:val="20"/>
                <w:color w:val="auto"/>
              </w:rPr>
            </w:pPr>
            <w:r>
              <w:rPr>
                <w:rFonts w:ascii="Arial" w:cs="Arial" w:eastAsia="Arial" w:hAnsi="Arial"/>
                <w:sz w:val="18"/>
                <w:szCs w:val="18"/>
                <w:color w:val="auto"/>
              </w:rPr>
              <w:t>183,482,777</w:t>
            </w:r>
          </w:p>
        </w:tc>
        <w:tc>
          <w:tcPr>
            <w:tcW w:w="150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Opco common units outstanding</w:t>
            </w:r>
          </w:p>
        </w:tc>
        <w:tc>
          <w:tcPr>
            <w:tcW w:w="17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265,904,660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264,409,620</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three months ended March 31, 2023 was 68.9%.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Equity</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Prior to the VIH Business Combination, Opco had three classes of voting units – Class A, Class B and Class C voting units – and incentive units granted under the Opco Incentive Equity Plan (the “Opco Plan”).</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In connection with the VIH Business Combination, the Opco equity holders converted 400,000,000 Opco Class A voting units, 192,453,454 Opco Class B voting units, and 270,270,270 Opco Class C voting units to 189,933,286 shares of Class V common stock on a pro rata basis. Additionally, we issued 17,473,362 shares of Class V common stock related to the outstanding Opco incentive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Class C Warrant</w:t>
      </w:r>
    </w:p>
    <w:p>
      <w:pPr>
        <w:spacing w:after="0" w:line="252"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auto"/>
        </w:rPr>
        <w:t>In May, 2020, Opco issued a warrant to a minority investor to purchase 3,603,600 of Opco’s Class C voting units (“Class C Warrant”), at an exercise price of $1.11 per unit. Refer to Note 10 to the consolidated financial statements included in our Form 10-K for additional information.</w:t>
      </w:r>
    </w:p>
    <w:p>
      <w:pPr>
        <w:spacing w:after="0" w:line="13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In connection with the VIH Business Combination, the modified warrant units automatically converted into the right to purchase 793,352 Paired Interests in Opco at an exercise price of $5.04 per Paired Interest. As of March 31, 2023, 172,055 modified warrant units have vested but have not been exercised, and the remaining 621,297 warrant units have not vested or been exercised. No expenses were recorded during the three months ended March 31, 2023 and March 31, 2022, since the service conditions were not probable of being met in those periods.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560" w:firstLine="8"/>
        <w:spacing w:after="0" w:line="542" w:lineRule="auto"/>
        <w:tabs>
          <w:tab w:leader="none" w:pos="31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except under limited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During the three months ended March 31, 2023, we granted 4,511,371 RSUs to employees and directors. During the three months ended March 31, 2023, we did not grant any PSUs. During the three months ended March 31, 2022, we granted 6,969,070 RSUs and 4,865,378 PSUs, which represents 100% of the target award, to employees and directors. We recorded $5.9 million and $10.9 million of share-based compensation expense related to RSUs for the three months ended March 31, 2023 and March 31, 2022, respectively. We recorded $1.4 million and $1.7 million of share-based compensation expense related to PSUs for the three months ended March 31, 2023 and March 31, 2022, respectively. Share-based compensation expense for both RSUs and PSUs is included in “Compensation and benefits” in the consolidated statements of operations.</w:t>
      </w:r>
    </w:p>
    <w:p>
      <w:pPr>
        <w:spacing w:after="0" w:line="170"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Unrecognized compensation expense as of March 31, 2023 and December 31, 2022 was $27.9 million and $29.9 million, respectively, for the RSUs and PSUs. The unrecognized compensation expense as of March 31, 2023 and December 31, 2022 will be recognized over a weighted-average period of 2.02 years and 2.05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and PSU Activity</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following tables summarize RSU and PSU activity under the 2021 Incentive Plan for the three months ended March 31, 2023 (in thousands, except per unit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Number of RSUs and</w:t>
            </w:r>
          </w:p>
        </w:tc>
        <w:tc>
          <w:tcPr>
            <w:tcW w:w="120" w:type="dxa"/>
            <w:vAlign w:val="bottom"/>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2"/>
              </w:rPr>
              <w:t>Contractual Term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5"/>
              </w:rPr>
              <w:t>Grant Date 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tcBorders>
              <w:bottom w:val="single" w:sz="8" w:color="CCEEFF"/>
            </w:tcBorders>
          </w:tcPr>
          <w:p>
            <w:pPr>
              <w:ind w:left="1400"/>
              <w:spacing w:after="0"/>
              <w:rPr>
                <w:sz w:val="20"/>
                <w:szCs w:val="20"/>
                <w:color w:val="auto"/>
              </w:rPr>
            </w:pPr>
            <w:r>
              <w:rPr>
                <w:rFonts w:ascii="Arial" w:cs="Arial" w:eastAsia="Arial" w:hAnsi="Arial"/>
                <w:sz w:val="18"/>
                <w:szCs w:val="18"/>
                <w:b w:val="1"/>
                <w:bCs w:val="1"/>
                <w:color w:val="auto"/>
              </w:rPr>
              <w:t>RSUs and PSUs</w:t>
            </w: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PSUs</w:t>
            </w:r>
          </w:p>
        </w:tc>
        <w:tc>
          <w:tcPr>
            <w:tcW w:w="1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4,511</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6,677</w:t>
            </w: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March 31, 2023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During the three months ended March 31, 2023, we recorded $2.1 million of share-based compensation expense related to the accelerated vesting for certain employees that were terminated, which is included in “Restructuring expenses” in the consolidated statements of operations. We also recorded reversal of share-based compensation expense of $0.3 million during the three months ended March 31, 2023 for forfeitures of RSUs, primarily related to the Company's restructuring efforts.</w:t>
      </w:r>
    </w:p>
    <w:p>
      <w:pPr>
        <w:spacing w:after="0" w:line="17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fair value of the RSUs and PSUs used in determining share-based compensation expense is based on the closing price of our common stock on the grant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PSUs provide an opportunity for the recipient to receive a number of shares of our common stock based on our performance during fiscal years 2022, 2023 and 2024, as measured against objective performance goals as determined by the Board. The actual number of units earned may range from 0% to 150% of the target number of units depending upon achievement of the performance goals. PSUs vest in three equal annual installments, subject to a catch-up provision over the three annual performance targets. Upon vesting, each performance stock unit equals one share of common stock of the Company. We accrue compensation expense for the PSUs based on our assessment of the probable outcome of the performance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 Plan</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Because participation units are settled in cash, Opco classifies participation units as liability awards on its consolidated balance sheets. Refer to Note 11 to our consolidated financial statements included in our Form 10-K where the modifications to the Opco Plan are described in detail.</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the one-year anniversary of the Closing Date and the third tranche will vest on the two-year anniversary of the Closing Date, although under the terms of the Opco Plan, employees who are terminated without cause after the Closing Date will vest in the unvested portion of their awards immediately upon their termination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Unit-based compensation expense for the three months ended March 31, 2023 and March 31, 2022, was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Type of unit</w:t>
            </w:r>
          </w:p>
        </w:tc>
        <w:tc>
          <w:tcPr>
            <w:tcW w:w="120" w:type="dxa"/>
            <w:vAlign w:val="bottom"/>
          </w:tcPr>
          <w:p>
            <w:pPr>
              <w:spacing w:after="0"/>
              <w:rPr>
                <w:sz w:val="16"/>
                <w:szCs w:val="16"/>
                <w:color w:val="auto"/>
              </w:rPr>
            </w:pPr>
          </w:p>
        </w:tc>
        <w:tc>
          <w:tcPr>
            <w:tcW w:w="1600" w:type="dxa"/>
            <w:vAlign w:val="bottom"/>
          </w:tcPr>
          <w:p>
            <w:pPr>
              <w:jc w:val="right"/>
              <w:ind w:right="34"/>
              <w:spacing w:after="0"/>
              <w:rPr>
                <w:sz w:val="20"/>
                <w:szCs w:val="20"/>
                <w:color w:val="auto"/>
              </w:rPr>
            </w:pPr>
            <w:r>
              <w:rPr>
                <w:rFonts w:ascii="Arial" w:cs="Arial" w:eastAsia="Arial" w:hAnsi="Arial"/>
                <w:sz w:val="16"/>
                <w:szCs w:val="16"/>
                <w:b w:val="1"/>
                <w:bCs w:val="1"/>
                <w:color w:val="auto"/>
                <w:w w:val="92"/>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34"/>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incentive unit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Participation unit</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Unrecognized compensation expense as of March 31, 2023 was $0.8 million for common incentive units. The unrecognized compensation expense will be recognized over a weighted-average period of 0.54 years. There was no unrecognized compensation expense for participation units as of March 31, 2023.</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Unrecognized compensation expense as of December 31, 2022 was $1.4 million for common incentive units. The unrecognized compensation expense will be recognized over a weighted-average period of 0.79 years. There was no unrecognized compensation expense for participation units as of December 31,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Activity</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following table summarizes common incentive unit activity under the Opco Plan for the three months ended March 31, 2023 (in thousands, except per unit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7"/>
                <w:szCs w:val="17"/>
                <w:color w:val="auto"/>
              </w:rPr>
            </w:pPr>
          </w:p>
        </w:tc>
        <w:tc>
          <w:tcPr>
            <w:tcW w:w="15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Weighted Average</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Number of Common</w:t>
            </w: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72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3"/>
              </w:rPr>
              <w:t>Contractual Term</w:t>
            </w:r>
          </w:p>
        </w:tc>
        <w:tc>
          <w:tcPr>
            <w:tcW w:w="120" w:type="dxa"/>
            <w:vAlign w:val="bottom"/>
          </w:tcPr>
          <w:p>
            <w:pPr>
              <w:spacing w:after="0"/>
              <w:rPr>
                <w:sz w:val="16"/>
                <w:szCs w:val="16"/>
                <w:color w:val="auto"/>
              </w:rPr>
            </w:pPr>
          </w:p>
        </w:tc>
        <w:tc>
          <w:tcPr>
            <w:tcW w:w="1560" w:type="dxa"/>
            <w:vAlign w:val="bottom"/>
          </w:tcPr>
          <w:p>
            <w:pPr>
              <w:jc w:val="center"/>
              <w:ind w:right="10"/>
              <w:spacing w:after="0" w:line="184" w:lineRule="exact"/>
              <w:rPr>
                <w:sz w:val="20"/>
                <w:szCs w:val="20"/>
                <w:color w:val="auto"/>
              </w:rPr>
            </w:pPr>
            <w:r>
              <w:rPr>
                <w:rFonts w:ascii="Arial" w:cs="Arial" w:eastAsia="Arial" w:hAnsi="Arial"/>
                <w:sz w:val="18"/>
                <w:szCs w:val="18"/>
                <w:b w:val="1"/>
                <w:bCs w:val="1"/>
                <w:color w:val="auto"/>
                <w:w w:val="96"/>
              </w:rPr>
              <w:t>Grant Date Fair</w:t>
            </w:r>
          </w:p>
        </w:tc>
        <w:tc>
          <w:tcPr>
            <w:tcW w:w="1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1240"/>
              <w:spacing w:after="0"/>
              <w:rPr>
                <w:sz w:val="20"/>
                <w:szCs w:val="20"/>
                <w:color w:val="auto"/>
              </w:rPr>
            </w:pPr>
            <w:r>
              <w:rPr>
                <w:rFonts w:ascii="Arial" w:cs="Arial" w:eastAsia="Arial" w:hAnsi="Arial"/>
                <w:sz w:val="18"/>
                <w:szCs w:val="18"/>
                <w:b w:val="1"/>
                <w:bCs w:val="1"/>
                <w:color w:val="auto"/>
              </w:rPr>
              <w:t>Common Incentive Units</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Incentive Units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20"/>
                <w:szCs w:val="20"/>
                <w:color w:val="auto"/>
              </w:rPr>
            </w:pPr>
          </w:p>
        </w:tc>
        <w:tc>
          <w:tcPr>
            <w:tcW w:w="15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67,635</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March 31, 2023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summarizes common incentive unit activity under the Opco Plan for the three months ended March 31, 2022 (in thousands,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Number of Common</w:t>
            </w:r>
          </w:p>
        </w:tc>
        <w:tc>
          <w:tcPr>
            <w:tcW w:w="17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156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5"/>
                <w:szCs w:val="15"/>
                <w:color w:val="auto"/>
              </w:rPr>
            </w:pPr>
          </w:p>
        </w:tc>
        <w:tc>
          <w:tcPr>
            <w:tcW w:w="16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Aggregate Intrinsic</w:t>
            </w:r>
          </w:p>
        </w:tc>
        <w:tc>
          <w:tcPr>
            <w:tcW w:w="0" w:type="dxa"/>
            <w:vAlign w:val="bottom"/>
          </w:tcPr>
          <w:p>
            <w:pPr>
              <w:spacing w:after="0"/>
              <w:rPr>
                <w:sz w:val="1"/>
                <w:szCs w:val="1"/>
                <w:color w:val="auto"/>
              </w:rPr>
            </w:pPr>
          </w:p>
        </w:tc>
      </w:tr>
      <w:tr>
        <w:trPr>
          <w:trHeight w:val="175"/>
        </w:trPr>
        <w:tc>
          <w:tcPr>
            <w:tcW w:w="436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Common Incentive Units</w:t>
            </w:r>
          </w:p>
        </w:tc>
        <w:tc>
          <w:tcPr>
            <w:tcW w:w="1700" w:type="dxa"/>
            <w:vAlign w:val="bottom"/>
            <w:vMerge w:val="continue"/>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14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1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360" w:type="dxa"/>
            <w:vAlign w:val="bottom"/>
            <w:vMerge w:val="continue"/>
          </w:tcPr>
          <w:p>
            <w:pPr>
              <w:spacing w:after="0"/>
              <w:rPr>
                <w:sz w:val="20"/>
                <w:szCs w:val="20"/>
                <w:color w:val="auto"/>
              </w:rPr>
            </w:pP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Incentive Units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133,240</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March 31, 2022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131,050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There were no participation units granted during the three months ended March 31, 2023 or March 31, 2022. As of March 31, 2023 and December 31, 2022, the total number of participation units outstanding was 0.2 million and 0.2 million, respectively. The fair value of the participation units as of March 31, 2023 and December 31, 2022 was 0.4 million and 0.3 million, respectively. We made cash payments of less than $0.1 million to settle vested participation units during the three months ended March 31, 2023. We did not make any cash payments to settle vested participation units during the three months ended March 31, 2022. Participation units are settled in cash and the balance is recorded within other current liabilities and other noncurrent liabilities as described in Note 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conditions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9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a unit is expected to be outstanding.</w:t>
      </w:r>
    </w:p>
    <w:p>
      <w:pPr>
        <w:spacing w:after="0" w:line="252" w:lineRule="exact"/>
        <w:rPr>
          <w:rFonts w:ascii="Arial" w:cs="Arial" w:eastAsia="Arial" w:hAnsi="Arial"/>
          <w:sz w:val="18"/>
          <w:szCs w:val="18"/>
          <w:color w:val="auto"/>
        </w:rPr>
      </w:pPr>
    </w:p>
    <w:p>
      <w:pPr>
        <w:ind w:left="660" w:hanging="328"/>
        <w:spacing w:after="0" w:line="32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156" w:lineRule="exact"/>
        <w:rPr>
          <w:rFonts w:ascii="Arial" w:cs="Arial" w:eastAsia="Arial" w:hAnsi="Arial"/>
          <w:sz w:val="18"/>
          <w:szCs w:val="18"/>
          <w:color w:val="auto"/>
        </w:rPr>
      </w:pPr>
    </w:p>
    <w:p>
      <w:pPr>
        <w:ind w:left="660" w:hanging="328"/>
        <w:spacing w:after="0" w:line="32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Risk-free interest rate – The risk-free rate is based on the U.S. Treasury yield curve in effect on the grant date for securities with similar expected terms to the term of Opco’s incentive units.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32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Expected dividends – Expected dividends is assumed to be zero as Opco has not paid and does not expect to pay cash dividends or non-liquidating distributions.</w:t>
      </w:r>
    </w:p>
    <w:p>
      <w:pPr>
        <w:spacing w:after="0" w:line="156" w:lineRule="exact"/>
        <w:rPr>
          <w:rFonts w:ascii="Arial" w:cs="Arial" w:eastAsia="Arial" w:hAnsi="Arial"/>
          <w:sz w:val="18"/>
          <w:szCs w:val="18"/>
          <w:color w:val="auto"/>
        </w:rPr>
      </w:pPr>
    </w:p>
    <w:p>
      <w:pPr>
        <w:ind w:left="660" w:hanging="328"/>
        <w:spacing w:after="0" w:line="32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Discount for lack of marketability – an estimated two-year time to exit Predecessor awards and the six-month lock-up restriction on Successor awards is reflected as a discount for lack of marketability estimated using the Finnerty model.</w:t>
      </w:r>
    </w:p>
    <w:p>
      <w:pPr>
        <w:spacing w:after="0" w:line="15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spacing w:after="0" w:line="18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is a reconciliation of the denominators of the basic and diluted per share computations for net loss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6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March 31, 2022</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b w:val="1"/>
                <w:bCs w:val="1"/>
                <w:color w:val="auto"/>
              </w:rPr>
              <w:t>Numerator – basic and diluted:</w:t>
            </w: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(43,321)</w:t>
            </w:r>
          </w:p>
        </w:tc>
      </w:tr>
      <w:tr>
        <w:trPr>
          <w:trHeight w:val="230"/>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(36,193)</w:t>
            </w:r>
          </w:p>
        </w:tc>
      </w:tr>
      <w:tr>
        <w:trPr>
          <w:trHeight w:val="22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Bakkt Holdings, Inc. – basic</w:t>
            </w: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r>
      <w:tr>
        <w:trPr>
          <w:trHeight w:val="243"/>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loss and tax effect attributable to noncontrolling interests</w:t>
            </w:r>
          </w:p>
        </w:tc>
        <w:tc>
          <w:tcPr>
            <w:tcW w:w="2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(28,787)</w:t>
            </w: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attributable to Bakkt Holdings, Inc. –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4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Denominator – basic and diluted:</w:t>
            </w:r>
          </w:p>
        </w:tc>
        <w:tc>
          <w:tcPr>
            <w:tcW w:w="2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81,879,315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57,164,421</w:t>
            </w: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81,879,315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258,617,587</w:t>
            </w:r>
          </w:p>
        </w:tc>
      </w:tr>
      <w:tr>
        <w:trPr>
          <w:trHeight w:val="270"/>
        </w:trPr>
        <w:tc>
          <w:tcPr>
            <w:tcW w:w="6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4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 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Net loss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(0.17)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(0.14)</w:t>
            </w:r>
          </w:p>
        </w:tc>
      </w:tr>
    </w:tbl>
    <w:p>
      <w:pPr>
        <w:spacing w:after="0" w:line="30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summarizes the total potential common shares excluded from diluted loss per common share as their effect would be anti-dilutive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tcPr>
          <w:p>
            <w:pPr>
              <w:spacing w:after="0"/>
              <w:rPr>
                <w:sz w:val="17"/>
                <w:szCs w:val="17"/>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As of</w:t>
            </w:r>
          </w:p>
        </w:tc>
      </w:tr>
      <w:tr>
        <w:trPr>
          <w:trHeight w:val="239"/>
        </w:trPr>
        <w:tc>
          <w:tcPr>
            <w:tcW w:w="9660" w:type="dxa"/>
            <w:vAlign w:val="bottom"/>
          </w:tcPr>
          <w:p>
            <w:pPr>
              <w:spacing w:after="0"/>
              <w:rPr>
                <w:sz w:val="20"/>
                <w:szCs w:val="20"/>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31, 2023</w:t>
            </w:r>
          </w:p>
        </w:tc>
      </w:tr>
      <w:tr>
        <w:trPr>
          <w:trHeight w:val="23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and PSUs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Public warrants</w:t>
            </w:r>
          </w:p>
        </w:tc>
        <w:tc>
          <w:tcPr>
            <w:tcW w:w="1580" w:type="dxa"/>
            <w:vAlign w:val="bottom"/>
          </w:tcPr>
          <w:p>
            <w:pPr>
              <w:jc w:val="right"/>
              <w:spacing w:after="0"/>
              <w:rPr>
                <w:sz w:val="20"/>
                <w:szCs w:val="20"/>
                <w:color w:val="auto"/>
              </w:rPr>
            </w:pPr>
            <w:r>
              <w:rPr>
                <w:rFonts w:ascii="Arial" w:cs="Arial" w:eastAsia="Arial" w:hAnsi="Arial"/>
                <w:sz w:val="18"/>
                <w:szCs w:val="18"/>
                <w:color w:val="auto"/>
              </w:rPr>
              <w:t>7,141</w:t>
            </w: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warrants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Opco unvested incentive units</w:t>
            </w:r>
          </w:p>
        </w:tc>
        <w:tc>
          <w:tcPr>
            <w:tcW w:w="1580" w:type="dxa"/>
            <w:vAlign w:val="bottom"/>
          </w:tcPr>
          <w:p>
            <w:pPr>
              <w:jc w:val="right"/>
              <w:spacing w:after="0"/>
              <w:rPr>
                <w:sz w:val="20"/>
                <w:szCs w:val="20"/>
                <w:color w:val="auto"/>
              </w:rPr>
            </w:pPr>
            <w:r>
              <w:rPr>
                <w:rFonts w:ascii="Arial" w:cs="Arial" w:eastAsia="Arial" w:hAnsi="Arial"/>
                <w:sz w:val="18"/>
                <w:szCs w:val="18"/>
                <w:color w:val="auto"/>
              </w:rPr>
              <w:t>2,130</w:t>
            </w:r>
          </w:p>
        </w:tc>
      </w:tr>
      <w:tr>
        <w:trPr>
          <w:trHeight w:val="22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common units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181,150</w:t>
            </w:r>
          </w:p>
        </w:tc>
      </w:tr>
      <w:tr>
        <w:trPr>
          <w:trHeight w:val="237"/>
        </w:trPr>
        <w:tc>
          <w:tcPr>
            <w:tcW w:w="9660" w:type="dxa"/>
            <w:vAlign w:val="bottom"/>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206,293</w:t>
            </w:r>
          </w:p>
        </w:tc>
      </w:tr>
      <w:tr>
        <w:trPr>
          <w:trHeight w:val="20"/>
        </w:trPr>
        <w:tc>
          <w:tcPr>
            <w:tcW w:w="9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Requirements</w:t>
      </w:r>
    </w:p>
    <w:p>
      <w:pPr>
        <w:spacing w:after="0" w:line="2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b w:val="1"/>
          <w:bCs w:val="1"/>
          <w:color w:val="auto"/>
        </w:rPr>
        <w:t xml:space="preserve">Bakkt Trust </w:t>
      </w:r>
      <w:r>
        <w:rPr>
          <w:rFonts w:ascii="Arial" w:cs="Arial" w:eastAsia="Arial" w:hAnsi="Arial"/>
          <w:sz w:val="18"/>
          <w:szCs w:val="18"/>
          <w:color w:val="auto"/>
        </w:rPr>
        <w:t>is subject to certain regulatory capital requirements imposed by the NYDFS. These capital requirements require Bakkt Trust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positive net worth at the greater of $15.0 million or the sum of the required percentage established for transmitted assets, cold wallet, and hot wallet custody assets. As of March 31, 2023 and December 31, 2022, Bakkt Trust had determined that $16.5 million should be set aside to satisfy these requirements, which is reflected as “Restricted cash” in the consolidated balance sheets.</w:t>
      </w:r>
    </w:p>
    <w:p>
      <w:pPr>
        <w:spacing w:after="0" w:line="19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b w:val="1"/>
          <w:bCs w:val="1"/>
          <w:color w:val="auto"/>
        </w:rPr>
        <w:t xml:space="preserve">Bakkt Clearing, LLC ("Bakkt Clearing") </w:t>
      </w:r>
      <w:r>
        <w:rPr>
          <w:rFonts w:ascii="Arial" w:cs="Arial" w:eastAsia="Arial" w:hAnsi="Arial"/>
          <w:sz w:val="17"/>
          <w:szCs w:val="17"/>
          <w:color w:val="auto"/>
        </w:rPr>
        <w:t>was registered as a futures commission merchant (“FCM”) with the Commodity Futures Trading</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(“CFTC”) and was a member of the National Futures Association (“NFA”). Bakkt Clearing was subject to CFTC Regulation 1.17 and the NFA capital requirements. Under these requirements, it was generally required to maintain “adjusted net capital” equivalent to the greater of $1.0 million or the sum of 8 percent of customer and noncustomer risk maintenance margin requirements on all positions, as defined. On May 20, 2022, we withdrew Bakkt Clearing's registration with the CFTC and membership in the NFA, which was effective on June 20, 2022. Accordingly, as of March 31, 2023, Bakkt Clearing was no longer required to maintain capital under the rules described above.</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7"/>
          <w:szCs w:val="17"/>
          <w:b w:val="1"/>
          <w:bCs w:val="1"/>
          <w:color w:val="auto"/>
        </w:rPr>
        <w:t xml:space="preserve">Bakkt Marketplace </w:t>
      </w:r>
      <w:r>
        <w:rPr>
          <w:rFonts w:ascii="Arial" w:cs="Arial" w:eastAsia="Arial" w:hAnsi="Arial"/>
          <w:sz w:val="17"/>
          <w:szCs w:val="17"/>
          <w:color w:val="auto"/>
        </w:rPr>
        <w:t>is required to maintain tangible net worth of a minimum amount. Several states have adopted the Model Money Transmission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Modernization Act, which defined tangible net worth as the aggregate assets of a licensee excluding all intangible assets, less liabilities. In addition to the tangible net worth requirement, Bakkt Marketplace is also required to maintain tangible member's equity of a minimum amount, plus the amount of customer funds held in transit since it holds a number of money transmitter licenses </w:t>
      </w:r>
      <w:r>
        <w:rPr>
          <w:rFonts w:ascii="Arial" w:cs="Arial" w:eastAsia="Arial" w:hAnsi="Arial"/>
          <w:sz w:val="17"/>
          <w:szCs w:val="17"/>
          <w:color w:val="0C0C0C"/>
        </w:rPr>
        <w:t>and has a virtual currency license (or “BitLicense”) from the NYDFS,</w:t>
      </w:r>
      <w:r>
        <w:rPr>
          <w:rFonts w:ascii="Arial" w:cs="Arial" w:eastAsia="Arial" w:hAnsi="Arial"/>
          <w:sz w:val="17"/>
          <w:szCs w:val="17"/>
          <w:color w:val="auto"/>
        </w:rPr>
        <w:t xml:space="preserve"> </w:t>
      </w:r>
      <w:r>
        <w:rPr>
          <w:rFonts w:ascii="Arial" w:cs="Arial" w:eastAsia="Arial" w:hAnsi="Arial"/>
          <w:sz w:val="17"/>
          <w:szCs w:val="17"/>
          <w:color w:val="0C0C0C"/>
        </w:rPr>
        <w:t xml:space="preserve">which subjects it to NYDFS’ oversight with respect to such business activities conducted in New York State and with New York residents. </w:t>
      </w:r>
      <w:r>
        <w:rPr>
          <w:rFonts w:ascii="Arial" w:cs="Arial" w:eastAsia="Arial" w:hAnsi="Arial"/>
          <w:sz w:val="17"/>
          <w:szCs w:val="17"/>
          <w:color w:val="000000"/>
        </w:rPr>
        <w:t>Tangible</w:t>
      </w:r>
      <w:r>
        <w:rPr>
          <w:rFonts w:ascii="Arial" w:cs="Arial" w:eastAsia="Arial" w:hAnsi="Arial"/>
          <w:sz w:val="17"/>
          <w:szCs w:val="17"/>
          <w:color w:val="0C0C0C"/>
        </w:rPr>
        <w:t xml:space="preserve"> </w:t>
      </w:r>
      <w:r>
        <w:rPr>
          <w:rFonts w:ascii="Arial" w:cs="Arial" w:eastAsia="Arial" w:hAnsi="Arial"/>
          <w:sz w:val="17"/>
          <w:szCs w:val="17"/>
          <w:color w:val="000000"/>
        </w:rPr>
        <w:t>member's equity is member's equity minus intangible assets, and is equivalent to tangible net worth. Bakkt Marketplace is also required to maintain positive net worth equal to its wind-down costs, or expected costs associated with the orderly wind-down of the business. As of March 31, 2023 and December 31, 2022, wind-down costs amounted to $6.1 million and $7.1 million, respectively.</w:t>
      </w:r>
    </w:p>
    <w:p>
      <w:pPr>
        <w:spacing w:after="0" w:line="17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As of March 31, 2023 and December 31, 2022, tangible net worth was $65.5 million and $27.7 million, respectively, which was in excess of wind-down costs, tangible net worth, and tangible member's equity requirements.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5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We sponsor a 401(k) defined contribution plan covering all eligible U.S. employees. Both Company and employee contributions to the 401(k) plan are discretionary. For the three months ended March 31, 2023 and March 31, 2022, we recorded approximately $1.0 million and $0.7 million, respectively, of expenses related to the 401(k) plan, which is included in "Compensation and benefits" in the consolidated statement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52"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The Company is party to a TRA with certain Opco equity holders. As of March 31, 2023,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alleges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A motion for preliminary approval was filed with the Court on April 17, 2023. We expect the settlement will be covered by our insurance less our contractual retention.</w:t>
      </w:r>
    </w:p>
    <w:p>
      <w:pPr>
        <w:spacing w:after="0" w:line="18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On February 20, 2023, a derivative action related to the foregoing class action was filed against Bakkt Holdings, Inc. and all of its directors in the U.S. District Court for the Eastern District of New York.</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Prior to its acquisition by the Company, Apex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Based on the ongoing nature of this matter, the outcome remains uncertain and the Company cannot estimate the potential impact, if any, on its business or financial statements at this time.</w:t>
      </w:r>
    </w:p>
    <w:p>
      <w:pPr>
        <w:spacing w:after="0" w:line="19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operations or cash flows. However, future results could be materially and adversely affected by new developments relating to the legal proceedings and claims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Purchasing Card Facility</w:t>
      </w:r>
    </w:p>
    <w:p>
      <w:pPr>
        <w:spacing w:after="0" w:line="2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us to maintain a month-end cash balance of $40.0 million. In January 2021, the purchasing card facility was extended to April 15, 2022 in order to facilitate a long-term agreement on more favorable terms to us. Bakkt Holdings, Inc. served as the guarantor on behalf of our subsidiary under the commercial purchasing card facility. In April 2022, we further extended the maturity date of the purchasing card 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On April 7, 2022, we entered into a corporate card services agreement with Bank of America to provide a new purchasing card facility. Total borrowing capacity under the facility is $35.0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In December 2021, we entered into a four-year cloud computing arrangement which includes minimum contractual payments due to the third-party provider. During the three months ended March 31, 2023, we entered into a five-year strategic marketing agreement which required a committed spend. As of March 31, 2023, our outstanding purchase obligations consisted of the following future minimum commitments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9"/>
              </w:rPr>
              <w:t>Payments Due by Period</w:t>
            </w:r>
          </w:p>
        </w:tc>
        <w:tc>
          <w:tcPr>
            <w:tcW w:w="1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3-5 years</w:t>
            </w: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3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effective tax rate of less than (0.1)% for the three months ending March 31, 2023 differs from statutory rates primarily due to the noncontrolling interest that is not taxed to the Company and the absence of taxable income available to realize the Company’s net operating losses and other deferred tax assets.</w:t>
      </w:r>
    </w:p>
    <w:p>
      <w:pPr>
        <w:spacing w:after="0" w:line="188"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6"/>
          <w:szCs w:val="16"/>
          <w:color w:val="auto"/>
        </w:rPr>
        <w:t>Our effective tax rate of 6.8% for the three months ending March 31, 2022 differs from statutory rates primarily due to the loss allocated to noncontrolling interest that is not taxed to the Company and the non-deductible fair value gains and losses related to the changes in our warrant liability.</w:t>
      </w:r>
    </w:p>
    <w:p>
      <w:pPr>
        <w:spacing w:after="0" w:line="13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As of March 31, 2023 and December 31, 2022, the Company believed it was not more likely that not that the net deferred tax assets would be realizable and thus has maintained a full valuation allowance.</w:t>
      </w:r>
    </w:p>
    <w:p>
      <w:pPr>
        <w:spacing w:after="0" w:line="16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March 31, 2023 or December 31,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assets and liabilities that are measured at fair value on a recurring basis are classified as Level 1 and Level 2 as follows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As of March 31, 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debt 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Safeguarding asset for crypto</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26,055</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26,055</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Safeguarding obligation for crypto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26,055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26,055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6"/>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9"/>
              </w:rPr>
              <w:t>As of December 31, 2022</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30"/>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Safeguarding asset for crypto</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156,854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141,062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Safeguarding obligation for crypto</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6"/>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16,577</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25"/>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93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8"/>
        </w:trPr>
        <w:tc>
          <w:tcPr>
            <w:tcW w:w="5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investments in debt securities consist of U.S. Treasury debt securities held in the custody of a major financial institution. As of March 31, 2023, the Company’s investment in available-for-sale debt securities was determined to be a Level 1 investment based on quoted prices in active markets and was recorded in the consolidated balance sheet at fair value.</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fair value of the safeguarding obligation for crypto and the corresponding safeguarding asset for crypto was determined using the mid-point of a bid-ask spread in the market we determine to be the principal market for the related crypto as of March 31, 2023, which we determined was a Level 2 input.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public warrant liability is valued based on quoted prices in active markets and is classified within Level 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5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The Company leases real estate for office space under operating leases and office equipment under finance leases. On March 15, 2023, we signed an amendment to our Scottsdale, Arizona lease that extended the lease term. The amended lease has a term of 90 months and total fixed lease payments over the term of the amended lease are $5.7 million. During the year ended December 31, 2022,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March 31, 2023, we do not have any active finance leases.</w:t>
      </w:r>
    </w:p>
    <w:p>
      <w:pPr>
        <w:spacing w:after="0" w:line="17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real estate leases have remaining lease terms as of March 31, 2023 ranging from 37 months to 114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of our equipment leases provide us with the option to purchase the asset at the fair market value.</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9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weighted average remaining lease term for our operating leases was approximately 91 months, and the weighted average discount rate for our operating leases was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5.3%. We were party to short-term leases during three months ended March 31, 2023 and March 31, 2022, which resulted in less than $0.1 million of rent expense,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18. Safeguarding Obligation For Crypto</w:t>
      </w:r>
    </w:p>
    <w:p>
      <w:pPr>
        <w:spacing w:after="0" w:line="21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We provide bitcoin and ether custody services for our consumer platform users and for standalone custody customers. We do not own crypto held in a custodial capacity on behalf of our customers. We hold the cryptographic key information on behalf of our custodial customers. We also maintain the internal recordkeeping of those assets and are obligated to safeguard the assets and protect them from loss or theft.</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As of March 31, 2023, we have a safeguarding obligation for crypto of $26.1 million. The safeguarding liability, and corresponding safeguarding asset for crypto on the balance sheet, are measured at the fair value of the crypto held for our customers. We are not aware of any actual or possible safeguarding loss events as of March 31, 2023. Therefore, the safeguarding obligation for crypto and the related safeguarding asset for crypto are recorded at the same amount.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responsible for holding the following crypto on behalf of our customers as of March 31, 2023 and December 31, 2022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Bitcoin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w:t>
            </w:r>
          </w:p>
        </w:tc>
      </w:tr>
      <w:tr>
        <w:trPr>
          <w:trHeight w:val="24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Ether</w:t>
            </w: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Safeguarding obligation for crypto</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Safeguarding asset for crypto</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231F20"/>
        </w:rPr>
        <w:t>Investment in Debt Securities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We have investments in certain debt securities, which we record at fair value and present as "Available-for-sale securities" in the consolidated balance sheets.</w:t>
      </w:r>
    </w:p>
    <w:p>
      <w:pPr>
        <w:spacing w:after="0" w:line="184"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cost basis and fair value of available-for-sale debt securities with unrealized gains and losses included in “Accumulated other comprehensive loss” in the consolidated balance sheets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March 31, 2023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90"/>
              </w:rPr>
              <w:t>Unrealized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40" w:type="dxa"/>
            <w:vAlign w:val="bottom"/>
          </w:tcPr>
          <w:p>
            <w:pPr>
              <w:spacing w:after="0"/>
              <w:rPr>
                <w:sz w:val="15"/>
                <w:szCs w:val="15"/>
                <w:color w:val="auto"/>
              </w:rPr>
            </w:pPr>
          </w:p>
        </w:tc>
        <w:tc>
          <w:tcPr>
            <w:tcW w:w="920" w:type="dxa"/>
            <w:vAlign w:val="bottom"/>
          </w:tcPr>
          <w:p>
            <w:pPr>
              <w:jc w:val="right"/>
              <w:ind w:right="330"/>
              <w:spacing w:after="0" w:line="181" w:lineRule="exact"/>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5"/>
                <w:szCs w:val="15"/>
                <w:color w:val="auto"/>
              </w:rPr>
            </w:pPr>
          </w:p>
        </w:tc>
        <w:tc>
          <w:tcPr>
            <w:tcW w:w="138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6"/>
              </w:rPr>
              <w:t>Gains/(Losses),</w:t>
            </w:r>
          </w:p>
        </w:tc>
        <w:tc>
          <w:tcPr>
            <w:tcW w:w="280" w:type="dxa"/>
            <w:vAlign w:val="bottom"/>
          </w:tcPr>
          <w:p>
            <w:pPr>
              <w:spacing w:after="0"/>
              <w:rPr>
                <w:sz w:val="15"/>
                <w:szCs w:val="15"/>
                <w:color w:val="auto"/>
              </w:rPr>
            </w:pPr>
          </w:p>
        </w:tc>
        <w:tc>
          <w:tcPr>
            <w:tcW w:w="920" w:type="dxa"/>
            <w:vAlign w:val="bottom"/>
          </w:tcPr>
          <w:p>
            <w:pPr>
              <w:jc w:val="right"/>
              <w:ind w:right="310"/>
              <w:spacing w:after="0" w:line="18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30"/>
              <w:spacing w:after="0" w:line="181" w:lineRule="exact"/>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5"/>
                <w:szCs w:val="15"/>
                <w:color w:val="auto"/>
              </w:rPr>
            </w:pPr>
          </w:p>
        </w:tc>
        <w:tc>
          <w:tcPr>
            <w:tcW w:w="140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7"/>
              </w:rPr>
              <w:t>Gains/(Losses),</w:t>
            </w:r>
          </w:p>
        </w:tc>
        <w:tc>
          <w:tcPr>
            <w:tcW w:w="280" w:type="dxa"/>
            <w:vAlign w:val="bottom"/>
          </w:tcPr>
          <w:p>
            <w:pPr>
              <w:spacing w:after="0"/>
              <w:rPr>
                <w:sz w:val="15"/>
                <w:szCs w:val="15"/>
                <w:color w:val="auto"/>
              </w:rPr>
            </w:pPr>
          </w:p>
        </w:tc>
        <w:tc>
          <w:tcPr>
            <w:tcW w:w="94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30"/>
        </w:trPr>
        <w:tc>
          <w:tcPr>
            <w:tcW w:w="3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Basis</w:t>
            </w:r>
          </w:p>
        </w:tc>
        <w:tc>
          <w:tcPr>
            <w:tcW w:w="200" w:type="dxa"/>
            <w:vAlign w:val="bottom"/>
          </w:tcPr>
          <w:p>
            <w:pPr>
              <w:spacing w:after="0"/>
              <w:rPr>
                <w:sz w:val="19"/>
                <w:szCs w:val="19"/>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Basis</w:t>
            </w:r>
          </w:p>
        </w:tc>
        <w:tc>
          <w:tcPr>
            <w:tcW w:w="200" w:type="dxa"/>
            <w:vAlign w:val="bottom"/>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Government debt</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40"/>
              <w:spacing w:after="0"/>
              <w:rPr>
                <w:sz w:val="20"/>
                <w:szCs w:val="20"/>
                <w:color w:val="auto"/>
              </w:rPr>
            </w:pPr>
            <w:r>
              <w:rPr>
                <w:rFonts w:ascii="Arial" w:cs="Arial" w:eastAsia="Arial" w:hAnsi="Arial"/>
                <w:sz w:val="18"/>
                <w:szCs w:val="18"/>
                <w:color w:val="auto"/>
              </w:rPr>
              <w:t>U.S. treasury bonds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66,954</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141,003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December 31, 2022</w:t>
            </w:r>
          </w:p>
        </w:tc>
      </w:tr>
      <w:tr>
        <w:trPr>
          <w:trHeight w:val="178"/>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w w:val="94"/>
              </w:rPr>
              <w:t>Unrealized</w:t>
            </w:r>
          </w:p>
        </w:tc>
      </w:tr>
      <w:tr>
        <w:trPr>
          <w:trHeight w:val="234"/>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Available-for-sale securities in an unrealized loss position</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Losses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Losses</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Government debt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040" w:type="dxa"/>
            <w:vAlign w:val="bottom"/>
          </w:tcPr>
          <w:p>
            <w:pPr>
              <w:ind w:left="240"/>
              <w:spacing w:after="0"/>
              <w:rPr>
                <w:sz w:val="20"/>
                <w:szCs w:val="20"/>
                <w:color w:val="auto"/>
              </w:rPr>
            </w:pPr>
            <w:r>
              <w:rPr>
                <w:rFonts w:ascii="Arial" w:cs="Arial" w:eastAsia="Arial" w:hAnsi="Arial"/>
                <w:sz w:val="18"/>
                <w:szCs w:val="18"/>
                <w:color w:val="auto"/>
              </w:rPr>
              <w:t>U.S. treasury bonds: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0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Less than 12 months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6040" w:type="dxa"/>
            <w:vAlign w:val="bottom"/>
            <w:tcBorders>
              <w:bottom w:val="single" w:sz="8" w:color="CCEEFF"/>
            </w:tcBorders>
          </w:tcPr>
          <w:p>
            <w:pPr>
              <w:ind w:left="460"/>
              <w:spacing w:after="0" w:line="243" w:lineRule="exact"/>
              <w:rPr>
                <w:sz w:val="20"/>
                <w:szCs w:val="20"/>
                <w:color w:val="auto"/>
              </w:rPr>
            </w:pPr>
            <w:r>
              <w:rPr>
                <w:rFonts w:ascii="Arial" w:cs="Arial" w:eastAsia="Arial" w:hAnsi="Arial"/>
                <w:sz w:val="18"/>
                <w:szCs w:val="18"/>
                <w:color w:val="auto"/>
              </w:rPr>
              <w:t>12 months or more</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00" w:hanging="174"/>
        <w:spacing w:after="0"/>
        <w:tabs>
          <w:tab w:leader="none" w:pos="20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Indicates the length of time that individual securities have been in a continuous unrealized loss position.</w:t>
      </w:r>
    </w:p>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unrealized losses on our investments in government debt securities relate to changes in interest rates since the time of purchase. We do not intend to sell the investments, and it is not likely that we will be required to sell the investments before recovery of their respective amortized cost basis. In addition, there were no credit losses on these investments as of March 31, 2023.</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cost basis and fair value of available-for-sale debt securities at March 31, 2023, by contractual maturity, are shown below (in thousands). Expected maturities may differ from contractual maturities because borrowers may have the right to prepay and creditors may have the right to call obligations.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March 31, 2023</w:t>
            </w:r>
          </w:p>
        </w:tc>
      </w:tr>
      <w:tr>
        <w:trPr>
          <w:trHeight w:val="232"/>
        </w:trPr>
        <w:tc>
          <w:tcPr>
            <w:tcW w:w="88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Cost Basis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Fair Value</w:t>
            </w:r>
          </w:p>
        </w:tc>
      </w:tr>
      <w:tr>
        <w:trPr>
          <w:trHeight w:val="227"/>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66,789</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 - available-for-sale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b w:val="1"/>
          <w:bCs w:val="1"/>
          <w:color w:val="231F20"/>
        </w:rPr>
        <w:t>Subsequent Events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We have evaluated subsequent events and determined that no other events or transactions, other than those disclosed above, met the definition of a subsequent event for purposes of recognition or disclosure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333" w:lineRule="auto"/>
        <w:rPr>
          <w:sz w:val="20"/>
          <w:szCs w:val="20"/>
          <w:color w:val="auto"/>
        </w:rPr>
      </w:pPr>
      <w:r>
        <w:rPr>
          <w:rFonts w:ascii="Arial" w:cs="Arial" w:eastAsia="Arial" w:hAnsi="Arial"/>
          <w:sz w:val="16"/>
          <w:szCs w:val="16"/>
          <w:i w:val="1"/>
          <w:iCs w:val="1"/>
          <w:color w:val="231F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Arial" w:cs="Arial" w:eastAsia="Arial" w:hAnsi="Arial"/>
          <w:sz w:val="16"/>
          <w:szCs w:val="16"/>
          <w:i w:val="1"/>
          <w:iCs w:val="1"/>
          <w:color w:val="000000"/>
        </w:rPr>
        <w:t>March 31, 2023</w:t>
      </w:r>
      <w:r>
        <w:rPr>
          <w:rFonts w:ascii="Arial" w:cs="Arial" w:eastAsia="Arial" w:hAnsi="Arial"/>
          <w:sz w:val="16"/>
          <w:szCs w:val="16"/>
          <w:i w:val="1"/>
          <w:iCs w:val="1"/>
          <w:color w:val="231F20"/>
        </w:rPr>
        <w:t xml:space="preserve"> and in our Annual Report on Form 10-K for the fiscal year ended </w:t>
      </w:r>
      <w:r>
        <w:rPr>
          <w:rFonts w:ascii="Arial" w:cs="Arial" w:eastAsia="Arial" w:hAnsi="Arial"/>
          <w:sz w:val="16"/>
          <w:szCs w:val="16"/>
          <w:i w:val="1"/>
          <w:iCs w:val="1"/>
          <w:color w:val="000000"/>
        </w:rPr>
        <w:t>December 31, 2022</w:t>
      </w:r>
      <w:r>
        <w:rPr>
          <w:rFonts w:ascii="Arial" w:cs="Arial" w:eastAsia="Arial" w:hAnsi="Arial"/>
          <w:sz w:val="16"/>
          <w:szCs w:val="16"/>
          <w:i w:val="1"/>
          <w:iCs w:val="1"/>
          <w:color w:val="231F20"/>
        </w:rPr>
        <w:t xml:space="preserve">, which is incorporated herein by reference. References in this section to “we,” “us,” “our,” “Bakkt” or the “Company” and like terms refer to Bakkt Holdings, Inc. and its subsidiaries for the </w:t>
      </w:r>
      <w:r>
        <w:rPr>
          <w:rFonts w:ascii="Arial" w:cs="Arial" w:eastAsia="Arial" w:hAnsi="Arial"/>
          <w:sz w:val="16"/>
          <w:szCs w:val="16"/>
          <w:i w:val="1"/>
          <w:iCs w:val="1"/>
          <w:color w:val="000000"/>
        </w:rPr>
        <w:t>three months ending March 31, 2023,</w:t>
      </w:r>
      <w:r>
        <w:rPr>
          <w:rFonts w:ascii="Arial" w:cs="Arial" w:eastAsia="Arial" w:hAnsi="Arial"/>
          <w:sz w:val="16"/>
          <w:szCs w:val="16"/>
          <w:i w:val="1"/>
          <w:iCs w:val="1"/>
          <w:color w:val="231F20"/>
        </w:rPr>
        <w:t xml:space="preserve"> unless the context otherwise requires. Some of the information contained in this discussion and analysis or set forth elsewhere in this 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0C0C0C"/>
        </w:rPr>
        <w:t>In this section and elsewhere in this Report, we use the following terms, which are defined as follows:</w:t>
      </w:r>
    </w:p>
    <w:p>
      <w:pPr>
        <w:spacing w:after="0" w:line="19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Client </w:t>
      </w:r>
      <w:r>
        <w:rPr>
          <w:rFonts w:ascii="Arial" w:cs="Arial" w:eastAsia="Arial" w:hAnsi="Arial"/>
          <w:sz w:val="16"/>
          <w:szCs w:val="16"/>
          <w:color w:val="auto"/>
        </w:rPr>
        <w:t>means businesses with whom we contract to provide services to customers on our platform, and includes financial institutions, hedge funds,</w:t>
      </w:r>
    </w:p>
    <w:p>
      <w:pPr>
        <w:spacing w:after="0" w:line="76"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merchants, retailers, and other businesses (except in the accompanying </w:t>
      </w:r>
      <w:r>
        <w:rPr>
          <w:rFonts w:ascii="Arial" w:cs="Arial" w:eastAsia="Arial" w:hAnsi="Arial"/>
          <w:sz w:val="18"/>
          <w:szCs w:val="18"/>
          <w:color w:val="231F20"/>
        </w:rPr>
        <w:t>notes to the consolidated financial statements, where we refer to revenue</w:t>
      </w:r>
      <w:r>
        <w:rPr>
          <w:rFonts w:ascii="Arial" w:cs="Arial" w:eastAsia="Arial" w:hAnsi="Arial"/>
          <w:sz w:val="18"/>
          <w:szCs w:val="18"/>
          <w:color w:val="auto"/>
        </w:rPr>
        <w:t xml:space="preserve"> </w:t>
      </w:r>
      <w:r>
        <w:rPr>
          <w:rFonts w:ascii="Arial" w:cs="Arial" w:eastAsia="Arial" w:hAnsi="Arial"/>
          <w:sz w:val="18"/>
          <w:szCs w:val="18"/>
          <w:color w:val="231F20"/>
        </w:rPr>
        <w:t xml:space="preserve">earned from customers, instead of clients. The term customers is </w:t>
      </w:r>
      <w:r>
        <w:rPr>
          <w:rFonts w:ascii="Arial" w:cs="Arial" w:eastAsia="Arial" w:hAnsi="Arial"/>
          <w:sz w:val="18"/>
          <w:szCs w:val="18"/>
          <w:color w:val="000000"/>
        </w:rPr>
        <w:t>in accordance with the Financial Accounting Standards Board (“FASB”)</w:t>
      </w:r>
      <w:r>
        <w:rPr>
          <w:rFonts w:ascii="Arial" w:cs="Arial" w:eastAsia="Arial" w:hAnsi="Arial"/>
          <w:sz w:val="18"/>
          <w:szCs w:val="18"/>
          <w:color w:val="231F20"/>
        </w:rPr>
        <w:t xml:space="preserve"> </w:t>
      </w:r>
      <w:r>
        <w:rPr>
          <w:rFonts w:ascii="Arial" w:cs="Arial" w:eastAsia="Arial" w:hAnsi="Arial"/>
          <w:sz w:val="18"/>
          <w:szCs w:val="18"/>
          <w:color w:val="000000"/>
        </w:rPr>
        <w:t xml:space="preserve">Accounting Standards Codification (“ASC”) Topic </w:t>
      </w:r>
      <w:r>
        <w:rPr>
          <w:rFonts w:ascii="Arial" w:cs="Arial" w:eastAsia="Arial" w:hAnsi="Arial"/>
          <w:sz w:val="18"/>
          <w:szCs w:val="18"/>
          <w:color w:val="231F20"/>
        </w:rPr>
        <w:t>606,</w:t>
      </w:r>
      <w:r>
        <w:rPr>
          <w:rFonts w:ascii="Arial" w:cs="Arial" w:eastAsia="Arial" w:hAnsi="Arial"/>
          <w:sz w:val="18"/>
          <w:szCs w:val="18"/>
          <w:color w:val="000000"/>
        </w:rPr>
        <w:t xml:space="preserve"> </w:t>
      </w:r>
      <w:r>
        <w:rPr>
          <w:rFonts w:ascii="Arial" w:cs="Arial" w:eastAsia="Arial" w:hAnsi="Arial"/>
          <w:sz w:val="18"/>
          <w:szCs w:val="18"/>
          <w:i w:val="1"/>
          <w:iCs w:val="1"/>
          <w:color w:val="231F20"/>
        </w:rPr>
        <w:t>Revenue from Contracts with Customers</w:t>
      </w:r>
      <w:r>
        <w:rPr>
          <w:rFonts w:ascii="Arial" w:cs="Arial" w:eastAsia="Arial" w:hAnsi="Arial"/>
          <w:sz w:val="18"/>
          <w:szCs w:val="18"/>
          <w:color w:val="231F20"/>
        </w:rPr>
        <w:t>.)</w:t>
      </w:r>
    </w:p>
    <w:p>
      <w:pPr>
        <w:spacing w:after="0" w:line="62" w:lineRule="exact"/>
        <w:rPr>
          <w:rFonts w:ascii="Arial" w:cs="Arial" w:eastAsia="Arial" w:hAnsi="Arial"/>
          <w:sz w:val="16"/>
          <w:szCs w:val="16"/>
          <w:color w:val="auto"/>
        </w:rPr>
      </w:pPr>
    </w:p>
    <w:p>
      <w:pPr>
        <w:ind w:left="660" w:hanging="328"/>
        <w:spacing w:after="0" w:line="32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Cryptoassets </w:t>
      </w:r>
      <w:r>
        <w:rPr>
          <w:rFonts w:ascii="Arial" w:cs="Arial" w:eastAsia="Arial" w:hAnsi="Arial"/>
          <w:sz w:val="18"/>
          <w:szCs w:val="18"/>
          <w:color w:val="auto"/>
        </w:rPr>
        <w:t>(or</w:t>
      </w:r>
      <w:r>
        <w:rPr>
          <w:rFonts w:ascii="Arial" w:cs="Arial" w:eastAsia="Arial" w:hAnsi="Arial"/>
          <w:sz w:val="18"/>
          <w:szCs w:val="18"/>
          <w:b w:val="1"/>
          <w:bCs w:val="1"/>
          <w:color w:val="auto"/>
        </w:rPr>
        <w:t xml:space="preserve"> crypto</w:t>
      </w:r>
      <w:r>
        <w:rPr>
          <w:rFonts w:ascii="Arial" w:cs="Arial" w:eastAsia="Arial" w:hAnsi="Arial"/>
          <w:sz w:val="18"/>
          <w:szCs w:val="18"/>
          <w:color w:val="auto"/>
        </w:rPr>
        <w:t>) means an asset that is built using blockchain technology, including cryptocurrencies, stablecoins, and other tokens.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enables transactions in certain supported cryptocurrencies.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Customer </w:t>
      </w:r>
      <w:r>
        <w:rPr>
          <w:rFonts w:ascii="Arial" w:cs="Arial" w:eastAsia="Arial" w:hAnsi="Arial"/>
          <w:sz w:val="17"/>
          <w:szCs w:val="17"/>
          <w:color w:val="auto"/>
        </w:rPr>
        <w:t>means an individual user of our platform. Customers include customers of our loyalty clients who use our platform to transact in</w:t>
      </w:r>
    </w:p>
    <w:p>
      <w:pPr>
        <w:spacing w:after="0" w:line="65" w:lineRule="exact"/>
        <w:rPr>
          <w:rFonts w:ascii="Arial" w:cs="Arial" w:eastAsia="Arial" w:hAnsi="Arial"/>
          <w:sz w:val="17"/>
          <w:szCs w:val="17"/>
          <w:color w:val="auto"/>
        </w:rPr>
      </w:pPr>
    </w:p>
    <w:p>
      <w:pPr>
        <w:ind w:left="660"/>
        <w:spacing w:after="0" w:line="308" w:lineRule="auto"/>
        <w:rPr>
          <w:rFonts w:ascii="Arial" w:cs="Arial" w:eastAsia="Arial" w:hAnsi="Arial"/>
          <w:sz w:val="17"/>
          <w:szCs w:val="17"/>
          <w:color w:val="auto"/>
        </w:rPr>
      </w:pPr>
      <w:r>
        <w:rPr>
          <w:rFonts w:ascii="Arial" w:cs="Arial" w:eastAsia="Arial" w:hAnsi="Arial"/>
          <w:sz w:val="18"/>
          <w:szCs w:val="18"/>
          <w:color w:val="auto"/>
        </w:rPr>
        <w:t>loyalty points, as well as customers of our clients who transact in crypto through, and have accounts on, our platform (except as defined for ASC 606 purposes above).</w:t>
      </w:r>
    </w:p>
    <w:p>
      <w:pPr>
        <w:spacing w:after="0" w:line="72"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Loyalty points </w:t>
      </w:r>
      <w:r>
        <w:rPr>
          <w:rFonts w:ascii="Arial" w:cs="Arial" w:eastAsia="Arial" w:hAnsi="Arial"/>
          <w:sz w:val="18"/>
          <w:szCs w:val="18"/>
          <w:color w:val="auto"/>
        </w:rPr>
        <w:t>means loyalty and/or reward points that are issued by clients to their customers.</w:t>
      </w:r>
    </w:p>
    <w:p>
      <w:pPr>
        <w:spacing w:after="0" w:line="25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151515"/>
        </w:rPr>
        <w:t xml:space="preserve">Founded in 2018, Bakkt builds technology that connects the digital economy by offering one ecosystem for crypto and loyalty points. We enable our clients to deliver new opportunities to their customers through </w:t>
      </w:r>
      <w:r>
        <w:rPr>
          <w:rFonts w:ascii="Arial" w:cs="Arial" w:eastAsia="Arial" w:hAnsi="Arial"/>
          <w:sz w:val="17"/>
          <w:szCs w:val="17"/>
          <w:color w:val="0C0C0C"/>
        </w:rPr>
        <w:t>software as a service (“SaaS”)</w:t>
      </w:r>
      <w:r>
        <w:rPr>
          <w:rFonts w:ascii="Arial" w:cs="Arial" w:eastAsia="Arial" w:hAnsi="Arial"/>
          <w:sz w:val="17"/>
          <w:szCs w:val="17"/>
          <w:color w:val="151515"/>
        </w:rPr>
        <w:t xml:space="preserve"> and API solutions that unlock crypto and drive loyalty, powering engagement and performance. The global market for crypto, while nascent, is rapidly evolving and expanding. We believe we are well-positioned to provide innovative, multi-faceted product solutions and grow with this evolving market. Our platform is uniquely positioned to power commerce by enabling consumers, brands, and financial institutions to better manage, transact with and monetize crypto in exciting new ways.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151515"/>
        </w:rPr>
        <w:t>Our platform is built to operate across various cryptoassets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Arial" w:cs="Arial" w:eastAsia="Arial" w:hAnsi="Arial"/>
          <w:sz w:val="18"/>
          <w:szCs w:val="18"/>
          <w:color w:val="000000"/>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Recent Developments</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On February 8, 2023, we acquired 100% of the units of Bumped Financial, LLC ("Bumped"), a broker-dealer registered with the SEC and the Financial Industry Regulatory Authority, Inc., for cash consideration of $631,000.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On November 2, 2022, we entered into a definitive agreement with Apex Fintech Solutions, Inc. ("AFS") pursuant to which we agreed to acquire all of the membership interests of Apex Crypto, a financial technology company with an integrated crypto trading platform, for consideration consisting of an initial purchase price of $55.0 million in cash, up to $45.0 million in shares of our Class A common stock that may be earned if Apex Crypto achieves certain profitability growth targets for the fourth quarter of 2022, and up to an additional $100.0 million in shares of our Class A common stock depending on Apex Crypto's achievement of certain financial targets through 2025. On November 2, 2022, we and certain parties related to the seller also entered into a Stockholders' Agreement whereby such counterparties agreed to certain lock-up, standstill, and short sale restrictions. The acquisition closed on April 1, 2023. Apex Crypto's profitability in the fourth quarter of 2022 resulted in the issuance of $9.0 million in shares of our Class A common stock based on the earn-out target mechanics. This acquisition is expected to provide immediate scale and meaningful transaction volume from Apex Crypto's active partner base. We expect to leverage Apex Crypto's proprietary trading platform and existing relationships with liquidity providers to provide a wider range of assets and competitive pricing to our customers. In connection with the integration of Apex Crypto, we expect to delist certain of the crypto assets currently traded on Apex Crypto's platform.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Factors Affecting Our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Growing Our Client Base</w:t>
      </w:r>
    </w:p>
    <w:p>
      <w:pPr>
        <w:spacing w:after="0" w:line="26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231F20"/>
        </w:rPr>
        <w:t>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Apex Crypto complements our B2B2C growth strategy by broadening our business partnerships to fintechs and neo-banks. Our ability to grow our client and revenue base through the Apex Crypto acquisition is dependent on successful integration of the businesses post-transaction close.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Product Expansion and Innovation</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The crypto marketplace is rapidly evolving. Our ability to continue innovating our platform will increase the attractiveness of our platform to clients. Our ability to meet the capability demands of our clients will allow us to continue to grow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Competition</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crypto marketplace is highly competitive with numerous participants competing for the same clients. We believe we are uniquely positioned with our ability to provide capabilities around emerging cryptoassets alongside loyalty points on a single, highly secure, institutional-grade technology platform.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Economic and Market Conditions</w:t>
      </w:r>
    </w:p>
    <w:p>
      <w:pPr>
        <w:spacing w:after="0" w:line="2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7"/>
          <w:szCs w:val="17"/>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In 2022, the crypto markets were impacted by, among other things, significant volatility in </w:t>
      </w:r>
      <w:r>
        <w:rPr>
          <w:rFonts w:ascii="Arial" w:cs="Arial" w:eastAsia="Arial" w:hAnsi="Arial"/>
          <w:sz w:val="17"/>
          <w:szCs w:val="17"/>
          <w:color w:val="000000"/>
        </w:rPr>
        <w:t>cryptoasset</w:t>
      </w:r>
      <w:r>
        <w:rPr>
          <w:rFonts w:ascii="Arial" w:cs="Arial" w:eastAsia="Arial" w:hAnsi="Arial"/>
          <w:sz w:val="17"/>
          <w:szCs w:val="17"/>
          <w:color w:val="231F20"/>
        </w:rPr>
        <w:t xml:space="preserve"> prices, bankruptcies of several cryptocurrency exchanges, regulatory actions and adverse publicity. Although we did not have any exposure to the companies that halted activities in 2022, we were nonetheless impacted by the broader conditions in the crypto markets. In addition, during 2022 and 2023, macroeconomic conditions—including rising interest rates, spikes in inflation rates and market volatility, along with geopolitical concerns, including the war in Ukraine and the sanctions and other measures that have been and continue to be imposed in response to the war—created uncertainty and volatility in the global economy. We expect the macroeconomic environment and the state of the crypto markets to remain dynamic in the near-term, and we will continue to monitor macroeconomic and crypto market conditions, and the potential impacts that any of the foregoing may have on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Regulations in U.S. Markets</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95"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231F20"/>
        </w:rPr>
        <w:t xml:space="preserve">We are seeking to bring trust and transparency to </w:t>
      </w:r>
      <w:r>
        <w:rPr>
          <w:rFonts w:ascii="Arial" w:cs="Arial" w:eastAsia="Arial" w:hAnsi="Arial"/>
          <w:sz w:val="16"/>
          <w:szCs w:val="16"/>
          <w:color w:val="000000"/>
        </w:rPr>
        <w:t>crypto</w:t>
      </w:r>
      <w:r>
        <w:rPr>
          <w:rFonts w:ascii="Arial" w:cs="Arial" w:eastAsia="Arial" w:hAnsi="Arial"/>
          <w:sz w:val="16"/>
          <w:szCs w:val="16"/>
          <w:color w:val="231F20"/>
        </w:rPr>
        <w:t>.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5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 xml:space="preserve">We continue to work with regulators to address the emerging global landscape for </w:t>
      </w:r>
      <w:r>
        <w:rPr>
          <w:rFonts w:ascii="Arial" w:cs="Arial" w:eastAsia="Arial" w:hAnsi="Arial"/>
          <w:sz w:val="17"/>
          <w:szCs w:val="17"/>
          <w:color w:val="000000"/>
        </w:rPr>
        <w:t>crypto</w:t>
      </w:r>
      <w:r>
        <w:rPr>
          <w:rFonts w:ascii="Arial" w:cs="Arial" w:eastAsia="Arial" w:hAnsi="Arial"/>
          <w:sz w:val="17"/>
          <w:szCs w:val="17"/>
          <w:color w:val="231F20"/>
        </w:rPr>
        <w:t>. As investment continues, the intersection of technology and finance will require ongoing engagement as new applications emerge. C</w:t>
      </w:r>
      <w:r>
        <w:rPr>
          <w:rFonts w:ascii="Arial" w:cs="Arial" w:eastAsia="Arial" w:hAnsi="Arial"/>
          <w:sz w:val="17"/>
          <w:szCs w:val="17"/>
          <w:color w:val="000000"/>
        </w:rPr>
        <w:t>ryptoasset</w:t>
      </w:r>
      <w:r>
        <w:rPr>
          <w:rFonts w:ascii="Arial" w:cs="Arial" w:eastAsia="Arial" w:hAnsi="Arial"/>
          <w:sz w:val="17"/>
          <w:szCs w:val="17"/>
          <w:color w:val="231F20"/>
        </w:rPr>
        <w:t xml:space="preserve"> and distributed ledger technology have significant, positive potential with proper collaboration between industry and regulators. </w:t>
      </w:r>
      <w:r>
        <w:rPr>
          <w:rFonts w:ascii="Arial" w:cs="Arial" w:eastAsia="Arial" w:hAnsi="Arial"/>
          <w:sz w:val="17"/>
          <w:szCs w:val="17"/>
          <w:color w:val="0C0C0C"/>
        </w:rPr>
        <w:t>For more information around regulations, please see</w:t>
      </w:r>
      <w:r>
        <w:rPr>
          <w:rFonts w:ascii="Arial" w:cs="Arial" w:eastAsia="Arial" w:hAnsi="Arial"/>
          <w:sz w:val="17"/>
          <w:szCs w:val="17"/>
          <w:color w:val="231F20"/>
        </w:rPr>
        <w:t xml:space="preserve"> </w:t>
      </w:r>
      <w:r>
        <w:rPr>
          <w:rFonts w:ascii="Arial" w:cs="Arial" w:eastAsia="Arial" w:hAnsi="Arial"/>
          <w:sz w:val="17"/>
          <w:szCs w:val="17"/>
          <w:i w:val="1"/>
          <w:iCs w:val="1"/>
          <w:color w:val="0C0C0C"/>
        </w:rPr>
        <w:t>“Item 1.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Safeguarding Obligation Liability and Safeguarding Asset Related to Crypto Held for Other Parties</w:t>
      </w:r>
    </w:p>
    <w:p>
      <w:pPr>
        <w:spacing w:after="0" w:line="26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As detailed in Note 18 in the unaudited consolidated financial statements included in this Report, upon the adoption of Staff Accounting Bulletin 121 (“SAB 121”), we recorded a safeguarding obligation liability and a corresponding safeguarding asset related to the crypto held for other parties. As of March 31, 2023, the safeguarding obligation liability related to cryptoassets held for other parties was approximately $26.1 million. We have taken steps to mitigate the potential risk of loss for the crypto we hold for other parties, including holding insurance coverage specifically for certain crypto incidents and using secure cold storage to store the vast majority of crypto that we hold. SAB 121 also asks us to consider the legal ownership of the crypto held for other parties, including whether the crypto held for other parties would be available to satisfy general creditor claims in the event of our bankruptcy.</w:t>
      </w:r>
    </w:p>
    <w:p>
      <w:pPr>
        <w:spacing w:after="0" w:line="169"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legal rights with respect to crypto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 that we hold in custody for users of our platform should be respected as users’ property (and should not be available to satisfy the claims of our general creditors). We do not allow users to purchase crypto on margin, and crypto held on our platform does not serve as collateral for margin loans. We hold crypto in custody for users in one or more omnibus crypto wallets; we do not presently utilize third-party custodians. We hold cryptographic key information and maintain internal record keeping for the crypto we hold in custody for users, and we are obligated to secure such assets from loss or theft. Our contractual arrangements state that our customers and clients retain legal ownership of the crypto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 custodied by us should not be deemed to be part of our bankruptcy estate. We do not expect potential future cash flows associated with the crypto safeguarding obligation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Key Performance Indicators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0C0C0C"/>
        </w:rPr>
        <w:t>We use two key performance indicators (“KPIs”) that are key to understanding our business performance, as they reflect the different ways we enable clients to engage with our platform.</w:t>
      </w:r>
    </w:p>
    <w:p>
      <w:pPr>
        <w:spacing w:after="0" w:line="184" w:lineRule="exact"/>
        <w:rPr>
          <w:sz w:val="20"/>
          <w:szCs w:val="20"/>
          <w:color w:val="auto"/>
        </w:rPr>
      </w:pPr>
    </w:p>
    <w:p>
      <w:pPr>
        <w:ind w:left="660" w:hanging="328"/>
        <w:spacing w:after="0" w:line="297" w:lineRule="auto"/>
        <w:tabs>
          <w:tab w:leader="none" w:pos="660" w:val="left"/>
        </w:tabs>
        <w:numPr>
          <w:ilvl w:val="0"/>
          <w:numId w:val="24"/>
        </w:numPr>
        <w:rPr>
          <w:rFonts w:ascii="Arial" w:cs="Arial" w:eastAsia="Arial" w:hAnsi="Arial"/>
          <w:sz w:val="20"/>
          <w:szCs w:val="20"/>
          <w:color w:val="0C0C0C"/>
        </w:rPr>
      </w:pPr>
      <w:r>
        <w:rPr>
          <w:rFonts w:ascii="Arial" w:cs="Arial" w:eastAsia="Arial" w:hAnsi="Arial"/>
          <w:sz w:val="18"/>
          <w:szCs w:val="18"/>
          <w:b w:val="1"/>
          <w:bCs w:val="1"/>
          <w:i w:val="1"/>
          <w:iCs w:val="1"/>
          <w:color w:val="0C0C0C"/>
        </w:rPr>
        <w:t xml:space="preserve">Transacting accounts. </w:t>
      </w:r>
      <w:r>
        <w:rPr>
          <w:rFonts w:ascii="Arial" w:cs="Arial" w:eastAsia="Arial" w:hAnsi="Arial"/>
          <w:sz w:val="18"/>
          <w:szCs w:val="18"/>
          <w:color w:val="0C0C0C"/>
        </w:rPr>
        <w:t>We define transacting accounts as unique accounts that perform transactions on our platform each month. We use</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transacting accounts to reflect how users across our platform use the variety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spacing w:after="0" w:line="303" w:lineRule="auto"/>
        <w:rPr>
          <w:sz w:val="20"/>
          <w:szCs w:val="20"/>
          <w:color w:val="auto"/>
        </w:rPr>
      </w:pPr>
      <w:r>
        <w:rPr>
          <w:rFonts w:ascii="Arial" w:cs="Arial" w:eastAsia="Arial" w:hAnsi="Arial"/>
          <w:sz w:val="18"/>
          <w:szCs w:val="18"/>
          <w:color w:val="0C0C0C"/>
        </w:rPr>
        <w:t xml:space="preserve">services we offer, such as redeeming loyalty points for travel or merchandise, buying and selling crypto to facilitate everyday purchases, or converting loyalty points to cash or gift cards. There were 0.7 million unique monthly transacting accounts during the </w:t>
      </w:r>
      <w:r>
        <w:rPr>
          <w:rFonts w:ascii="Arial" w:cs="Arial" w:eastAsia="Arial" w:hAnsi="Arial"/>
          <w:sz w:val="18"/>
          <w:szCs w:val="18"/>
          <w:color w:val="000000"/>
        </w:rPr>
        <w:t>three months ending</w:t>
      </w:r>
      <w:r>
        <w:rPr>
          <w:rFonts w:ascii="Arial" w:cs="Arial" w:eastAsia="Arial" w:hAnsi="Arial"/>
          <w:sz w:val="18"/>
          <w:szCs w:val="18"/>
          <w:color w:val="0C0C0C"/>
        </w:rPr>
        <w:t xml:space="preserve"> </w:t>
      </w:r>
      <w:r>
        <w:rPr>
          <w:rFonts w:ascii="Arial" w:cs="Arial" w:eastAsia="Arial" w:hAnsi="Arial"/>
          <w:sz w:val="18"/>
          <w:szCs w:val="18"/>
          <w:color w:val="000000"/>
        </w:rPr>
        <w:t>March 31, 2023</w:t>
      </w:r>
      <w:r>
        <w:rPr>
          <w:rFonts w:ascii="Arial" w:cs="Arial" w:eastAsia="Arial" w:hAnsi="Arial"/>
          <w:sz w:val="18"/>
          <w:szCs w:val="18"/>
          <w:color w:val="0C0C0C"/>
        </w:rPr>
        <w:t>.</w:t>
      </w:r>
    </w:p>
    <w:p>
      <w:pPr>
        <w:spacing w:after="0" w:line="215" w:lineRule="exact"/>
        <w:rPr>
          <w:sz w:val="20"/>
          <w:szCs w:val="20"/>
          <w:color w:val="auto"/>
        </w:rPr>
      </w:pPr>
    </w:p>
    <w:p>
      <w:pPr>
        <w:jc w:val="both"/>
        <w:ind w:left="660" w:hanging="328"/>
        <w:spacing w:after="0" w:line="287" w:lineRule="auto"/>
        <w:tabs>
          <w:tab w:leader="none" w:pos="660" w:val="left"/>
        </w:tabs>
        <w:numPr>
          <w:ilvl w:val="0"/>
          <w:numId w:val="25"/>
        </w:numPr>
        <w:rPr>
          <w:rFonts w:ascii="Arial" w:cs="Arial" w:eastAsia="Arial" w:hAnsi="Arial"/>
          <w:sz w:val="20"/>
          <w:szCs w:val="20"/>
          <w:color w:val="0C0C0C"/>
        </w:rPr>
      </w:pPr>
      <w:r>
        <w:rPr>
          <w:rFonts w:ascii="Arial" w:cs="Arial" w:eastAsia="Arial" w:hAnsi="Arial"/>
          <w:sz w:val="18"/>
          <w:szCs w:val="18"/>
          <w:b w:val="1"/>
          <w:bCs w:val="1"/>
          <w:i w:val="1"/>
          <w:iCs w:val="1"/>
          <w:color w:val="0C0C0C"/>
        </w:rPr>
        <w:t xml:space="preserve">Digital asset conversion volume. </w:t>
      </w:r>
      <w:r>
        <w:rPr>
          <w:rFonts w:ascii="Arial" w:cs="Arial" w:eastAsia="Arial" w:hAnsi="Arial"/>
          <w:sz w:val="18"/>
          <w:szCs w:val="18"/>
          <w:color w:val="0C0C0C"/>
        </w:rPr>
        <w:t>This KPI refers to the dollar value of transaction volume across our platform, including loyalty redemption and</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 xml:space="preserve">crypto buy/sell transactions. Our loyalty point and notional traded crypto volume was $193 million during the </w:t>
      </w:r>
      <w:r>
        <w:rPr>
          <w:rFonts w:ascii="Arial" w:cs="Arial" w:eastAsia="Arial" w:hAnsi="Arial"/>
          <w:sz w:val="18"/>
          <w:szCs w:val="18"/>
          <w:color w:val="000000"/>
        </w:rPr>
        <w:t>three months ending March 31,</w:t>
      </w:r>
      <w:r>
        <w:rPr>
          <w:rFonts w:ascii="Arial" w:cs="Arial" w:eastAsia="Arial" w:hAnsi="Arial"/>
          <w:sz w:val="18"/>
          <w:szCs w:val="18"/>
          <w:color w:val="0C0C0C"/>
        </w:rPr>
        <w:t xml:space="preserve"> </w:t>
      </w:r>
      <w:r>
        <w:rPr>
          <w:rFonts w:ascii="Arial" w:cs="Arial" w:eastAsia="Arial" w:hAnsi="Arial"/>
          <w:sz w:val="18"/>
          <w:szCs w:val="18"/>
          <w:color w:val="000000"/>
        </w:rPr>
        <w:t>2023</w:t>
      </w:r>
      <w:r>
        <w:rPr>
          <w:rFonts w:ascii="Arial" w:cs="Arial" w:eastAsia="Arial" w:hAnsi="Arial"/>
          <w:sz w:val="18"/>
          <w:szCs w:val="18"/>
          <w:color w:val="0C0C0C"/>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8"/>
          <w:szCs w:val="18"/>
          <w:color w:val="231F20"/>
        </w:rPr>
        <w:t xml:space="preserve">The following table is our consolidated statements of operations </w:t>
      </w:r>
      <w:r>
        <w:rPr>
          <w:rFonts w:ascii="Arial" w:cs="Arial" w:eastAsia="Arial" w:hAnsi="Arial"/>
          <w:sz w:val="18"/>
          <w:szCs w:val="18"/>
          <w:color w:val="000000"/>
        </w:rPr>
        <w:t>for the three months ended March 31, 2023 and March 31, 2022, respectively,</w:t>
      </w:r>
      <w:r>
        <w:rPr>
          <w:rFonts w:ascii="Arial" w:cs="Arial" w:eastAsia="Arial" w:hAnsi="Arial"/>
          <w:sz w:val="18"/>
          <w:szCs w:val="18"/>
          <w:color w:val="231F20"/>
        </w:rPr>
        <w:t xml:space="preserve">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Three Months Ended</w:t>
            </w:r>
          </w:p>
        </w:tc>
      </w:tr>
      <w:tr>
        <w:trPr>
          <w:trHeight w:val="213"/>
        </w:trPr>
        <w:tc>
          <w:tcPr>
            <w:tcW w:w="8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w w:val="98"/>
              </w:rPr>
              <w:t>March 31, 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w w:val="98"/>
              </w:rPr>
              <w:t>March 31, 2022</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Net revenues (includes related party net revenues of $1 and $20, respectively)</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12,986</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12,532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808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35,088</w:t>
            </w:r>
          </w:p>
        </w:tc>
      </w:tr>
      <w:tr>
        <w:trPr>
          <w:trHeight w:val="23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Technology and communication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4,358</w:t>
            </w:r>
          </w:p>
        </w:tc>
      </w:tr>
      <w:tr>
        <w:trPr>
          <w:trHeight w:val="243"/>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w:t>
            </w: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Acquisition-related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r>
      <w:tr>
        <w:trPr>
          <w:trHeight w:val="237"/>
        </w:trPr>
        <w:tc>
          <w:tcPr>
            <w:tcW w:w="8080" w:type="dxa"/>
            <w:vAlign w:val="bottom"/>
          </w:tcPr>
          <w:p>
            <w:pPr>
              <w:ind w:left="180"/>
              <w:spacing w:after="0"/>
              <w:rPr>
                <w:sz w:val="20"/>
                <w:szCs w:val="20"/>
                <w:color w:val="auto"/>
              </w:rPr>
            </w:pPr>
            <w:r>
              <w:rPr>
                <w:rFonts w:ascii="Arial" w:cs="Arial" w:eastAsia="Arial" w:hAnsi="Arial"/>
                <w:sz w:val="18"/>
                <w:szCs w:val="18"/>
                <w:color w:val="auto"/>
              </w:rPr>
              <w:t>Related party expenses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r>
      <w:tr>
        <w:trPr>
          <w:trHeight w:val="237"/>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61,018</w:t>
            </w:r>
          </w:p>
        </w:tc>
      </w:tr>
      <w:tr>
        <w:trPr>
          <w:trHeight w:val="22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(48,486)</w:t>
            </w:r>
          </w:p>
        </w:tc>
      </w:tr>
      <w:tr>
        <w:trPr>
          <w:trHeight w:val="223"/>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8080" w:type="dxa"/>
            <w:vAlign w:val="bottom"/>
          </w:tcPr>
          <w:p>
            <w:pPr>
              <w:ind w:left="180"/>
              <w:spacing w:after="0"/>
              <w:rPr>
                <w:sz w:val="20"/>
                <w:szCs w:val="20"/>
                <w:color w:val="auto"/>
              </w:rPr>
            </w:pPr>
            <w:r>
              <w:rPr>
                <w:rFonts w:ascii="Arial" w:cs="Arial" w:eastAsia="Arial" w:hAnsi="Arial"/>
                <w:sz w:val="18"/>
                <w:szCs w:val="18"/>
                <w:color w:val="auto"/>
              </w:rPr>
              <w:t>(Loss) gain from change in fair value of warrant liability</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3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(46,459)</w:t>
            </w:r>
          </w:p>
        </w:tc>
      </w:tr>
      <w:tr>
        <w:trPr>
          <w:trHeight w:val="243"/>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(44,859)</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(43,321)</w:t>
            </w: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(36,193)</w:t>
            </w: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Net loss attributable to Bakkt Holdings, Inc.</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8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Net loss per share attributable to Class A common stockholders.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931"/>
        </w:trPr>
        <w:tc>
          <w:tcPr>
            <w:tcW w:w="8080" w:type="dxa"/>
            <w:vAlign w:val="bottom"/>
          </w:tcPr>
          <w:p>
            <w:pPr>
              <w:ind w:left="55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8"/>
        </w:trPr>
        <w:tc>
          <w:tcPr>
            <w:tcW w:w="8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Three Months Ended March 31, 2023 compared to Three Months Ended March 31, 2022</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three months ended March 31, 2023 included the following notable items relative to the three months ended March 31, 2022:</w:t>
      </w:r>
    </w:p>
    <w:p>
      <w:pPr>
        <w:spacing w:after="0" w:line="10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Revenue increased $0.5 million, or 4%, primarily driven by an increase transaction revenue from the loyalty redemption business; and</w:t>
      </w:r>
    </w:p>
    <w:p>
      <w:pPr>
        <w:spacing w:after="0" w:line="47" w:lineRule="exact"/>
        <w:rPr>
          <w:rFonts w:ascii="Arial" w:cs="Arial" w:eastAsia="Arial" w:hAnsi="Arial"/>
          <w:sz w:val="17"/>
          <w:szCs w:val="17"/>
          <w:color w:val="231F20"/>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231F20"/>
        </w:rPr>
        <w:t>Operating expenses decreased $2.6 million primarily driven by lower depreciation and amortization and reduced marketing expenses.</w:t>
      </w:r>
    </w:p>
    <w:p>
      <w:pPr>
        <w:spacing w:after="0" w:line="27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i w:val="1"/>
          <w:iCs w:val="1"/>
          <w:color w:val="231F20"/>
        </w:rPr>
        <w:t>Revenue</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38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March 31, 2022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12,986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12,532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3.6 %</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Net Revenues</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Net revenues consist of transaction revenue and subscription and service revenue. We receive revenue when consumers use our services to buy, sell, and redeem crypto and loyalty points. We generate revenue across our platform in the following key areas:</w:t>
      </w:r>
    </w:p>
    <w:p>
      <w:pPr>
        <w:spacing w:after="0" w:line="49" w:lineRule="exact"/>
        <w:rPr>
          <w:sz w:val="20"/>
          <w:szCs w:val="20"/>
          <w:color w:val="auto"/>
        </w:rPr>
      </w:pPr>
    </w:p>
    <w:p>
      <w:pPr>
        <w:ind w:left="660" w:hanging="328"/>
        <w:spacing w:after="0" w:line="32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Subscription and service revenue: We receive a recurring subscription revenue stream from client platform fees as well as service revenue from software development fees and call center support.</w:t>
      </w:r>
    </w:p>
    <w:p>
      <w:pPr>
        <w:spacing w:after="0" w:line="48" w:lineRule="exact"/>
        <w:rPr>
          <w:rFonts w:ascii="Arial" w:cs="Arial" w:eastAsia="Arial" w:hAnsi="Arial"/>
          <w:sz w:val="18"/>
          <w:szCs w:val="18"/>
          <w:color w:val="auto"/>
        </w:rPr>
      </w:pPr>
    </w:p>
    <w:p>
      <w:pPr>
        <w:ind w:left="660" w:hanging="328"/>
        <w:spacing w:after="0" w:line="32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Transaction revenue: We generate transaction revenue through loyalty redemption volumes where we receive a percentage fee based on the volume and from crypto buy/sell trades where we earn a spread on both legs of the transaction.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revenue has seasonality and is typically higher in the fourth quarter, driven by holiday spending and the booking of travel. Revenue generated from our crypto services has been immaterial to date. However, we expect that transaction and subscription revenue from crypto trades will be significant drivers of our business, and we expect those revenues to increase as we grow our client base and our customers. As a result, over time, we expect loyalty revenue, which has been the source of substantially all of our revenue historically, to decrease as a percentage of overall revenue as the revenue from our other product and service offerings grows.</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Net revenues increased by $0.5 million, or 3.6%, for the three months ended March 31, 2023 compared to the three months ended March 31, 2022. The increase was comprised of $1.0 million of increased transaction revenue, offset by $0.5 million of decreased subscription and service revenue. The increase in transaction revenue was primarily driven by higher customer activity in our loyalty redemption services business. The decrease in subscription and service revenue was related to reduced development services.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 xml:space="preserve">Operating expenses consist of compensation and benefits, professional services, technology and communication expenses, selling, general and administrative expenses, acquisition-related expenses, depreciation and amortization, affiliate expenses, impairment of </w:t>
      </w:r>
      <w:r>
        <w:rPr>
          <w:rFonts w:ascii="Arial" w:cs="Arial" w:eastAsia="Arial" w:hAnsi="Arial"/>
          <w:sz w:val="18"/>
          <w:szCs w:val="18"/>
          <w:color w:val="000000"/>
        </w:rPr>
        <w:t>indefinite-lived intangible assets,</w:t>
      </w:r>
      <w:r>
        <w:rPr>
          <w:rFonts w:ascii="Arial" w:cs="Arial" w:eastAsia="Arial" w:hAnsi="Arial"/>
          <w:sz w:val="18"/>
          <w:szCs w:val="18"/>
          <w:color w:val="231F20"/>
        </w:rPr>
        <w:t xml:space="preserve"> </w:t>
      </w:r>
      <w:r>
        <w:rPr>
          <w:rFonts w:ascii="Arial" w:cs="Arial" w:eastAsia="Arial" w:hAnsi="Arial"/>
          <w:sz w:val="18"/>
          <w:szCs w:val="18"/>
          <w:color w:val="000000"/>
        </w:rPr>
        <w:t>long-lived assets, and goodwill</w:t>
      </w:r>
      <w:r>
        <w:rPr>
          <w:rFonts w:ascii="Arial" w:cs="Arial" w:eastAsia="Arial" w:hAnsi="Arial"/>
          <w:sz w:val="18"/>
          <w:szCs w:val="18"/>
          <w:color w:val="231F20"/>
        </w:rPr>
        <w:t>, restructuring charges, and other operating expenses.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8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4"/>
                <w:szCs w:val="24"/>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Pr>
          <w:p>
            <w:pPr>
              <w:spacing w:after="0"/>
              <w:rPr>
                <w:sz w:val="24"/>
                <w:szCs w:val="2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8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34,144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35,088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Compensation and benefits expense include all salaries and benefits, compensation for contract labor, incentive programs for employees, payroll taxes, share-based and unit-based compensation and other employee related costs. Compensation and benefits expense is the most significant component of our operating expenses, and we expect this will continue to be the case after the restructuring actions we took in the fourth quarter of 2022 and the first quarter of 2023.</w:t>
      </w:r>
    </w:p>
    <w:p>
      <w:pPr>
        <w:spacing w:after="0" w:line="17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Headcount increased year over year across functions as we invested in strengthening our service offerings and enhancing our systems, processes, and controls. Our restructuring actions have re-set our expense base to meet current market demand, and we expect to limit future hiring and leverage the team we have built to date as well as our Apex Crypto acquisition to execute our growth strategy. Accordingly, we expect that our compensation and expenses will decrease as a percentage of our revenue over time. Compensation and benefits decreased by $0.9 million, or 2.7%, for the three months ended March 31, 2023 compared to the three months ended March 31, 2022. The decrease was primarily due to a decrease of $6.6 million in non-cash compensation and incentive bonuses and a decrease of $2.6 million in contract labor for software development costs, partially offset by an increase of $5.6 million in salaries, wages and benefits and $2.6 million in capitalized software development costs.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Professional Services</w:t>
            </w: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8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4"/>
                <w:szCs w:val="24"/>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Pr>
          <w:p>
            <w:pPr>
              <w:spacing w:after="0"/>
              <w:rPr>
                <w:sz w:val="24"/>
                <w:szCs w:val="2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8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Professional services expense includes fees for accounting, legal and regulatory fees. Professional services decreased by $2.3 million, or 49.1%, for the three months ended March 31, 2023 compared to the three months ended March 31, 2022. The decrease was primarily due to a decrease of $1.3 million in audit and tax fees, $0.6 million in legal fees and $0.4 million in other professional fees.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Technology and Communication</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1"/>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39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March 31, 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Technology and Communication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31.2 %</w:t>
            </w:r>
          </w:p>
        </w:tc>
      </w:tr>
    </w:tbl>
    <w:p>
      <w:pPr>
        <w:spacing w:after="0" w:line="30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$1.4 million, or 31.2%, for the three months ended March 31, 2023 compared to the three months ended March 31, 2022. The increase was primarily due to an increase of $1.2 million in hardware and software license fees.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Selling, General and Administrative</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8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4"/>
                <w:szCs w:val="24"/>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Pr>
          <w:p>
            <w:pPr>
              <w:spacing w:after="0"/>
              <w:rPr>
                <w:sz w:val="24"/>
                <w:szCs w:val="2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8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9,435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231F20"/>
        </w:rPr>
        <w:t>Selling, general and administrative costs decreased by $2.7 million, or 28.9%, for the three months ended March 31, 2023 compared to the three months ended March 31, 2022. The decrease was primarily due to a $2.9 million reduction of marketing expenses. In 2022, the majority of marketing expenses were web-based promotional campaigns associated with our direct to consumer app, which we retired in the first quarter of 2023. We expect marketing efforts going forward to reflect our B2B2C focus and we will scale investments up or down depending on market conditions and opportunities.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8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4"/>
                <w:szCs w:val="24"/>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Pr>
          <w:p>
            <w:pPr>
              <w:spacing w:after="0"/>
              <w:rPr>
                <w:sz w:val="24"/>
                <w:szCs w:val="24"/>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8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 xml:space="preserve">Acquisition-related expenses increased by $0.3 million, or 50.4%, for the three months ended March 31, 2023 compared to the three months ended March 31, 2022. Acquisition-related expenses for the three months ended March 31, 2023 consist of </w:t>
      </w:r>
      <w:r>
        <w:rPr>
          <w:rFonts w:ascii="Arial" w:cs="Arial" w:eastAsia="Arial" w:hAnsi="Arial"/>
          <w:sz w:val="18"/>
          <w:szCs w:val="18"/>
          <w:color w:val="000000"/>
        </w:rPr>
        <w:t>fees for investment banking advisors, lawyers,</w:t>
      </w:r>
      <w:r>
        <w:rPr>
          <w:rFonts w:ascii="Arial" w:cs="Arial" w:eastAsia="Arial" w:hAnsi="Arial"/>
          <w:sz w:val="18"/>
          <w:szCs w:val="18"/>
          <w:color w:val="231F20"/>
        </w:rPr>
        <w:t xml:space="preserve"> </w:t>
      </w:r>
      <w:r>
        <w:rPr>
          <w:rFonts w:ascii="Arial" w:cs="Arial" w:eastAsia="Arial" w:hAnsi="Arial"/>
          <w:sz w:val="18"/>
          <w:szCs w:val="18"/>
          <w:color w:val="000000"/>
        </w:rPr>
        <w:t xml:space="preserve">accountants, tax advisors and public relations firms related to the </w:t>
      </w:r>
      <w:r>
        <w:rPr>
          <w:rFonts w:ascii="Arial" w:cs="Arial" w:eastAsia="Arial" w:hAnsi="Arial"/>
          <w:sz w:val="18"/>
          <w:szCs w:val="18"/>
          <w:color w:val="231F20"/>
        </w:rPr>
        <w:t>acquisitions of Apex Crypto and Bumped. The amount and timing of acquisition-related</w:t>
      </w:r>
      <w:r>
        <w:rPr>
          <w:rFonts w:ascii="Arial" w:cs="Arial" w:eastAsia="Arial" w:hAnsi="Arial"/>
          <w:sz w:val="18"/>
          <w:szCs w:val="18"/>
          <w:color w:val="000000"/>
        </w:rPr>
        <w:t xml:space="preserve"> </w:t>
      </w:r>
      <w:r>
        <w:rPr>
          <w:rFonts w:ascii="Arial" w:cs="Arial" w:eastAsia="Arial" w:hAnsi="Arial"/>
          <w:sz w:val="18"/>
          <w:szCs w:val="18"/>
          <w:color w:val="231F20"/>
        </w:rPr>
        <w:t>expenses is expected to vary across periods based on potential transaction activities.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5"/>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March 31, 2023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March 31, 2022</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5,851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(47.6 %)</w:t>
            </w:r>
          </w:p>
        </w:tc>
      </w:tr>
    </w:tbl>
    <w:p>
      <w:pPr>
        <w:spacing w:after="0" w:line="29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the VIH Business Combination. Depreciation and amortization decreased by $2.8 million, or 47.6%, for the three months ended March 31, 2023 compared to the three months ended March 31, 2022. The decrease was primarily due to lower net book values of intangible assets after impairments were recorded in 2022.</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2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Restructuring Expenses</w:t>
            </w: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2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6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Three Months Ended March</w:t>
            </w:r>
          </w:p>
        </w:tc>
        <w:tc>
          <w:tcPr>
            <w:tcW w:w="100" w:type="dxa"/>
            <w:vAlign w:val="bottom"/>
          </w:tcPr>
          <w:p>
            <w:pPr>
              <w:spacing w:after="0"/>
              <w:rPr>
                <w:sz w:val="24"/>
                <w:szCs w:val="24"/>
                <w:color w:val="auto"/>
              </w:rPr>
            </w:pPr>
          </w:p>
        </w:tc>
        <w:tc>
          <w:tcPr>
            <w:tcW w:w="254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March</w:t>
            </w: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Pr>
          <w:p>
            <w:pPr>
              <w:spacing w:after="0"/>
              <w:rPr>
                <w:sz w:val="24"/>
                <w:szCs w:val="24"/>
                <w:color w:val="auto"/>
              </w:rPr>
            </w:pPr>
          </w:p>
        </w:tc>
        <w:tc>
          <w:tcPr>
            <w:tcW w:w="12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920" w:type="dxa"/>
            <w:vAlign w:val="bottom"/>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31, 2023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31, 2022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19"/>
                <w:szCs w:val="19"/>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231F20"/>
        </w:rPr>
        <w:t>Restructuring expenses of $4.3 million during the three months ended March 31, 2023 consist of severance costs and accelerated vesting of non-cash compensation as part of our business simplification initiatives to focus on capabilities with strong product market fit and scalability.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(Loss) gain from Change in Fair Value of Warrant Liability</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Three Months Ended March</w:t>
            </w:r>
          </w:p>
        </w:tc>
        <w:tc>
          <w:tcPr>
            <w:tcW w:w="1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w w:val="94"/>
              </w:rPr>
              <w:t>Three Months Ended March</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31, 2023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31, 2022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3940" w:type="dxa"/>
            <w:vAlign w:val="bottom"/>
          </w:tcPr>
          <w:p>
            <w:pPr>
              <w:spacing w:after="0" w:line="169" w:lineRule="exact"/>
              <w:rPr>
                <w:sz w:val="20"/>
                <w:szCs w:val="20"/>
                <w:color w:val="auto"/>
              </w:rPr>
            </w:pPr>
            <w:r>
              <w:rPr>
                <w:rFonts w:ascii="Arial" w:cs="Arial" w:eastAsia="Arial" w:hAnsi="Arial"/>
                <w:sz w:val="18"/>
                <w:szCs w:val="18"/>
                <w:color w:val="auto"/>
              </w:rPr>
              <w:t>(Loss) gain from change in fair value of warrant</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5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2,428</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4"/>
                <w:szCs w:val="14"/>
                <w:color w:val="auto"/>
              </w:rPr>
            </w:pPr>
          </w:p>
        </w:tc>
        <w:tc>
          <w:tcPr>
            <w:tcW w:w="1260" w:type="dxa"/>
            <w:vAlign w:val="bottom"/>
            <w:vMerge w:val="restart"/>
          </w:tcPr>
          <w:p>
            <w:pPr>
              <w:ind w:left="96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liability</w:t>
            </w:r>
          </w:p>
        </w:tc>
        <w:tc>
          <w:tcPr>
            <w:tcW w:w="46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We recorded a loss of $1.0 million during the three months ended March 31, 2023 for the change in fair value on the revaluation of our warrant liability associated with our public warrants. We recorded a gain of $2.4 million during the three months ended March 31, 2022 for the change in fair value on the revaluation of our warrant liability associated with our public warrants. These are non-cash losses and gains and are driven by fluctuations in the market price of our public warrants.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Other income (expense), net</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5"/>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March 31, 2023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March 31, 2022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(96.3 %)</w:t>
            </w:r>
          </w:p>
        </w:tc>
      </w:tr>
    </w:tbl>
    <w:p>
      <w:pPr>
        <w:spacing w:after="0" w:line="30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Other income (expense), net primarily consists of non-operating gains and losses. During the three months ended March 31, 2023, we had expense of less than $0.1 million primarily related to foreign currency translation. During the three months ended March 31, 2022, we recorded expense of $0.5 million primarily related to foreign currency translation.</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4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Income tax benefit (expense)</w:t>
            </w: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4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Three Months Ended March</w:t>
            </w:r>
          </w:p>
        </w:tc>
        <w:tc>
          <w:tcPr>
            <w:tcW w:w="12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Three Months Ended March</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24"/>
                <w:szCs w:val="24"/>
                <w:color w:val="auto"/>
              </w:rPr>
            </w:pPr>
          </w:p>
        </w:tc>
        <w:tc>
          <w:tcPr>
            <w:tcW w:w="12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940" w:type="dxa"/>
            <w:vAlign w:val="bottom"/>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31, 2023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31, 2022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3,138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560" w:firstLine="648"/>
        <w:spacing w:after="0" w:line="328" w:lineRule="auto"/>
        <w:rPr>
          <w:sz w:val="20"/>
          <w:szCs w:val="20"/>
          <w:color w:val="auto"/>
        </w:rPr>
      </w:pPr>
      <w:r>
        <w:rPr>
          <w:rFonts w:ascii="Arial" w:cs="Arial" w:eastAsia="Arial" w:hAnsi="Arial"/>
          <w:sz w:val="17"/>
          <w:szCs w:val="17"/>
          <w:color w:val="231F20"/>
        </w:rPr>
        <w:t>Income tax expense during the three months ended March 31, 2023 primarily consists of current state tax expense related to certain state jurisdictions wherein we are required to file income tax returns during the period. Income tax benefit during the three months ended March 31, 2022 primarily consists of deferred tax benefit from net loss allocated to Bakkt Holdings, Inc. during the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56"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231F20"/>
        </w:rPr>
        <w:t xml:space="preserve">As of March 31, 2023, we had $50.8 million and $19.3 million of cash and cash equivalents and restricted cash, respectively. </w:t>
      </w:r>
      <w:r>
        <w:rPr>
          <w:rFonts w:ascii="Arial" w:cs="Arial" w:eastAsia="Arial" w:hAnsi="Arial"/>
          <w:sz w:val="16"/>
          <w:szCs w:val="16"/>
          <w:color w:val="000000"/>
        </w:rPr>
        <w:t>As of</w:t>
      </w:r>
      <w:r>
        <w:rPr>
          <w:rFonts w:ascii="Arial" w:cs="Arial" w:eastAsia="Arial" w:hAnsi="Arial"/>
          <w:sz w:val="16"/>
          <w:szCs w:val="16"/>
          <w:color w:val="231F20"/>
        </w:rPr>
        <w:t xml:space="preserve"> March 31, 2023, we also had </w:t>
      </w:r>
      <w:r>
        <w:rPr>
          <w:rFonts w:ascii="Arial" w:cs="Arial" w:eastAsia="Arial" w:hAnsi="Arial"/>
          <w:sz w:val="16"/>
          <w:szCs w:val="16"/>
          <w:color w:val="000000"/>
        </w:rPr>
        <w:t>$67.2 million of cash in escrow for the funding of the Apex acquisition, which closed on April 1, 2023.</w:t>
      </w:r>
      <w:r>
        <w:rPr>
          <w:rFonts w:ascii="Arial" w:cs="Arial" w:eastAsia="Arial" w:hAnsi="Arial"/>
          <w:sz w:val="16"/>
          <w:szCs w:val="16"/>
          <w:color w:val="231F20"/>
        </w:rPr>
        <w:t xml:space="preserve"> Additionally, as of March 31, 2023, we had $66.8 million of available-for-sale debt securities that mature over the next 3 to 6 months. Cash and cash equivalents consist of cash deposits at banks and money market funds. Restricted cash is held to satisfy certain minimum capital requirements pursuant to regulatory requirements.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 xml:space="preserve">We intend to use our unrestricted cash and proceeds from maturity of available-for-sale debt securities to (i) maintain our sales and marketing efforts and activate crypto clients, (ii) maintain our research and product development efforts, and (iii) optimize our technology infrastructure and operational support. </w:t>
      </w:r>
      <w:r>
        <w:rPr>
          <w:rFonts w:ascii="Arial" w:cs="Arial" w:eastAsia="Arial" w:hAnsi="Arial"/>
          <w:sz w:val="16"/>
          <w:szCs w:val="16"/>
          <w:color w:val="231F20"/>
        </w:rPr>
        <w:t>We expect to limit future hiring and leverage the team we have built to date as well as our Apex Crypto acquisition to execute our</w:t>
      </w:r>
      <w:r>
        <w:rPr>
          <w:rFonts w:ascii="Arial" w:cs="Arial" w:eastAsia="Arial" w:hAnsi="Arial"/>
          <w:sz w:val="16"/>
          <w:szCs w:val="16"/>
          <w:color w:val="auto"/>
        </w:rPr>
        <w:t xml:space="preserve"> </w:t>
      </w:r>
      <w:r>
        <w:rPr>
          <w:rFonts w:ascii="Arial" w:cs="Arial" w:eastAsia="Arial" w:hAnsi="Arial"/>
          <w:sz w:val="16"/>
          <w:szCs w:val="16"/>
          <w:color w:val="231F20"/>
        </w:rPr>
        <w:t xml:space="preserve">growth strategy. Excluding the cash purchase price to acquire Apex Crypto, we expect our cash usage in 2023 to decline from 2022 levels driven by the combined impact of increased revenue and expense reductions related to the completion of large-dollar investments in 2022 and benefits from restructuring actions. </w:t>
      </w:r>
      <w:r>
        <w:rPr>
          <w:rFonts w:ascii="Arial" w:cs="Arial" w:eastAsia="Arial" w:hAnsi="Arial"/>
          <w:sz w:val="16"/>
          <w:szCs w:val="16"/>
          <w:color w:val="000000"/>
        </w:rPr>
        <w:t>In addition, we may in the future enter into arrangements to acquire or invest in complementary businesses, services, technologies or intellectual</w:t>
      </w:r>
      <w:r>
        <w:rPr>
          <w:rFonts w:ascii="Arial" w:cs="Arial" w:eastAsia="Arial" w:hAnsi="Arial"/>
          <w:sz w:val="16"/>
          <w:szCs w:val="16"/>
          <w:color w:val="231F20"/>
        </w:rPr>
        <w:t xml:space="preserve"> </w:t>
      </w:r>
      <w:r>
        <w:rPr>
          <w:rFonts w:ascii="Arial" w:cs="Arial" w:eastAsia="Arial" w:hAnsi="Arial"/>
          <w:sz w:val="16"/>
          <w:szCs w:val="16"/>
          <w:color w:val="000000"/>
        </w:rPr>
        <w:t>property rights. However, we have no agreements or commitments with respect to any such acquisitions or investments at this time.</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expected uses of available funds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7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We expect to augment our personnel with employees acquired in the Apex Crypto transaction. We believe that we substantially completed the necessary investment in our platforms in 2022, which enables us to simplify our organization and focus on the core capabilities that are critical to our strategy.</w:t>
      </w:r>
    </w:p>
    <w:p>
      <w:pPr>
        <w:spacing w:after="0" w:line="18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ind w:left="660"/>
              <w:spacing w:after="0"/>
              <w:rPr>
                <w:sz w:val="20"/>
                <w:szCs w:val="20"/>
                <w:color w:val="auto"/>
              </w:rPr>
            </w:pPr>
            <w:r>
              <w:rPr>
                <w:rFonts w:ascii="Arial" w:cs="Arial" w:eastAsia="Arial" w:hAnsi="Arial"/>
                <w:sz w:val="18"/>
                <w:szCs w:val="18"/>
                <w:color w:val="231F20"/>
              </w:rPr>
              <w:t>The following table summarizes our cash flows for the periods presented (</w:t>
            </w:r>
            <w:r>
              <w:rPr>
                <w:rFonts w:ascii="Arial" w:cs="Arial" w:eastAsia="Arial" w:hAnsi="Arial"/>
                <w:sz w:val="18"/>
                <w:szCs w:val="18"/>
                <w:color w:val="000000"/>
              </w:rPr>
              <w:t>in thousands)</w:t>
            </w:r>
            <w:r>
              <w:rPr>
                <w:rFonts w:ascii="Arial" w:cs="Arial" w:eastAsia="Arial" w:hAnsi="Arial"/>
                <w:sz w:val="18"/>
                <w:szCs w:val="18"/>
                <w:color w:val="231F20"/>
              </w:rPr>
              <w: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774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Three Months Ended</w:t>
            </w:r>
          </w:p>
        </w:tc>
        <w:tc>
          <w:tcPr>
            <w:tcW w:w="12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Three Months Ended</w:t>
            </w:r>
          </w:p>
        </w:tc>
      </w:tr>
      <w:tr>
        <w:trPr>
          <w:trHeight w:val="239"/>
        </w:trPr>
        <w:tc>
          <w:tcPr>
            <w:tcW w:w="77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March 31, 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March 31, 2022</w:t>
            </w: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(33,156)</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69,699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(3,122)</w:t>
            </w: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18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Net cash flows used in operating activities of $47.2 million for the three months ended March 31, 2023 was primarily related to our net loss of $44.9 million and net cash outflows resulting from changes in our operating assets and liabilities of $15.4 million, offset by non-cash charges of $13.0 million. Net cash outflows from changes in our operating assets and liabilities for the three months ended March 31, 2023 resulted primarily from a $16.0 million decrease of accounts payable and accrued liabilities, which was partially offset by a decrease in prepaid insurance of $4.3 million. The non-cash charges primarily consisted of share-based compensation of $7.2 million and depreciation and amortization of $3.1 million.</w:t>
      </w:r>
    </w:p>
    <w:p>
      <w:pPr>
        <w:spacing w:after="0" w:line="16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Net cash flows used in operating activities of $33.2 million for the three months ended March 31, 2022 is primarily related to our net loss of $43.3 million and changes in our operating assets and liabilities of $4.0 million, offset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48" w:lineRule="auto"/>
        <w:rPr>
          <w:sz w:val="20"/>
          <w:szCs w:val="20"/>
          <w:color w:val="auto"/>
        </w:rPr>
      </w:pPr>
      <w:r>
        <w:rPr>
          <w:rFonts w:ascii="Arial" w:cs="Arial" w:eastAsia="Arial" w:hAnsi="Arial"/>
          <w:sz w:val="16"/>
          <w:szCs w:val="16"/>
          <w:color w:val="231F20"/>
        </w:rPr>
        <w:t>by non-cash charges of $14.2 million. The non-cash charges primarily consisted of share-based compensation of $13.2 million and depreciation and amortization of $5.9 million, offset by a gain from change in fair value of warrant liability of $2.4 million. Net cash outflows from changes in operating assets and liabilities resulted primarily from an increase in accounts receivables of $1.3 million, a decrease of accounts payable and accrued liabilities of $1.7 million and an increase in other assets and liabilities of $4.3 million, which were partially offset by a decrease in prepaid insurance of $4.3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6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Net cash flows provided by investing activities of $69.7 million for the three months ended March 31, 2023 consisted of the receipt of $101.0 million of proceeds from the sale of available-for-sale securities, partially offset by the purchase of $27.0 million of available-for-sale debt securities, $3.7 million of capitalized costs of internally developed software for our technology platforms and $0.6 million cash used to acquire Bumped.</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Net cash flows used in investing activities of $3.1 million for the three months ended March 31, 2022 consisted of capitalized costs of internally developed software. Capitalized expenditures were primarily related to capitalized expenses associated with internally developed software for our technology platforms.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did not have any financing activities during the three months ended March 31, 2023.</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Net cash flows provided by financing activities of less than $0.1 million for the three months ended March 31, 2022 resulted from proceeds from the exercise of public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Tax Receivable Agreement</w:t>
      </w:r>
    </w:p>
    <w:p>
      <w:pPr>
        <w:spacing w:after="0" w:line="2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Concurrently with the completion of the VIH Business Combination, we entered into a Tax Receivable Agreement ("TRA") with certain Bakkt Equity Holders. Pursuant to the TRA,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9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7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7"/>
          <w:szCs w:val="17"/>
          <w:color w:val="auto"/>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March 31, 2023, 22,678,761 Opco common units were exchanged for Class A common stock. Based on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Company's history of taxable losses, the Company has concluded that it is not probable to expect cash tax payments in the foreseeable future and as such, no value has been recorded under the TRA.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 and Commitments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The following is a summary of our significant contractual obligations and commitments as of </w:t>
      </w:r>
      <w:r>
        <w:rPr>
          <w:rFonts w:ascii="Arial" w:cs="Arial" w:eastAsia="Arial" w:hAnsi="Arial"/>
          <w:sz w:val="18"/>
          <w:szCs w:val="18"/>
          <w:color w:val="000000"/>
        </w:rPr>
        <w:t>March 31, 2023</w:t>
      </w:r>
      <w:r>
        <w:rPr>
          <w:rFonts w:ascii="Arial" w:cs="Arial" w:eastAsia="Arial" w:hAnsi="Arial"/>
          <w:sz w:val="18"/>
          <w:szCs w:val="18"/>
          <w:color w:val="231F20"/>
        </w:rPr>
        <w:t xml:space="preserve">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ind w:left="1100"/>
              <w:spacing w:after="0"/>
              <w:rPr>
                <w:sz w:val="20"/>
                <w:szCs w:val="20"/>
                <w:color w:val="auto"/>
              </w:rPr>
            </w:pPr>
            <w:r>
              <w:rPr>
                <w:rFonts w:ascii="Arial" w:cs="Arial" w:eastAsia="Arial" w:hAnsi="Arial"/>
                <w:sz w:val="18"/>
                <w:szCs w:val="18"/>
                <w:b w:val="1"/>
                <w:bCs w:val="1"/>
                <w:color w:val="auto"/>
              </w:rPr>
              <w:t>Payments Due by Period</w:t>
            </w: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77"/>
        </w:trPr>
        <w:tc>
          <w:tcPr>
            <w:tcW w:w="3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Less than 1 year</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3-5 years</w:t>
            </w:r>
          </w:p>
        </w:tc>
        <w:tc>
          <w:tcPr>
            <w:tcW w:w="16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More than 5 years</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37"/>
        </w:trPr>
        <w:tc>
          <w:tcPr>
            <w:tcW w:w="350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w:t>
            </w:r>
          </w:p>
        </w:tc>
      </w:tr>
      <w:tr>
        <w:trPr>
          <w:trHeight w:val="229"/>
        </w:trPr>
        <w:tc>
          <w:tcPr>
            <w:tcW w:w="3500" w:type="dxa"/>
            <w:vAlign w:val="bottom"/>
          </w:tcPr>
          <w:p>
            <w:pPr>
              <w:ind w:left="20"/>
              <w:spacing w:after="0" w:line="230" w:lineRule="exact"/>
              <w:rPr>
                <w:sz w:val="20"/>
                <w:szCs w:val="20"/>
                <w:color w:val="auto"/>
              </w:rPr>
            </w:pPr>
            <w:r>
              <w:rPr>
                <w:rFonts w:ascii="Arial" w:cs="Arial" w:eastAsia="Arial" w:hAnsi="Arial"/>
                <w:sz w:val="18"/>
                <w:szCs w:val="18"/>
                <w:color w:val="auto"/>
                <w:w w:val="96"/>
              </w:rPr>
              <w:t>Future minimum operating lease payments</w:t>
            </w:r>
            <w:r>
              <w:rPr>
                <w:rFonts w:ascii="Arial" w:cs="Arial" w:eastAsia="Arial" w:hAnsi="Arial"/>
                <w:sz w:val="23"/>
                <w:szCs w:val="23"/>
                <w:color w:val="auto"/>
                <w:w w:val="96"/>
                <w:vertAlign w:val="superscript"/>
              </w:rPr>
              <w:t>(2)</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10,794</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7,471</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13,601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36,417</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29,894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8,371</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13,601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60,467</w:t>
            </w:r>
          </w:p>
        </w:tc>
      </w:tr>
    </w:tbl>
    <w:p>
      <w:pPr>
        <w:spacing w:after="0" w:line="31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minimum commitment payments under a four-year cloud computing arrangement and a separate five-year marketing partnership.</w:t>
      </w:r>
    </w:p>
    <w:p>
      <w:pPr>
        <w:spacing w:after="0" w:line="61" w:lineRule="exact"/>
        <w:rPr>
          <w:rFonts w:ascii="Arial" w:cs="Arial" w:eastAsia="Arial" w:hAnsi="Arial"/>
          <w:sz w:val="17"/>
          <w:szCs w:val="17"/>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rental payments under operating leases with remaining non-cancellable terms in excess of one year.</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 xml:space="preserve">Additionally, 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that we maintain a month-end cash balance of $40.0 million. In January 2021, the purchasing card facility was extended to April 15, 2022 in order to facilitate a long-term agreement on more favorable terms for us. </w:t>
      </w:r>
      <w:r>
        <w:rPr>
          <w:rFonts w:ascii="Arial" w:cs="Arial" w:eastAsia="Arial" w:hAnsi="Arial"/>
          <w:sz w:val="17"/>
          <w:szCs w:val="17"/>
          <w:color w:val="000000"/>
        </w:rPr>
        <w:t>In April 2022, we further extended the maturity date of the purchasing card</w:t>
      </w:r>
      <w:r>
        <w:rPr>
          <w:rFonts w:ascii="Arial" w:cs="Arial" w:eastAsia="Arial" w:hAnsi="Arial"/>
          <w:sz w:val="17"/>
          <w:szCs w:val="17"/>
          <w:color w:val="231F20"/>
        </w:rPr>
        <w:t xml:space="preserve"> </w:t>
      </w:r>
      <w:r>
        <w:rPr>
          <w:rFonts w:ascii="Arial" w:cs="Arial" w:eastAsia="Arial" w:hAnsi="Arial"/>
          <w:sz w:val="17"/>
          <w:szCs w:val="17"/>
          <w:color w:val="000000"/>
        </w:rPr>
        <w:t>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Financial Measures</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present Adjusted EBITDA as a non-GAAP financial measure.</w:t>
      </w:r>
    </w:p>
    <w:p>
      <w:pPr>
        <w:spacing w:after="0" w:line="2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231F20"/>
        </w:rPr>
        <w:t>We believe that Adjusted EBITDA provides relevant and useful information, which is used by management in assessing the performance of our business. Adjusted EBITDA is defined as earnings before interest, income taxes, depreciation, amortization, acquisition-related expenses,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77"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15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The following table presents a reconciliation of net loss, the most directly comparable GAAP operating performance measure, to our Adjusted EBITDA for each of the periods indicated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Three Months Ended</w:t>
            </w:r>
          </w:p>
        </w:tc>
        <w:tc>
          <w:tcPr>
            <w:tcW w:w="8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Three Months Ended</w:t>
            </w:r>
          </w:p>
        </w:tc>
      </w:tr>
      <w:tr>
        <w:trPr>
          <w:trHeight w:val="239"/>
        </w:trPr>
        <w:tc>
          <w:tcPr>
            <w:tcW w:w="77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March 31, 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March 31, 2022</w:t>
            </w:r>
          </w:p>
        </w:tc>
      </w:tr>
      <w:tr>
        <w:trPr>
          <w:trHeight w:val="22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(43,321)</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5,851</w:t>
            </w: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(40,669)</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and unit-based compensation expense</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Cancellation of common units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from change in fair value of warrant liability</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ICE transition services expense</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Adjusted EBITDA loss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(28,854)</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(28,927)</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231F20"/>
        </w:rPr>
        <w:t>Adjusted EBITDA loss for the three months ended March 31, 2023 decreased by less than $0.1 million or (0.3)% as compared to the three months ended March 31, 2022. The increased loss was primarily due to a $5.6 million increase in salaries, wages and benefits resulting from higher headcount to support the projected growth in our business, partially offset by a $2.7 million reduction in selling, general and administrative expenses as part of our efforts to exercise prudent expense management, as well as a $2.3 million reduction in professional services fees.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For further information about our critical accounting policies and estimates, refer to “Item 7. Management’s Discussion and Analysis of Financial Condition and Results of Operations” in our Form 10-K. There have been no material changes to our critical accounting policies and estimates since our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w:t>
      </w:r>
    </w:p>
    <w:p>
      <w:pPr>
        <w:spacing w:after="0" w:line="25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 xml:space="preserve">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w:t>
      </w:r>
      <w:r>
        <w:rPr>
          <w:rFonts w:ascii="Arial" w:cs="Arial" w:eastAsia="Arial" w:hAnsi="Arial"/>
          <w:sz w:val="16"/>
          <w:szCs w:val="16"/>
          <w:color w:val="231F20"/>
        </w:rPr>
        <w:t>The significant estimates and assumptions that affect the financial statements may</w:t>
      </w:r>
      <w:r>
        <w:rPr>
          <w:rFonts w:ascii="Arial" w:cs="Arial" w:eastAsia="Arial" w:hAnsi="Arial"/>
          <w:sz w:val="16"/>
          <w:szCs w:val="16"/>
          <w:color w:val="auto"/>
        </w:rPr>
        <w:t xml:space="preserve"> </w:t>
      </w:r>
      <w:r>
        <w:rPr>
          <w:rFonts w:ascii="Arial" w:cs="Arial" w:eastAsia="Arial" w:hAnsi="Arial"/>
          <w:sz w:val="16"/>
          <w:szCs w:val="16"/>
          <w:color w:val="231F20"/>
        </w:rPr>
        <w:t>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and Adopted Accounting Pronouncements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 xml:space="preserve">Recently issued and adopted accounting pronouncements are described in Note 2 in the unaudited consolidated financial statements </w:t>
      </w:r>
      <w:r>
        <w:rPr>
          <w:rFonts w:ascii="Arial" w:cs="Arial" w:eastAsia="Arial" w:hAnsi="Arial"/>
          <w:sz w:val="18"/>
          <w:szCs w:val="18"/>
          <w:color w:val="000000"/>
        </w:rPr>
        <w:t>included in</w:t>
      </w:r>
      <w:r>
        <w:rPr>
          <w:rFonts w:ascii="Arial" w:cs="Arial" w:eastAsia="Arial" w:hAnsi="Arial"/>
          <w:sz w:val="18"/>
          <w:szCs w:val="18"/>
          <w:color w:val="231F20"/>
        </w:rPr>
        <w:t xml:space="preserve"> </w:t>
      </w:r>
      <w:r>
        <w:rPr>
          <w:rFonts w:ascii="Arial" w:cs="Arial" w:eastAsia="Arial" w:hAnsi="Arial"/>
          <w:sz w:val="18"/>
          <w:szCs w:val="18"/>
          <w:color w:val="000000"/>
        </w:rPr>
        <w:t>this Report</w:t>
      </w:r>
      <w:r>
        <w:rPr>
          <w:rFonts w:ascii="Arial" w:cs="Arial" w:eastAsia="Arial" w:hAnsi="Arial"/>
          <w:sz w:val="18"/>
          <w:szCs w:val="18"/>
          <w:color w:val="231F2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There were no changes to our internal control over financial reporting (as defined in Rule 13a-15(f) and Rule 15d-15(f) under the Exchange Act) during the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Prior to its acquisition by the Company, Apex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Based on the ongoing nature of this matter, the outcome remains uncertain and the Company cannot estimate the potential impact, if any, on its business or financial statements at this time.</w:t>
      </w:r>
    </w:p>
    <w:p>
      <w:pPr>
        <w:spacing w:after="0" w:line="19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please refer to Note 14 in our unaudited consolidated financial statements included in this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In addition to the information set forth in this Report,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185"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w w:val="91"/>
              </w:rPr>
              <w:t>Item 6. Exhibits.</w:t>
            </w:r>
          </w:p>
        </w:tc>
        <w:tc>
          <w:tcPr>
            <w:tcW w:w="3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80" w:type="dxa"/>
            <w:vAlign w:val="bottom"/>
            <w:gridSpan w:val="3"/>
            <w:vMerge w:val="restart"/>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Exhibit</w:t>
            </w:r>
          </w:p>
        </w:tc>
        <w:tc>
          <w:tcPr>
            <w:tcW w:w="5540" w:type="dxa"/>
            <w:vAlign w:val="bottom"/>
            <w:gridSpan w:val="3"/>
            <w:vMerge w:val="restart"/>
          </w:tcPr>
          <w:p>
            <w:pPr>
              <w:ind w:left="2320"/>
              <w:spacing w:after="0"/>
              <w:rPr>
                <w:sz w:val="20"/>
                <w:szCs w:val="20"/>
                <w:color w:val="auto"/>
              </w:rPr>
            </w:pPr>
            <w:r>
              <w:rPr>
                <w:rFonts w:ascii="Arial" w:cs="Arial" w:eastAsia="Arial" w:hAnsi="Arial"/>
                <w:sz w:val="18"/>
                <w:szCs w:val="18"/>
                <w:b w:val="1"/>
                <w:bCs w:val="1"/>
                <w:color w:val="auto"/>
              </w:rPr>
              <w:t>Description</w:t>
            </w: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0" w:type="dxa"/>
            <w:vAlign w:val="bottom"/>
          </w:tcPr>
          <w:p>
            <w:pPr>
              <w:spacing w:after="0"/>
              <w:rPr>
                <w:sz w:val="1"/>
                <w:szCs w:val="1"/>
                <w:color w:val="auto"/>
              </w:rPr>
            </w:pPr>
          </w:p>
        </w:tc>
      </w:tr>
      <w:tr>
        <w:trPr>
          <w:trHeight w:val="23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5540" w:type="dxa"/>
            <w:vAlign w:val="bottom"/>
            <w:tcBorders>
              <w:bottom w:val="single" w:sz="8" w:color="auto"/>
            </w:tcBorders>
            <w:gridSpan w:val="3"/>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280" w:type="dxa"/>
            <w:vAlign w:val="bottom"/>
          </w:tcPr>
          <w:p>
            <w:pPr>
              <w:ind w:left="20"/>
              <w:spacing w:after="0"/>
              <w:rPr>
                <w:sz w:val="20"/>
                <w:szCs w:val="20"/>
                <w:color w:val="auto"/>
              </w:rPr>
            </w:pPr>
            <w:r>
              <w:rPr>
                <w:rFonts w:ascii="Arial" w:cs="Arial" w:eastAsia="Arial" w:hAnsi="Arial"/>
                <w:sz w:val="18"/>
                <w:szCs w:val="18"/>
                <w:color w:val="auto"/>
              </w:rPr>
              <w:t>2.1</w:t>
            </w:r>
          </w:p>
        </w:tc>
        <w:tc>
          <w:tcPr>
            <w:tcW w:w="5520" w:type="dxa"/>
            <w:vAlign w:val="bottom"/>
            <w:tcBorders>
              <w:bottom w:val="single" w:sz="8" w:color="0000FF"/>
            </w:tcBorders>
            <w:gridSpan w:val="2"/>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Amendment No. 1 To Membership Interest Purchase Agreement, dated as of</w:t>
              </w:r>
            </w:hyperlink>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001-39544</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April 3, 2023</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520" w:type="dxa"/>
            <w:vAlign w:val="bottom"/>
            <w:tcBorders>
              <w:bottom w:val="single" w:sz="8" w:color="0000FF"/>
            </w:tcBorders>
            <w:gridSpan w:val="2"/>
          </w:tcPr>
          <w:p>
            <w:pPr>
              <w:spacing w:after="0" w:line="196" w:lineRule="exact"/>
              <w:rPr>
                <w:rFonts w:ascii="Arial" w:cs="Arial" w:eastAsia="Arial" w:hAnsi="Arial"/>
                <w:sz w:val="18"/>
                <w:szCs w:val="18"/>
                <w:color w:val="0000FF"/>
                <w:w w:val="96"/>
              </w:rPr>
            </w:pPr>
            <w:hyperlink r:id="rId66">
              <w:r>
                <w:rPr>
                  <w:rFonts w:ascii="Arial" w:cs="Arial" w:eastAsia="Arial" w:hAnsi="Arial"/>
                  <w:sz w:val="18"/>
                  <w:szCs w:val="18"/>
                  <w:color w:val="0000FF"/>
                  <w:w w:val="96"/>
                </w:rPr>
                <w:t>March 30, 2023, by and among the Company, Bakkt Marketplace, Apex</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Fintech Solutions Inc. and Apex Crypto, LLC.</w:t>
              </w:r>
            </w:hyperlink>
          </w:p>
        </w:tc>
        <w:tc>
          <w:tcPr>
            <w:tcW w:w="22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269" w:right="33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rFonts w:ascii="Arial" w:cs="Arial" w:eastAsia="Arial" w:hAnsi="Arial"/>
                <w:sz w:val="18"/>
                <w:szCs w:val="18"/>
                <w:color w:val="0000FF"/>
              </w:rPr>
            </w:pPr>
            <w:hyperlink r:id="rId67">
              <w:r>
                <w:rPr>
                  <w:rFonts w:ascii="Arial" w:cs="Arial" w:eastAsia="Arial" w:hAnsi="Arial"/>
                  <w:sz w:val="18"/>
                  <w:szCs w:val="18"/>
                  <w:color w:val="0000FF"/>
                </w:rPr>
                <w:t>Certificate of Incorporation of the Company, as currently in effect</w:t>
              </w:r>
            </w:hyperlink>
          </w:p>
        </w:tc>
        <w:tc>
          <w:tcPr>
            <w:tcW w:w="820" w:type="dxa"/>
            <w:vAlign w:val="bottom"/>
          </w:tcPr>
          <w:p>
            <w:pPr>
              <w:ind w:left="28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001-39544</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89"/>
              </w:rPr>
              <w:t>October 21, 2021</w:t>
            </w:r>
          </w:p>
        </w:tc>
      </w:tr>
      <w:tr>
        <w:trPr>
          <w:trHeight w:val="358"/>
        </w:trPr>
        <w:tc>
          <w:tcPr>
            <w:tcW w:w="4740" w:type="dxa"/>
            <w:vAlign w:val="bottom"/>
            <w:tcBorders>
              <w:top w:val="single" w:sz="8" w:color="0000FF"/>
            </w:tcBorders>
            <w:gridSpan w:val="2"/>
          </w:tcPr>
          <w:p>
            <w:pPr>
              <w:spacing w:after="0"/>
              <w:rPr>
                <w:rFonts w:ascii="Arial" w:cs="Arial" w:eastAsia="Arial" w:hAnsi="Arial"/>
                <w:sz w:val="18"/>
                <w:szCs w:val="18"/>
                <w:color w:val="0000FF"/>
              </w:rPr>
            </w:pPr>
            <w:hyperlink r:id="rId68">
              <w:r>
                <w:rPr>
                  <w:rFonts w:ascii="Arial" w:cs="Arial" w:eastAsia="Arial" w:hAnsi="Arial"/>
                  <w:sz w:val="18"/>
                  <w:szCs w:val="18"/>
                  <w:color w:val="0000FF"/>
                </w:rPr>
                <w:t>By-laws of the Company, as currently in effect</w:t>
              </w:r>
            </w:hyperlink>
          </w:p>
        </w:tc>
        <w:tc>
          <w:tcPr>
            <w:tcW w:w="78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001-39544</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89"/>
              </w:rPr>
              <w:t>October 21, 2021</w:t>
            </w:r>
          </w:p>
        </w:tc>
      </w:tr>
      <w:tr>
        <w:trPr>
          <w:trHeight w:val="20"/>
        </w:trPr>
        <w:tc>
          <w:tcPr>
            <w:tcW w:w="3360" w:type="dxa"/>
            <w:vAlign w:val="bottom"/>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58"/>
        </w:trPr>
        <w:tc>
          <w:tcPr>
            <w:tcW w:w="5520" w:type="dxa"/>
            <w:vAlign w:val="bottom"/>
            <w:tcBorders>
              <w:bottom w:val="single" w:sz="8" w:color="0000FF"/>
            </w:tcBorders>
            <w:gridSpan w:val="3"/>
          </w:tcPr>
          <w:p>
            <w:pPr>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Registration Rights Agreement, dated as of April 1, 2023, by and between</w:t>
              </w:r>
            </w:hyperlink>
          </w:p>
        </w:tc>
        <w:tc>
          <w:tcPr>
            <w:tcW w:w="820" w:type="dxa"/>
            <w:vAlign w:val="bottom"/>
          </w:tcPr>
          <w:p>
            <w:pPr>
              <w:ind w:left="28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001-39544</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94"/>
              </w:rPr>
              <w:t>April 3, 2023</w:t>
            </w:r>
          </w:p>
        </w:tc>
      </w:tr>
    </w:tbl>
    <w:p>
      <w:pPr>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Bakkt Holdings, Inc. and Apex Fintech Solutions Inc.</w:t>
        </w:r>
      </w:hyperlink>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Form of Performance Unit Agreement under the Bakkt Holdings, Inc.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Omnibus Incentive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Form of Executive Officer Restricted Stock Unit Agreement under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Bakkt Holdings, Inc. 2021 Omnibus Incentive Plan.</w:t>
      </w:r>
    </w:p>
    <w:p>
      <w:pPr>
        <w:spacing w:after="0" w:line="157"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Executive Officer Pursuant to 18 U.S.C. Section 1350, as Adopted Pursuant to Section 906 of the Sarbanes-Oxley Act of 2002.</w:t>
      </w:r>
    </w:p>
    <w:p>
      <w:pPr>
        <w:spacing w:after="0" w:line="143" w:lineRule="exact"/>
        <w:rPr>
          <w:sz w:val="20"/>
          <w:szCs w:val="20"/>
          <w:color w:val="auto"/>
        </w:rPr>
      </w:pPr>
    </w:p>
    <w:p>
      <w:pPr>
        <w:sectPr>
          <w:pgSz w:w="11900" w:h="16838" w:orient="portrait"/>
          <w:cols w:equalWidth="0" w:num="2">
            <w:col w:w="560" w:space="720"/>
            <w:col w:w="9960"/>
          </w:cols>
          <w:pgMar w:left="320" w:top="1269"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Financial Officer Pursuant to 18 U.S.C. Section 1350, as Adopted Pursuant to Section 906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 embedded within the Inline XBRL document.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200" w:lineRule="exact"/>
        <w:rPr>
          <w:sz w:val="20"/>
          <w:szCs w:val="20"/>
          <w:color w:val="auto"/>
        </w:rPr>
      </w:pPr>
    </w:p>
    <w:p>
      <w:pPr>
        <w:sectPr>
          <w:pgSz w:w="11900" w:h="16838" w:orient="portrait"/>
          <w:cols w:equalWidth="0" w:num="2">
            <w:col w:w="800" w:space="480"/>
            <w:col w:w="9960"/>
          </w:cols>
          <w:pgMar w:left="320" w:top="12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46" w:name="page47"/>
    <w:bookmarkEnd w:id="46"/>
    <w:p>
      <w:pPr>
        <w:ind w:left="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194" w:lineRule="exact"/>
        <w:rPr>
          <w:sz w:val="20"/>
          <w:szCs w:val="20"/>
          <w:color w:val="auto"/>
        </w:rPr>
      </w:pPr>
    </w:p>
    <w:p>
      <w:pPr>
        <w:sectPr>
          <w:pgSz w:w="11900" w:h="16838" w:orient="portrait"/>
          <w:cols w:equalWidth="0" w:num="2">
            <w:col w:w="760" w:space="520"/>
            <w:col w:w="9960"/>
          </w:cols>
          <w:pgMar w:left="320" w:top="976" w:right="339" w:bottom="1440" w:gutter="0" w:footer="0" w:header="0"/>
        </w:sectPr>
      </w:pPr>
    </w:p>
    <w:p>
      <w:pPr>
        <w:ind w:left="2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br w:type="column"/>
      </w:r>
    </w:p>
    <w:p>
      <w:pPr>
        <w:ind w:right="4420"/>
        <w:spacing w:after="0" w:line="277" w:lineRule="auto"/>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560" w:space="720"/>
            <w:col w:w="9960"/>
          </w:cols>
          <w:pgMar w:left="320" w:top="976" w:right="339" w:bottom="1440" w:gutter="0" w:footer="0" w:header="0"/>
          <w:type w:val="continuous"/>
        </w:sectPr>
      </w:pPr>
    </w:p>
    <w:p>
      <w:pPr>
        <w:spacing w:after="0" w:line="17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 w:lineRule="exact"/>
        <w:rPr>
          <w:sz w:val="20"/>
          <w:szCs w:val="20"/>
          <w:color w:val="auto"/>
        </w:rPr>
      </w:pPr>
    </w:p>
    <w:p>
      <w:pPr>
        <w:jc w:val="right"/>
        <w:ind w:left="440" w:hanging="432"/>
        <w:spacing w:after="0" w:line="325" w:lineRule="auto"/>
        <w:tabs>
          <w:tab w:leader="none" w:pos="2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w:t>
      </w:r>
    </w:p>
    <w:p>
      <w:pPr>
        <w:spacing w:after="0" w:line="1" w:lineRule="exact"/>
        <w:rPr>
          <w:sz w:val="20"/>
          <w:szCs w:val="20"/>
          <w:color w:val="auto"/>
        </w:rPr>
      </w:pPr>
    </w:p>
    <w:p>
      <w:pPr>
        <w:jc w:val="center"/>
        <w:ind w:left="380" w:right="380"/>
        <w:spacing w:after="0" w:line="293" w:lineRule="auto"/>
        <w:rPr>
          <w:sz w:val="20"/>
          <w:szCs w:val="20"/>
          <w:color w:val="auto"/>
        </w:rPr>
      </w:pPr>
      <w:r>
        <w:rPr>
          <w:rFonts w:ascii="Arial" w:cs="Arial" w:eastAsia="Arial" w:hAnsi="Arial"/>
          <w:sz w:val="18"/>
          <w:szCs w:val="18"/>
          <w:color w:val="auto"/>
        </w:rPr>
        <w:t xml:space="preserve">1934, as amended, whether made before or after the date hereof and irrespective of any general incorporation language contained in such filings. </w:t>
      </w:r>
      <w:r>
        <w:rPr>
          <w:rFonts w:ascii="Arial" w:cs="Arial" w:eastAsia="Arial" w:hAnsi="Arial"/>
          <w:sz w:val="18"/>
          <w:szCs w:val="18"/>
          <w:b w:val="1"/>
          <w:bCs w:val="1"/>
          <w:color w:val="auto"/>
        </w:rPr>
        <w:t>SIGNATURES</w:t>
      </w:r>
    </w:p>
    <w:p>
      <w:pPr>
        <w:spacing w:after="0" w:line="143"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3360" w:type="dxa"/>
            <w:vAlign w:val="bottom"/>
            <w:gridSpan w:val="2"/>
          </w:tcPr>
          <w:p>
            <w:pPr>
              <w:ind w:left="1840"/>
              <w:spacing w:after="0"/>
              <w:rPr>
                <w:sz w:val="20"/>
                <w:szCs w:val="20"/>
                <w:color w:val="auto"/>
              </w:rPr>
            </w:pPr>
            <w:r>
              <w:rPr>
                <w:rFonts w:ascii="Arial" w:cs="Arial" w:eastAsia="Arial" w:hAnsi="Arial"/>
                <w:sz w:val="18"/>
                <w:szCs w:val="18"/>
                <w:color w:val="auto"/>
                <w:w w:val="94"/>
              </w:rPr>
              <w:t>Bakkt Holdings, Inc.</w:t>
            </w:r>
          </w:p>
        </w:tc>
        <w:tc>
          <w:tcPr>
            <w:tcW w:w="4580" w:type="dxa"/>
            <w:vAlign w:val="bottom"/>
          </w:tcPr>
          <w:p>
            <w:pPr>
              <w:spacing w:after="0"/>
              <w:rPr>
                <w:sz w:val="20"/>
                <w:szCs w:val="20"/>
                <w:color w:val="auto"/>
              </w:rPr>
            </w:pP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Date: May 11, 2023</w:t>
            </w:r>
          </w:p>
        </w:tc>
        <w:tc>
          <w:tcPr>
            <w:tcW w:w="336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2"/>
              </w:rPr>
              <w:t>/s/ Gavin Michael</w:t>
            </w:r>
          </w:p>
        </w:tc>
      </w:tr>
      <w:tr>
        <w:trPr>
          <w:trHeight w:val="222"/>
        </w:trPr>
        <w:tc>
          <w:tcPr>
            <w:tcW w:w="3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tcPr>
          <w:p>
            <w:pPr>
              <w:jc w:val="center"/>
              <w:ind w:right="1010"/>
              <w:spacing w:after="0"/>
              <w:rPr>
                <w:sz w:val="20"/>
                <w:szCs w:val="20"/>
                <w:color w:val="auto"/>
              </w:rPr>
            </w:pPr>
            <w:r>
              <w:rPr>
                <w:rFonts w:ascii="Arial" w:cs="Arial" w:eastAsia="Arial" w:hAnsi="Arial"/>
                <w:sz w:val="18"/>
                <w:szCs w:val="18"/>
                <w:color w:val="auto"/>
                <w:w w:val="94"/>
              </w:rPr>
              <w:t>Gavin Michael</w:t>
            </w:r>
          </w:p>
        </w:tc>
      </w:tr>
      <w:tr>
        <w:trPr>
          <w:trHeight w:val="176"/>
        </w:trPr>
        <w:tc>
          <w:tcPr>
            <w:tcW w:w="3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80" w:type="dxa"/>
            <w:vAlign w:val="bottom"/>
          </w:tcPr>
          <w:p>
            <w:pPr>
              <w:jc w:val="center"/>
              <w:ind w:right="1010"/>
              <w:spacing w:after="0" w:line="176" w:lineRule="exact"/>
              <w:rPr>
                <w:sz w:val="20"/>
                <w:szCs w:val="20"/>
                <w:color w:val="auto"/>
              </w:rPr>
            </w:pPr>
            <w:r>
              <w:rPr>
                <w:rFonts w:ascii="Arial" w:cs="Arial" w:eastAsia="Arial" w:hAnsi="Arial"/>
                <w:sz w:val="18"/>
                <w:szCs w:val="18"/>
                <w:color w:val="auto"/>
                <w:w w:val="92"/>
              </w:rPr>
              <w:t>Chief Executive Officer, President and Director</w:t>
            </w:r>
          </w:p>
        </w:tc>
      </w:tr>
      <w:tr>
        <w:trPr>
          <w:trHeight w:val="230"/>
        </w:trPr>
        <w:tc>
          <w:tcPr>
            <w:tcW w:w="3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80" w:type="dxa"/>
            <w:vAlign w:val="bottom"/>
          </w:tcPr>
          <w:p>
            <w:pPr>
              <w:jc w:val="center"/>
              <w:ind w:right="990"/>
              <w:spacing w:after="0"/>
              <w:rPr>
                <w:sz w:val="20"/>
                <w:szCs w:val="20"/>
                <w:color w:val="auto"/>
              </w:rPr>
            </w:pPr>
            <w:r>
              <w:rPr>
                <w:rFonts w:ascii="Arial" w:cs="Arial" w:eastAsia="Arial" w:hAnsi="Arial"/>
                <w:sz w:val="18"/>
                <w:szCs w:val="18"/>
                <w:color w:val="auto"/>
                <w:w w:val="94"/>
              </w:rPr>
              <w:t>(Principal Executive Officer)</w:t>
            </w:r>
          </w:p>
        </w:tc>
      </w:tr>
      <w:tr>
        <w:trPr>
          <w:trHeight w:val="458"/>
        </w:trPr>
        <w:tc>
          <w:tcPr>
            <w:tcW w:w="3280" w:type="dxa"/>
            <w:vAlign w:val="bottom"/>
          </w:tcPr>
          <w:p>
            <w:pPr>
              <w:spacing w:after="0"/>
              <w:rPr>
                <w:sz w:val="20"/>
                <w:szCs w:val="20"/>
                <w:color w:val="auto"/>
              </w:rPr>
            </w:pPr>
            <w:r>
              <w:rPr>
                <w:rFonts w:ascii="Arial" w:cs="Arial" w:eastAsia="Arial" w:hAnsi="Arial"/>
                <w:sz w:val="18"/>
                <w:szCs w:val="18"/>
                <w:color w:val="auto"/>
              </w:rPr>
              <w:t>Date: May 11, 2023</w:t>
            </w:r>
          </w:p>
        </w:tc>
        <w:tc>
          <w:tcPr>
            <w:tcW w:w="336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1"/>
              </w:rPr>
              <w:t>/s/ Karen Alexander</w:t>
            </w:r>
          </w:p>
        </w:tc>
      </w:tr>
      <w:tr>
        <w:trPr>
          <w:trHeight w:val="222"/>
        </w:trPr>
        <w:tc>
          <w:tcPr>
            <w:tcW w:w="3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90"/>
              </w:rPr>
              <w:t>Karen Alexander</w:t>
            </w:r>
          </w:p>
        </w:tc>
      </w:tr>
      <w:tr>
        <w:trPr>
          <w:trHeight w:val="189"/>
        </w:trPr>
        <w:tc>
          <w:tcPr>
            <w:tcW w:w="3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80" w:type="dxa"/>
            <w:vAlign w:val="bottom"/>
          </w:tcPr>
          <w:p>
            <w:pPr>
              <w:jc w:val="center"/>
              <w:ind w:right="1010"/>
              <w:spacing w:after="0" w:line="189"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4"/>
              </w:rPr>
              <w:t>(Principal Financial Officer)</w:t>
            </w:r>
          </w:p>
        </w:tc>
      </w:tr>
      <w:tr>
        <w:trPr>
          <w:trHeight w:val="500"/>
        </w:trPr>
        <w:tc>
          <w:tcPr>
            <w:tcW w:w="3280" w:type="dxa"/>
            <w:vAlign w:val="bottom"/>
          </w:tcPr>
          <w:p>
            <w:pPr>
              <w:spacing w:after="0"/>
              <w:rPr>
                <w:sz w:val="20"/>
                <w:szCs w:val="20"/>
                <w:color w:val="auto"/>
              </w:rPr>
            </w:pPr>
            <w:r>
              <w:rPr>
                <w:rFonts w:ascii="Arial" w:cs="Arial" w:eastAsia="Arial" w:hAnsi="Arial"/>
                <w:sz w:val="18"/>
                <w:szCs w:val="18"/>
                <w:color w:val="auto"/>
              </w:rPr>
              <w:t>Date: May 11, 2023</w:t>
            </w:r>
          </w:p>
        </w:tc>
        <w:tc>
          <w:tcPr>
            <w:tcW w:w="336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1"/>
              </w:rPr>
              <w:t>/s/ Chip Goodroe</w:t>
            </w:r>
          </w:p>
        </w:tc>
      </w:tr>
      <w:tr>
        <w:trPr>
          <w:trHeight w:val="224"/>
        </w:trPr>
        <w:tc>
          <w:tcPr>
            <w:tcW w:w="3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90"/>
              </w:rPr>
              <w:t>Chip Goodroe</w:t>
            </w:r>
          </w:p>
        </w:tc>
      </w:tr>
      <w:tr>
        <w:trPr>
          <w:trHeight w:val="188"/>
        </w:trPr>
        <w:tc>
          <w:tcPr>
            <w:tcW w:w="3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80" w:type="dxa"/>
            <w:vAlign w:val="bottom"/>
          </w:tcPr>
          <w:p>
            <w:pPr>
              <w:jc w:val="center"/>
              <w:ind w:right="1010"/>
              <w:spacing w:after="0" w:line="189" w:lineRule="exact"/>
              <w:rPr>
                <w:sz w:val="20"/>
                <w:szCs w:val="20"/>
                <w:color w:val="auto"/>
              </w:rPr>
            </w:pPr>
            <w:r>
              <w:rPr>
                <w:rFonts w:ascii="Arial" w:cs="Arial" w:eastAsia="Arial" w:hAnsi="Arial"/>
                <w:sz w:val="18"/>
                <w:szCs w:val="18"/>
                <w:color w:val="auto"/>
                <w:w w:val="94"/>
              </w:rPr>
              <w:t>Chief Accounting Officer</w:t>
            </w:r>
          </w:p>
        </w:tc>
      </w:tr>
      <w:tr>
        <w:trPr>
          <w:trHeight w:val="230"/>
        </w:trPr>
        <w:tc>
          <w:tcPr>
            <w:tcW w:w="3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4"/>
              </w:rPr>
              <w:t>(Principal Accounting Officer)</w:t>
            </w:r>
          </w:p>
        </w:tc>
      </w:tr>
      <w:tr>
        <w:trPr>
          <w:trHeight w:val="931"/>
        </w:trPr>
        <w:tc>
          <w:tcPr>
            <w:tcW w:w="3280" w:type="dxa"/>
            <w:vAlign w:val="bottom"/>
          </w:tcPr>
          <w:p>
            <w:pPr>
              <w:spacing w:after="0"/>
              <w:rPr>
                <w:sz w:val="24"/>
                <w:szCs w:val="24"/>
                <w:color w:val="auto"/>
              </w:rPr>
            </w:pPr>
          </w:p>
        </w:tc>
        <w:tc>
          <w:tcPr>
            <w:tcW w:w="3360" w:type="dxa"/>
            <w:vAlign w:val="bottom"/>
            <w:gridSpan w:val="2"/>
          </w:tcPr>
          <w:p>
            <w:pPr>
              <w:ind w:left="2240"/>
              <w:spacing w:after="0"/>
              <w:rPr>
                <w:sz w:val="20"/>
                <w:szCs w:val="20"/>
                <w:color w:val="auto"/>
              </w:rPr>
            </w:pPr>
            <w:r>
              <w:rPr>
                <w:rFonts w:ascii="Arial" w:cs="Arial" w:eastAsia="Arial" w:hAnsi="Arial"/>
                <w:sz w:val="18"/>
                <w:szCs w:val="18"/>
                <w:color w:val="auto"/>
              </w:rPr>
              <w:t>47</w:t>
            </w:r>
          </w:p>
        </w:tc>
        <w:tc>
          <w:tcPr>
            <w:tcW w:w="4580" w:type="dxa"/>
            <w:vAlign w:val="bottom"/>
          </w:tcPr>
          <w:p>
            <w:pPr>
              <w:spacing w:after="0"/>
              <w:rPr>
                <w:sz w:val="24"/>
                <w:szCs w:val="24"/>
                <w:color w:val="auto"/>
              </w:rPr>
            </w:pPr>
          </w:p>
        </w:tc>
      </w:tr>
    </w:tbl>
    <w:p>
      <w:pPr>
        <w:sectPr>
          <w:pgSz w:w="11900" w:h="16838" w:orient="portrait"/>
          <w:cols w:equalWidth="0" w:num="1">
            <w:col w:w="11240"/>
          </w:cols>
          <w:pgMar w:left="320" w:top="976" w:right="339" w:bottom="1440" w:gutter="0" w:footer="0" w:header="0"/>
          <w:type w:val="continuous"/>
        </w:sectPr>
      </w:pPr>
    </w:p>
    <w:bookmarkStart w:id="47" w:name="page48"/>
    <w:bookmarkEnd w:id="47"/>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BAKKT HOLDINGS,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OMNIBUS EMPLOYEE INCENTIVE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UNIT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PERFORMANCE UNIT GRANT</w:t>
      </w:r>
    </w:p>
    <w:p>
      <w:pPr>
        <w:spacing w:after="0" w:line="18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Unless otherwise defined herein, the terms defined in the Bakkt Holdings, Inc. 2021 Omnibus Employee Incentive Plan (the “ </w:t>
      </w:r>
      <w:r>
        <w:rPr>
          <w:rFonts w:ascii="Arial" w:cs="Arial" w:eastAsia="Arial" w:hAnsi="Arial"/>
          <w:sz w:val="21"/>
          <w:szCs w:val="21"/>
          <w:u w:val="single" w:color="auto"/>
          <w:color w:val="auto"/>
        </w:rPr>
        <w:t>Plan</w:t>
      </w:r>
      <w:r>
        <w:rPr>
          <w:rFonts w:ascii="Arial" w:cs="Arial" w:eastAsia="Arial" w:hAnsi="Arial"/>
          <w:sz w:val="21"/>
          <w:szCs w:val="21"/>
          <w:color w:val="auto"/>
        </w:rPr>
        <w:t>”) will have the same meanings in this Performance Unit Agreement which includes the Notice of Performance Unit Grant (the “</w:t>
      </w:r>
      <w:r>
        <w:rPr>
          <w:rFonts w:ascii="Arial" w:cs="Arial" w:eastAsia="Arial" w:hAnsi="Arial"/>
          <w:sz w:val="21"/>
          <w:szCs w:val="21"/>
          <w:u w:val="single" w:color="auto"/>
          <w:color w:val="auto"/>
        </w:rPr>
        <w:t>Notice of Grant</w:t>
      </w:r>
      <w:r>
        <w:rPr>
          <w:rFonts w:ascii="Arial" w:cs="Arial" w:eastAsia="Arial" w:hAnsi="Arial"/>
          <w:sz w:val="21"/>
          <w:szCs w:val="21"/>
          <w:color w:val="auto"/>
        </w:rPr>
        <w:t xml:space="preserve">”), the Terms and Conditions of Performance Unit Grant,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and all other exhibits, appendices, and addenda attached hereto (the “</w:t>
      </w:r>
      <w:r>
        <w:rPr>
          <w:rFonts w:ascii="Arial" w:cs="Arial" w:eastAsia="Arial" w:hAnsi="Arial"/>
          <w:sz w:val="21"/>
          <w:szCs w:val="21"/>
          <w:u w:val="single" w:color="auto"/>
          <w:color w:val="auto"/>
        </w:rPr>
        <w:t>Award Agreement</w:t>
      </w:r>
      <w:r>
        <w:rPr>
          <w:rFonts w:ascii="Arial" w:cs="Arial" w:eastAsia="Arial" w:hAnsi="Arial"/>
          <w:sz w:val="21"/>
          <w:szCs w:val="21"/>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-17780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undersigned Grantee has been granted an Award of Performance Units (“</w:t>
      </w:r>
      <w:r>
        <w:rPr>
          <w:rFonts w:ascii="Arial" w:cs="Arial" w:eastAsia="Arial" w:hAnsi="Arial"/>
          <w:sz w:val="22"/>
          <w:szCs w:val="22"/>
          <w:u w:val="single" w:color="auto"/>
          <w:color w:val="auto"/>
        </w:rPr>
        <w:t>PSUs</w:t>
      </w:r>
      <w:r>
        <w:rPr>
          <w:rFonts w:ascii="Arial" w:cs="Arial" w:eastAsia="Arial" w:hAnsi="Arial"/>
          <w:sz w:val="22"/>
          <w:szCs w:val="22"/>
          <w:color w:val="auto"/>
        </w:rPr>
        <w:t>”), subject to the terms and conditions of the Plan and this Award Agreement, as follows: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-17780</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-17780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-17780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Total 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-17780</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Total Maximum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-17780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Vesting Date(s): This Award shall vest on the date(s)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subject to the satisfaction of the terms and conditions described in the exhibits (including all schedules subject thereto).</w:t>
      </w:r>
    </w:p>
    <w:p>
      <w:pPr>
        <w:sectPr>
          <w:pgSz w:w="11900" w:h="16838" w:orient="portrait"/>
          <w:cols w:equalWidth="0" w:num="1">
            <w:col w:w="11240"/>
          </w:cols>
          <w:pgMar w:left="320" w:top="324" w:right="339" w:bottom="1440" w:gutter="0" w:footer="0" w:header="0"/>
        </w:sectPr>
      </w:pPr>
    </w:p>
    <w:bookmarkStart w:id="48" w:name="page49"/>
    <w:bookmarkEnd w:id="48"/>
    <w:p>
      <w:pPr>
        <w:spacing w:after="0" w:line="2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By Grantee’s signature and the signature of the representative of the Company below, Grantee and the Company agree that this Award of PSUs is granted under and governed by the terms and conditions of the Plan and this Award Agreement, including the Terms and Conditions of Performance Unit Grant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960" w:type="dxa"/>
            <w:vAlign w:val="bottom"/>
          </w:tcPr>
          <w:p>
            <w:pPr>
              <w:ind w:left="20"/>
              <w:spacing w:after="0"/>
              <w:rPr>
                <w:sz w:val="20"/>
                <w:szCs w:val="20"/>
                <w:color w:val="auto"/>
              </w:rPr>
            </w:pPr>
            <w:r>
              <w:rPr>
                <w:rFonts w:ascii="Arial" w:cs="Arial" w:eastAsia="Arial" w:hAnsi="Arial"/>
                <w:sz w:val="22"/>
                <w:szCs w:val="22"/>
                <w:color w:val="auto"/>
              </w:rPr>
              <w:t>GRANTEE</w:t>
            </w:r>
          </w:p>
        </w:tc>
        <w:tc>
          <w:tcPr>
            <w:tcW w:w="1320" w:type="dxa"/>
            <w:vAlign w:val="bottom"/>
          </w:tcPr>
          <w:p>
            <w:pPr>
              <w:spacing w:after="0"/>
              <w:rPr>
                <w:sz w:val="23"/>
                <w:szCs w:val="23"/>
                <w:color w:val="auto"/>
              </w:rPr>
            </w:pPr>
          </w:p>
        </w:tc>
        <w:tc>
          <w:tcPr>
            <w:tcW w:w="4960" w:type="dxa"/>
            <w:vAlign w:val="bottom"/>
          </w:tcPr>
          <w:p>
            <w:pPr>
              <w:ind w:left="20"/>
              <w:spacing w:after="0"/>
              <w:rPr>
                <w:sz w:val="20"/>
                <w:szCs w:val="20"/>
                <w:color w:val="auto"/>
              </w:rPr>
            </w:pPr>
            <w:r>
              <w:rPr>
                <w:rFonts w:ascii="Arial" w:cs="Arial" w:eastAsia="Arial" w:hAnsi="Arial"/>
                <w:sz w:val="22"/>
                <w:szCs w:val="22"/>
                <w:color w:val="auto"/>
              </w:rPr>
              <w:t>BAKKT HOLDINGS, INC.</w:t>
            </w:r>
          </w:p>
        </w:tc>
      </w:tr>
      <w:tr>
        <w:trPr>
          <w:trHeight w:val="543"/>
        </w:trPr>
        <w:tc>
          <w:tcPr>
            <w:tcW w:w="496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Signature</w:t>
            </w:r>
          </w:p>
        </w:tc>
        <w:tc>
          <w:tcPr>
            <w:tcW w:w="132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Signature</w:t>
            </w:r>
          </w:p>
        </w:tc>
      </w:tr>
      <w:tr>
        <w:trPr>
          <w:trHeight w:val="526"/>
        </w:trPr>
        <w:tc>
          <w:tcPr>
            <w:tcW w:w="496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Print Name</w:t>
            </w:r>
          </w:p>
        </w:tc>
        <w:tc>
          <w:tcPr>
            <w:tcW w:w="132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Print Name</w:t>
            </w:r>
          </w:p>
        </w:tc>
      </w:tr>
      <w:tr>
        <w:trPr>
          <w:trHeight w:val="539"/>
        </w:trPr>
        <w:tc>
          <w:tcPr>
            <w:tcW w:w="4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224"/>
        </w:trPr>
        <w:tc>
          <w:tcPr>
            <w:tcW w:w="4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Title</w:t>
            </w:r>
          </w:p>
        </w:tc>
      </w:tr>
      <w:tr>
        <w:trPr>
          <w:trHeight w:val="576"/>
        </w:trPr>
        <w:tc>
          <w:tcPr>
            <w:tcW w:w="4960" w:type="dxa"/>
            <w:vAlign w:val="bottom"/>
          </w:tcPr>
          <w:p>
            <w:pPr>
              <w:spacing w:after="0"/>
              <w:rPr>
                <w:sz w:val="20"/>
                <w:szCs w:val="20"/>
                <w:color w:val="auto"/>
              </w:rPr>
            </w:pPr>
            <w:r>
              <w:rPr>
                <w:rFonts w:ascii="Arial" w:cs="Arial" w:eastAsia="Arial" w:hAnsi="Arial"/>
                <w:sz w:val="22"/>
                <w:szCs w:val="22"/>
                <w:color w:val="auto"/>
              </w:rPr>
              <w:t>Grantee Residence Address:</w:t>
            </w:r>
          </w:p>
        </w:tc>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675"/>
        </w:trPr>
        <w:tc>
          <w:tcPr>
            <w:tcW w:w="4960" w:type="dxa"/>
            <w:vAlign w:val="bottom"/>
          </w:tcPr>
          <w:p>
            <w:pPr>
              <w:spacing w:after="0"/>
              <w:rPr>
                <w:sz w:val="20"/>
                <w:szCs w:val="20"/>
                <w:color w:val="auto"/>
              </w:rPr>
            </w:pPr>
            <w:r>
              <w:rPr>
                <w:rFonts w:ascii="Arial" w:cs="Arial" w:eastAsia="Arial" w:hAnsi="Arial"/>
                <w:sz w:val="22"/>
                <w:szCs w:val="22"/>
                <w:b w:val="1"/>
                <w:bCs w:val="1"/>
                <w:color w:val="auto"/>
              </w:rPr>
              <w:t>____________________________________</w:t>
            </w:r>
          </w:p>
        </w:tc>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22"/>
                <w:szCs w:val="22"/>
                <w:b w:val="1"/>
                <w:bCs w:val="1"/>
                <w:color w:val="auto"/>
              </w:rPr>
              <w:t>____________________________________</w:t>
            </w:r>
          </w:p>
        </w:tc>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22"/>
                <w:szCs w:val="22"/>
                <w:b w:val="1"/>
                <w:bCs w:val="1"/>
                <w:color w:val="auto"/>
              </w:rPr>
              <w:t>____________________________________</w:t>
            </w:r>
          </w:p>
        </w:tc>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22"/>
                <w:szCs w:val="22"/>
                <w:b w:val="1"/>
                <w:bCs w:val="1"/>
                <w:color w:val="auto"/>
              </w:rPr>
              <w:t>____________________________________</w:t>
            </w:r>
          </w:p>
        </w:tc>
        <w:tc>
          <w:tcPr>
            <w:tcW w:w="13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121"/>
        </w:trPr>
        <w:tc>
          <w:tcPr>
            <w:tcW w:w="4960" w:type="dxa"/>
            <w:vAlign w:val="bottom"/>
          </w:tcPr>
          <w:p>
            <w:pPr>
              <w:spacing w:after="0"/>
              <w:rPr>
                <w:sz w:val="24"/>
                <w:szCs w:val="24"/>
                <w:color w:val="auto"/>
              </w:rPr>
            </w:pPr>
          </w:p>
        </w:tc>
        <w:tc>
          <w:tcPr>
            <w:tcW w:w="1320" w:type="dxa"/>
            <w:vAlign w:val="bottom"/>
          </w:tcPr>
          <w:p>
            <w:pPr>
              <w:jc w:val="right"/>
              <w:ind w:right="372"/>
              <w:spacing w:after="0"/>
              <w:rPr>
                <w:sz w:val="20"/>
                <w:szCs w:val="20"/>
                <w:color w:val="auto"/>
              </w:rPr>
            </w:pPr>
            <w:r>
              <w:rPr>
                <w:rFonts w:ascii="Arial" w:cs="Arial" w:eastAsia="Arial" w:hAnsi="Arial"/>
                <w:sz w:val="22"/>
                <w:szCs w:val="22"/>
                <w:color w:val="auto"/>
              </w:rPr>
              <w:t>- 2 -</w:t>
            </w:r>
          </w:p>
        </w:tc>
        <w:tc>
          <w:tcPr>
            <w:tcW w:w="496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9" w:name="page50"/>
    <w:bookmarkEnd w:id="49"/>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BAKKT HOLDINGS,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OMNIBUS EMPLOYEE INCENTIVE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UNIT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PERFORMANCE UNIT GRANT</w:t>
      </w:r>
    </w:p>
    <w:p>
      <w:pPr>
        <w:spacing w:after="0" w:line="212" w:lineRule="exact"/>
        <w:rPr>
          <w:sz w:val="20"/>
          <w:szCs w:val="20"/>
          <w:color w:val="auto"/>
        </w:rPr>
      </w:pPr>
    </w:p>
    <w:p>
      <w:pPr>
        <w:jc w:val="both"/>
        <w:ind w:firstLine="656"/>
        <w:spacing w:after="0" w:line="251"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Grant of PSUs</w:t>
      </w:r>
      <w:r>
        <w:rPr>
          <w:rFonts w:ascii="Arial" w:cs="Arial" w:eastAsia="Arial" w:hAnsi="Arial"/>
          <w:sz w:val="22"/>
          <w:szCs w:val="22"/>
          <w:color w:val="auto"/>
        </w:rPr>
        <w:t>. The Company hereby grants to the individual (“</w:t>
      </w:r>
      <w:r>
        <w:rPr>
          <w:rFonts w:ascii="Arial" w:cs="Arial" w:eastAsia="Arial" w:hAnsi="Arial"/>
          <w:sz w:val="22"/>
          <w:szCs w:val="22"/>
          <w:u w:val="single" w:color="auto"/>
          <w:color w:val="auto"/>
        </w:rPr>
        <w:t>Grantee</w:t>
      </w:r>
      <w:r>
        <w:rPr>
          <w:rFonts w:ascii="Arial" w:cs="Arial" w:eastAsia="Arial" w:hAnsi="Arial"/>
          <w:sz w:val="22"/>
          <w:szCs w:val="22"/>
          <w:color w:val="auto"/>
        </w:rPr>
        <w:t>”) named in the Notice of Performance Unit Grant of this Award Agreement (the “</w:t>
      </w:r>
      <w:r>
        <w:rPr>
          <w:rFonts w:ascii="Arial" w:cs="Arial" w:eastAsia="Arial" w:hAnsi="Arial"/>
          <w:sz w:val="22"/>
          <w:szCs w:val="22"/>
          <w:u w:val="single" w:color="auto"/>
          <w:color w:val="auto"/>
        </w:rPr>
        <w:t>Notice of Grant</w:t>
      </w:r>
      <w:r>
        <w:rPr>
          <w:rFonts w:ascii="Arial" w:cs="Arial" w:eastAsia="Arial" w:hAnsi="Arial"/>
          <w:sz w:val="22"/>
          <w:szCs w:val="22"/>
          <w:color w:val="auto"/>
        </w:rPr>
        <w:t>”) under the Plan an Award of PSUs, and subject to the terms and conditions of this Award Agreement and the Plan, which is incorporated herein by reference. Subject to Section 3.1 of the Plan, in the event of a conflict between the terms and conditions of the Plan and this Award Agreement, the terms and conditions of the Plan shall prevail.</w:t>
      </w:r>
    </w:p>
    <w:p>
      <w:pPr>
        <w:spacing w:after="0" w:line="189" w:lineRule="exact"/>
        <w:rPr>
          <w:rFonts w:ascii="Arial" w:cs="Arial" w:eastAsia="Arial" w:hAnsi="Arial"/>
          <w:sz w:val="22"/>
          <w:szCs w:val="22"/>
          <w:color w:val="auto"/>
        </w:rPr>
      </w:pPr>
    </w:p>
    <w:p>
      <w:pPr>
        <w:jc w:val="both"/>
        <w:ind w:firstLine="656"/>
        <w:spacing w:after="0" w:line="270" w:lineRule="auto"/>
        <w:tabs>
          <w:tab w:leader="none" w:pos="129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Company’s Obligation to Pay</w:t>
      </w:r>
      <w:r>
        <w:rPr>
          <w:rFonts w:ascii="Arial" w:cs="Arial" w:eastAsia="Arial" w:hAnsi="Arial"/>
          <w:sz w:val="21"/>
          <w:szCs w:val="21"/>
          <w:color w:val="auto"/>
        </w:rPr>
        <w:t>. Each PSU represents the right to receive a share of Company Class A Common Stock (a “</w:t>
      </w:r>
      <w:r>
        <w:rPr>
          <w:rFonts w:ascii="Arial" w:cs="Arial" w:eastAsia="Arial" w:hAnsi="Arial"/>
          <w:sz w:val="21"/>
          <w:szCs w:val="21"/>
          <w:u w:val="single" w:color="auto"/>
          <w:color w:val="auto"/>
        </w:rPr>
        <w:t>Share</w:t>
      </w:r>
      <w:r>
        <w:rPr>
          <w:rFonts w:ascii="Arial" w:cs="Arial" w:eastAsia="Arial" w:hAnsi="Arial"/>
          <w:sz w:val="21"/>
          <w:szCs w:val="21"/>
          <w:color w:val="auto"/>
        </w:rPr>
        <w:t>”) on the date it vests. Unless and until a PSU has vested in the manner set forth in Section 3 or 4, Grantee will have no right to payment of any such PSU. Prior to actual payment of any vested PSUs, such PSU will represent an unsecured obligation of the Company, payable (if at all) only from the general assets of the Company.</w:t>
      </w:r>
    </w:p>
    <w:p>
      <w:pPr>
        <w:spacing w:after="0" w:line="168" w:lineRule="exact"/>
        <w:rPr>
          <w:rFonts w:ascii="Arial" w:cs="Arial" w:eastAsia="Arial" w:hAnsi="Arial"/>
          <w:sz w:val="21"/>
          <w:szCs w:val="21"/>
          <w:color w:val="auto"/>
        </w:rPr>
      </w:pPr>
    </w:p>
    <w:p>
      <w:pPr>
        <w:jc w:val="both"/>
        <w:ind w:firstLine="656"/>
        <w:spacing w:after="0" w:line="297"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Except as provided in Section 4, and subject to Section 5, the PSUs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PSUs scheduled to vest on a certain date or upon the occurrence of a certain condition will not vest in accordance with any of the provisions of this Award Agreement, unless Grantee will have been continuously a Service Provider from the Date of Grant until the date such vesting occurs.</w:t>
      </w:r>
    </w:p>
    <w:p>
      <w:pPr>
        <w:spacing w:after="0" w:line="146" w:lineRule="exact"/>
        <w:rPr>
          <w:rFonts w:ascii="Arial" w:cs="Arial" w:eastAsia="Arial" w:hAnsi="Arial"/>
          <w:sz w:val="19"/>
          <w:szCs w:val="19"/>
          <w:color w:val="auto"/>
        </w:rPr>
      </w:pPr>
    </w:p>
    <w:p>
      <w:pPr>
        <w:ind w:left="1300" w:hanging="644"/>
        <w:spacing w:after="0"/>
        <w:tabs>
          <w:tab w:leader="none" w:pos="13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Payment after Vesting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1" w:lineRule="auto"/>
        <w:tabs>
          <w:tab w:leader="none" w:pos="1944"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Subject to Section 7, any PSUs that vest will be paid to Grantee (or in the event of Grantee’s death, to his or her properly designated beneficiary or estate) in whole Shares. Subject to the provisions of Section 4(c), such vested PSUs shall be paid in whole Shares as soon as practicable after vesting, but in each such case within sixty (60) days following the vesting date. In no event will Grantee be permitted, directly or indirectly, to specify the taxable year of payment of any PSUs payable under this Award Agreement.</w:t>
      </w:r>
    </w:p>
    <w:p>
      <w:pPr>
        <w:spacing w:after="0" w:line="189"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Discretionary Acceleration</w:t>
      </w:r>
      <w:r>
        <w:rPr>
          <w:rFonts w:ascii="Arial" w:cs="Arial" w:eastAsia="Arial" w:hAnsi="Arial"/>
          <w:sz w:val="22"/>
          <w:szCs w:val="22"/>
          <w:color w:val="auto"/>
        </w:rPr>
        <w:t>. The Committee, in its discretion, may accelerate the vesting of the balance, or some lesser portion of the balance, of the unvested PSUs at any time, subject to the terms of the Plan. If so accelerated, such PSUs will be considered as having vested as of the date specified by the Administrator.</w:t>
      </w:r>
    </w:p>
    <w:p>
      <w:pPr>
        <w:spacing w:after="0" w:line="198" w:lineRule="exact"/>
        <w:rPr>
          <w:rFonts w:ascii="Arial" w:cs="Arial" w:eastAsia="Arial" w:hAnsi="Arial"/>
          <w:sz w:val="22"/>
          <w:szCs w:val="22"/>
          <w:color w:val="auto"/>
        </w:rPr>
      </w:pPr>
    </w:p>
    <w:p>
      <w:pPr>
        <w:ind w:left="1960" w:hanging="656"/>
        <w:spacing w:after="0"/>
        <w:tabs>
          <w:tab w:leader="none" w:pos="196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50" w:name="page51"/>
    <w:bookmarkEnd w:id="50"/>
    <w:p>
      <w:pPr>
        <w:spacing w:after="0" w:line="312" w:lineRule="exact"/>
        <w:rPr>
          <w:sz w:val="20"/>
          <w:szCs w:val="20"/>
          <w:color w:val="auto"/>
        </w:rPr>
      </w:pPr>
    </w:p>
    <w:p>
      <w:pPr>
        <w:jc w:val="both"/>
        <w:ind w:firstLine="1952"/>
        <w:spacing w:after="0" w:line="254" w:lineRule="auto"/>
        <w:tabs>
          <w:tab w:leader="none" w:pos="2592" w:val="left"/>
        </w:tabs>
        <w:numPr>
          <w:ilvl w:val="1"/>
          <w:numId w:val="32"/>
        </w:numPr>
        <w:rPr>
          <w:rFonts w:ascii="Arial" w:cs="Arial" w:eastAsia="Arial" w:hAnsi="Arial"/>
          <w:sz w:val="22"/>
          <w:szCs w:val="22"/>
          <w:color w:val="auto"/>
        </w:rPr>
      </w:pPr>
      <w:r>
        <w:rPr>
          <w:rFonts w:ascii="Arial" w:cs="Arial" w:eastAsia="Arial" w:hAnsi="Arial"/>
          <w:sz w:val="22"/>
          <w:szCs w:val="22"/>
          <w:color w:val="auto"/>
        </w:rPr>
        <w:t>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76" w:lineRule="exact"/>
        <w:rPr>
          <w:rFonts w:ascii="Arial" w:cs="Arial" w:eastAsia="Arial" w:hAnsi="Arial"/>
          <w:sz w:val="22"/>
          <w:szCs w:val="22"/>
          <w:color w:val="auto"/>
        </w:rPr>
      </w:pPr>
    </w:p>
    <w:p>
      <w:pPr>
        <w:jc w:val="both"/>
        <w:ind w:firstLine="1952"/>
        <w:spacing w:after="0" w:line="260" w:lineRule="auto"/>
        <w:tabs>
          <w:tab w:leader="none" w:pos="2592" w:val="left"/>
        </w:tabs>
        <w:numPr>
          <w:ilvl w:val="1"/>
          <w:numId w:val="32"/>
        </w:numPr>
        <w:rPr>
          <w:rFonts w:ascii="Arial" w:cs="Arial" w:eastAsia="Arial" w:hAnsi="Arial"/>
          <w:sz w:val="21"/>
          <w:szCs w:val="21"/>
          <w:color w:val="auto"/>
        </w:rPr>
      </w:pPr>
      <w:r>
        <w:rPr>
          <w:rFonts w:ascii="Arial" w:cs="Arial" w:eastAsia="Arial" w:hAnsi="Arial"/>
          <w:sz w:val="21"/>
          <w:szCs w:val="21"/>
          <w:color w:val="auto"/>
        </w:rPr>
        <w:t>Notwithstanding anything in the Plan or this Award Agreement or any other agreement (whether entered into before, on or after the Date of Grant), if the vesting of the balance, or some lesser portion of the balance, of the PSUs is accelerated in connection with the termination of Grantee’s status as a Service Provider (provided that such termination is a “separation from service” within the meaning of Section 409A, as determined by the Administrator), other than due to Grantee’s death, and if (x) Grantee is a U.S. taxpayer and a “specified employee” within the meaning of Section 409A at the time of such termination as a Service Provider and (y) the payment of such accelerated PSUs will result in the imposition of additional tax under Section 409A if paid to Grantee on or within the six (6) month period following the cessation of Grantee’s status as a Service Provider, then the payment of such accelerated PSUs will not be made until the date six (6) months and one (1) day following the date of cessation of Grantee’s status as a Service Provider, unless Grantee dies following his or her termination as a Service Provider, in which case, the PSUs will be paid in Shares to Grantee’s estate as soon as practicable following his or her death.</w:t>
      </w:r>
    </w:p>
    <w:p>
      <w:pPr>
        <w:spacing w:after="0" w:line="78" w:lineRule="exact"/>
        <w:rPr>
          <w:rFonts w:ascii="Arial" w:cs="Arial" w:eastAsia="Arial" w:hAnsi="Arial"/>
          <w:sz w:val="21"/>
          <w:szCs w:val="21"/>
          <w:color w:val="auto"/>
        </w:rPr>
      </w:pPr>
    </w:p>
    <w:p>
      <w:pPr>
        <w:jc w:val="both"/>
        <w:ind w:firstLine="1952"/>
        <w:spacing w:after="0" w:line="291" w:lineRule="auto"/>
        <w:tabs>
          <w:tab w:leader="none" w:pos="2592" w:val="left"/>
        </w:tabs>
        <w:numPr>
          <w:ilvl w:val="1"/>
          <w:numId w:val="32"/>
        </w:numPr>
        <w:rPr>
          <w:rFonts w:ascii="Arial" w:cs="Arial" w:eastAsia="Arial" w:hAnsi="Arial"/>
          <w:sz w:val="19"/>
          <w:szCs w:val="19"/>
          <w:color w:val="auto"/>
        </w:rPr>
      </w:pPr>
      <w:r>
        <w:rPr>
          <w:rFonts w:ascii="Arial" w:cs="Arial" w:eastAsia="Arial" w:hAnsi="Arial"/>
          <w:sz w:val="19"/>
          <w:szCs w:val="19"/>
          <w:color w:val="auto"/>
        </w:rPr>
        <w:t>It is the intent of this Award Agreement that it and all payments and benefits to U.S. taxpayers hereunder be exempt from, or comply with, the requirements of Section 409A so that none of the PSUs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status as a Service Provider,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50"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Forfeiture Upon Termination as a Service Provider</w:t>
      </w:r>
      <w:r>
        <w:rPr>
          <w:rFonts w:ascii="Arial" w:cs="Arial" w:eastAsia="Arial" w:hAnsi="Arial"/>
          <w:sz w:val="22"/>
          <w:szCs w:val="22"/>
          <w:color w:val="auto"/>
        </w:rPr>
        <w:t>. Unless specifically provided otherwise in this Award Agreement or other written agreement authorized by the Committee between Grantee and the Company or any of its Subsidiaries, as applicable, governing the terms of this Award, if Grantee ceases to be a Service Provider for any or no reason, the then-unvested PSUs awarded by this Award Agreement will thereupon be forfeited at no cost to the Company and Grantee will have no further rights thereunder.</w:t>
      </w:r>
    </w:p>
    <w:p>
      <w:pPr>
        <w:spacing w:after="0" w:line="97"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Death of Grantee</w:t>
      </w:r>
      <w:r>
        <w:rPr>
          <w:rFonts w:ascii="Arial" w:cs="Arial" w:eastAsia="Arial" w:hAnsi="Arial"/>
          <w:sz w:val="22"/>
          <w:szCs w:val="22"/>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312" w:lineRule="exact"/>
        <w:rPr>
          <w:sz w:val="20"/>
          <w:szCs w:val="20"/>
          <w:color w:val="auto"/>
        </w:rPr>
      </w:pPr>
    </w:p>
    <w:p>
      <w:pPr>
        <w:ind w:left="1300" w:hanging="644"/>
        <w:spacing w:after="0"/>
        <w:tabs>
          <w:tab w:leader="none" w:pos="130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jc w:val="both"/>
        <w:ind w:firstLine="1304"/>
        <w:spacing w:after="0" w:line="288" w:lineRule="auto"/>
        <w:tabs>
          <w:tab w:leader="none" w:pos="1944"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Grantee acknowledges that, regardless of any action taken by the Company or, if different, Grantee’s employer or any parent or Subsidiary of the Company to which Grantee is providing services (together, the “</w:t>
      </w:r>
      <w:r>
        <w:rPr>
          <w:rFonts w:ascii="Arial" w:cs="Arial" w:eastAsia="Arial" w:hAnsi="Arial"/>
          <w:sz w:val="19"/>
          <w:szCs w:val="19"/>
          <w:u w:val="single" w:color="auto"/>
          <w:color w:val="auto"/>
        </w:rPr>
        <w:t>Service Recipients</w:t>
      </w:r>
      <w:r>
        <w:rPr>
          <w:rFonts w:ascii="Arial" w:cs="Arial" w:eastAsia="Arial" w:hAnsi="Arial"/>
          <w:sz w:val="19"/>
          <w:szCs w:val="19"/>
          <w:color w:val="auto"/>
        </w:rPr>
        <w:t>”), the ultimate liability for any tax and/or social insurance liability obligations and requirements in connection with the PSUs, including, without limitation, (i) all federal, state, and local taxes (including Grantee’s Federal Insurance Contributions Act (FICA) obligations) that are required to be withheld by any Service Recipient or other payment of tax-related items related to Grantee’s participation in the Plan and legally applicable to Grantee, (ii) Grantee’s and, to the extent required by any Service Recipient, the Service Recipient’s fringe benefit tax liability, if any, associated with the grant, vesting, or settlement of the PSUs or sale of Shares, and (iii) any other Service Recipient taxes the responsibility for which Grantee has, or has agreed to bear, with respect to the PSUs (or settlement thereof or issuance of Shares thereunder) (collectively, the “</w:t>
      </w:r>
      <w:r>
        <w:rPr>
          <w:rFonts w:ascii="Arial" w:cs="Arial" w:eastAsia="Arial" w:hAnsi="Arial"/>
          <w:sz w:val="19"/>
          <w:szCs w:val="19"/>
          <w:u w:val="single" w:color="auto"/>
          <w:color w:val="auto"/>
        </w:rPr>
        <w:t>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PSUs, including, but not limited to, the grant, vesting or settlement of the PSUs, the subsequent sale of Shares acquired pursuant to such settlement and the receipt of any dividends or other distributions, and (B) makes any commitment to and is under any obligation to structure the terms of the grant or any aspect of the PSUs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jc w:val="both"/>
        <w:ind w:firstLine="1304"/>
        <w:spacing w:after="0" w:line="285" w:lineRule="auto"/>
        <w:tabs>
          <w:tab w:leader="none" w:pos="1944"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Pursuant to such procedures as the Committee may specify from time to time, the applicable Service Recipient(s) will withhold the amount required to be withheld for the payment of Tax Obligations (the “</w:t>
      </w:r>
      <w:r>
        <w:rPr>
          <w:rFonts w:ascii="Arial" w:cs="Arial" w:eastAsia="Arial" w:hAnsi="Arial"/>
          <w:sz w:val="19"/>
          <w:szCs w:val="19"/>
          <w:u w:val="single" w:color="auto"/>
          <w:color w:val="auto"/>
        </w:rPr>
        <w:t>Withholding Obligations</w:t>
      </w:r>
      <w:r>
        <w:rPr>
          <w:rFonts w:ascii="Arial" w:cs="Arial" w:eastAsia="Arial" w:hAnsi="Arial"/>
          <w:sz w:val="19"/>
          <w:szCs w:val="19"/>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Arial" w:cs="Arial" w:eastAsia="Arial" w:hAnsi="Arial"/>
          <w:sz w:val="19"/>
          <w:szCs w:val="19"/>
          <w:u w:val="single" w:color="auto"/>
          <w:color w:val="auto"/>
        </w:rPr>
        <w:t>Net Share Withholding</w:t>
      </w:r>
      <w:r>
        <w:rPr>
          <w:rFonts w:ascii="Arial" w:cs="Arial" w:eastAsia="Arial" w:hAnsi="Arial"/>
          <w:sz w:val="19"/>
          <w:szCs w:val="19"/>
          <w:color w:val="auto"/>
        </w:rPr>
        <w:t>”), (iii) withholding the amount of such Withholding Obligations from Grantee’s wages or other cash compensation paid to Grantee by the applicable Service Recipient(s),</w:t>
      </w:r>
    </w:p>
    <w:p>
      <w:pPr>
        <w:spacing w:after="0" w:line="4" w:lineRule="exact"/>
        <w:rPr>
          <w:rFonts w:ascii="Arial" w:cs="Arial" w:eastAsia="Arial" w:hAnsi="Arial"/>
          <w:sz w:val="19"/>
          <w:szCs w:val="19"/>
          <w:color w:val="auto"/>
        </w:rPr>
      </w:pPr>
    </w:p>
    <w:p>
      <w:pPr>
        <w:jc w:val="both"/>
        <w:ind w:firstLine="8"/>
        <w:spacing w:after="0" w:line="246" w:lineRule="auto"/>
        <w:tabs>
          <w:tab w:leader="none" w:pos="395" w:val="left"/>
        </w:tabs>
        <w:numPr>
          <w:ilvl w:val="0"/>
          <w:numId w:val="35"/>
        </w:numPr>
        <w:rPr>
          <w:rFonts w:ascii="Arial" w:cs="Arial" w:eastAsia="Arial" w:hAnsi="Arial"/>
          <w:sz w:val="22"/>
          <w:szCs w:val="22"/>
          <w:color w:val="auto"/>
        </w:rPr>
      </w:pPr>
      <w:r>
        <w:rPr>
          <w:rFonts w:ascii="Arial" w:cs="Arial" w:eastAsia="Arial" w:hAnsi="Arial"/>
          <w:sz w:val="22"/>
          <w:szCs w:val="22"/>
          <w:color w:val="auto"/>
        </w:rPr>
        <w:t>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 discretion (whether through a broker or otherwise) equal to the minimum amount that is necessary to meet the withholding requirement for such Withholding Obligations (or such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amount as Grantee may elect if permitted by the Committee, if such greater amount would not result in adverse financial accounting consequences) (“</w:t>
      </w:r>
      <w:r>
        <w:rPr>
          <w:rFonts w:ascii="Arial" w:cs="Arial" w:eastAsia="Arial" w:hAnsi="Arial"/>
          <w:sz w:val="19"/>
          <w:szCs w:val="19"/>
          <w:u w:val="single" w:color="auto"/>
          <w:color w:val="auto"/>
        </w:rPr>
        <w:t>Sell to Cover</w:t>
      </w:r>
      <w:r>
        <w:rPr>
          <w:rFonts w:ascii="Arial" w:cs="Arial" w:eastAsia="Arial" w:hAnsi="Arial"/>
          <w:sz w:val="19"/>
          <w:szCs w:val="19"/>
          <w:color w:val="auto"/>
        </w:rPr>
        <w:t>”), or (vi) such other means as the Committee deems appropriate. If the Withholding Obligations are satisfied by withholding in Shares, for tax purposes, Grantee is deemed to have been issued the full number of Shares subject to the vested PSUs,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w:t>
      </w:r>
    </w:p>
    <w:p>
      <w:pPr>
        <w:spacing w:after="0" w:line="157" w:lineRule="exact"/>
        <w:rPr>
          <w:sz w:val="20"/>
          <w:szCs w:val="20"/>
          <w:color w:val="auto"/>
        </w:rPr>
      </w:pPr>
    </w:p>
    <w:p>
      <w:pPr>
        <w:jc w:val="both"/>
        <w:ind w:firstLine="1304"/>
        <w:spacing w:after="0" w:line="300" w:lineRule="auto"/>
        <w:tabs>
          <w:tab w:leader="none" w:pos="1944"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146" w:lineRule="exact"/>
        <w:rPr>
          <w:rFonts w:ascii="Arial" w:cs="Arial" w:eastAsia="Arial" w:hAnsi="Arial"/>
          <w:sz w:val="19"/>
          <w:szCs w:val="19"/>
          <w:color w:val="auto"/>
        </w:rPr>
      </w:pPr>
    </w:p>
    <w:p>
      <w:pPr>
        <w:jc w:val="both"/>
        <w:ind w:firstLine="1304"/>
        <w:spacing w:after="0" w:line="294" w:lineRule="auto"/>
        <w:tabs>
          <w:tab w:leader="none" w:pos="1944"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Company’s Obligation to Deliver Shares</w:t>
      </w:r>
      <w:r>
        <w:rPr>
          <w:rFonts w:ascii="Arial" w:cs="Arial" w:eastAsia="Arial" w:hAnsi="Arial"/>
          <w:sz w:val="19"/>
          <w:szCs w:val="19"/>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PSUs otherwise are scheduled to vest pursuant to Sections 3 or 4 or Grantee’s Withholding Obligations otherwise become due, Grantee permanently will forfeit such PSUs to which Grantee’s Withholding Obligation relates and any right to receive Shares thereunder and such PSUs will be returned to the Company at no cost to the Company. Grantee acknowledges and agrees that the Company may permanently refuse to issue or deliver the Shares if such Withholding Obligations are not delivered at the time they are due.</w:t>
      </w:r>
    </w:p>
    <w:p>
      <w:pPr>
        <w:spacing w:after="0" w:line="153" w:lineRule="exact"/>
        <w:rPr>
          <w:rFonts w:ascii="Arial" w:cs="Arial" w:eastAsia="Arial" w:hAnsi="Arial"/>
          <w:sz w:val="19"/>
          <w:szCs w:val="19"/>
          <w:color w:val="auto"/>
        </w:rPr>
      </w:pPr>
    </w:p>
    <w:p>
      <w:pPr>
        <w:jc w:val="both"/>
        <w:ind w:firstLine="656"/>
        <w:spacing w:after="0" w:line="264" w:lineRule="auto"/>
        <w:tabs>
          <w:tab w:leader="none" w:pos="1296"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20" w:lineRule="exact"/>
        <w:rPr>
          <w:sz w:val="20"/>
          <w:szCs w:val="20"/>
          <w:color w:val="auto"/>
        </w:rPr>
      </w:pPr>
    </w:p>
    <w:p>
      <w:pPr>
        <w:jc w:val="both"/>
        <w:ind w:firstLine="656"/>
        <w:spacing w:after="0" w:line="293" w:lineRule="auto"/>
        <w:tabs>
          <w:tab w:leader="none" w:pos="129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 Guarantee of Continued Service</w:t>
      </w:r>
      <w:r>
        <w:rPr>
          <w:rFonts w:ascii="Arial" w:cs="Arial" w:eastAsia="Arial" w:hAnsi="Arial"/>
          <w:sz w:val="19"/>
          <w:szCs w:val="19"/>
          <w:color w:val="auto"/>
        </w:rPr>
        <w:t>. Grantee acknowledges and agrees that the vesting of the PSUs pursuant to the vesting schedule hereof is earned only by continuing as a Service Provider through the applicable vesting dates, which unless provided otherwise under applicable law, is at the will of the applicable Service Recipient and not through the act of being hired, being granted this PSU award, or acquiring Shares hereunder. Grantee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Grantee’s right or the right of any Service Recipient to terminate Grantee’s relationship as a service provider, subject to applicable law, which termination, unless provided otherwise under applicable law or written agreement between Grantee and the Service Recipient, may be at any time, with or without cause.</w:t>
      </w:r>
    </w:p>
    <w:p>
      <w:pPr>
        <w:spacing w:after="0" w:line="150"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Grant is Not Transferable</w:t>
      </w:r>
      <w:r>
        <w:rPr>
          <w:rFonts w:ascii="Arial" w:cs="Arial" w:eastAsia="Arial" w:hAnsi="Arial"/>
          <w:sz w:val="22"/>
          <w:szCs w:val="22"/>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93" w:lineRule="exact"/>
        <w:rPr>
          <w:rFonts w:ascii="Arial" w:cs="Arial" w:eastAsia="Arial" w:hAnsi="Arial"/>
          <w:sz w:val="22"/>
          <w:szCs w:val="22"/>
          <w:color w:val="auto"/>
        </w:rPr>
      </w:pPr>
    </w:p>
    <w:p>
      <w:pPr>
        <w:ind w:left="1300" w:hanging="644"/>
        <w:spacing w:after="0"/>
        <w:tabs>
          <w:tab w:leader="none" w:pos="130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In accepting this Award of PSUs, Grantee acknowledges, understands and agrees that:</w:t>
      </w:r>
    </w:p>
    <w:p>
      <w:pPr>
        <w:spacing w:after="0" w:line="231" w:lineRule="exact"/>
        <w:rPr>
          <w:rFonts w:ascii="Arial" w:cs="Arial" w:eastAsia="Arial" w:hAnsi="Arial"/>
          <w:sz w:val="21"/>
          <w:szCs w:val="21"/>
          <w:color w:val="auto"/>
        </w:rPr>
      </w:pPr>
    </w:p>
    <w:p>
      <w:pPr>
        <w:ind w:firstLine="1304"/>
        <w:spacing w:after="0" w:line="263" w:lineRule="auto"/>
        <w:tabs>
          <w:tab w:leader="none" w:pos="1944"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grant of the PSUs is voluntary and occasional and does not create any contractual or other right to receive future grants of PSUs, or benefits in lieu of PSUs, even if PSUs have been granted in the past;</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1"/>
          <w:numId w:val="38"/>
        </w:numPr>
        <w:rPr>
          <w:rFonts w:ascii="Arial" w:cs="Arial" w:eastAsia="Arial" w:hAnsi="Arial"/>
          <w:sz w:val="21"/>
          <w:szCs w:val="21"/>
          <w:color w:val="auto"/>
        </w:rPr>
      </w:pPr>
      <w:r>
        <w:rPr>
          <w:rFonts w:ascii="Arial" w:cs="Arial" w:eastAsia="Arial" w:hAnsi="Arial"/>
          <w:sz w:val="21"/>
          <w:szCs w:val="21"/>
          <w:color w:val="auto"/>
        </w:rPr>
        <w:t>all decisions with respect to future PSUs or other grants, if any, will be at the sole discretion of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Administrator;</w:t>
      </w:r>
    </w:p>
    <w:p>
      <w:pPr>
        <w:spacing w:after="0" w:line="215" w:lineRule="exact"/>
        <w:rPr>
          <w:rFonts w:ascii="Arial" w:cs="Arial" w:eastAsia="Arial" w:hAnsi="Arial"/>
          <w:sz w:val="21"/>
          <w:szCs w:val="21"/>
          <w:color w:val="auto"/>
        </w:rPr>
      </w:pPr>
    </w:p>
    <w:p>
      <w:pPr>
        <w:ind w:left="1960" w:hanging="656"/>
        <w:spacing w:after="0"/>
        <w:tabs>
          <w:tab w:leader="none" w:pos="19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PSUs and the Shares subject to the PSUs are not intended to replace any pension rights or</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compensation;</w:t>
      </w:r>
    </w:p>
    <w:p>
      <w:pPr>
        <w:spacing w:after="0" w:line="201" w:lineRule="exact"/>
        <w:rPr>
          <w:rFonts w:ascii="Arial" w:cs="Arial" w:eastAsia="Arial" w:hAnsi="Arial"/>
          <w:sz w:val="22"/>
          <w:szCs w:val="22"/>
          <w:color w:val="auto"/>
        </w:rPr>
      </w:pPr>
    </w:p>
    <w:p>
      <w:pPr>
        <w:jc w:val="both"/>
        <w:ind w:firstLine="1304"/>
        <w:spacing w:after="0" w:line="319" w:lineRule="auto"/>
        <w:tabs>
          <w:tab w:leader="none" w:pos="1944"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PSUs and the Shares subject to the PSUs,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27" w:lineRule="exact"/>
        <w:rPr>
          <w:rFonts w:ascii="Arial" w:cs="Arial" w:eastAsia="Arial" w:hAnsi="Arial"/>
          <w:sz w:val="19"/>
          <w:szCs w:val="19"/>
          <w:color w:val="auto"/>
        </w:rPr>
      </w:pPr>
    </w:p>
    <w:p>
      <w:pPr>
        <w:ind w:left="1960" w:hanging="656"/>
        <w:spacing w:after="0"/>
        <w:tabs>
          <w:tab w:leader="none" w:pos="19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future value of the Shares underlying the PSUs is unknown, indeterminable, and cannot be predicted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certainty;</w:t>
      </w:r>
    </w:p>
    <w:p>
      <w:pPr>
        <w:spacing w:after="0" w:line="201" w:lineRule="exact"/>
        <w:rPr>
          <w:rFonts w:ascii="Arial" w:cs="Arial" w:eastAsia="Arial" w:hAnsi="Arial"/>
          <w:sz w:val="19"/>
          <w:szCs w:val="19"/>
          <w:color w:val="auto"/>
        </w:rPr>
      </w:pPr>
    </w:p>
    <w:p>
      <w:pPr>
        <w:ind w:firstLine="1304"/>
        <w:spacing w:after="0" w:line="263" w:lineRule="auto"/>
        <w:tabs>
          <w:tab w:leader="none" w:pos="1944" w:val="left"/>
        </w:tabs>
        <w:numPr>
          <w:ilvl w:val="1"/>
          <w:numId w:val="38"/>
        </w:numPr>
        <w:rPr>
          <w:rFonts w:ascii="Arial" w:cs="Arial" w:eastAsia="Arial" w:hAnsi="Arial"/>
          <w:sz w:val="22"/>
          <w:szCs w:val="22"/>
          <w:color w:val="auto"/>
        </w:rPr>
      </w:pPr>
      <w:r>
        <w:rPr>
          <w:rFonts w:ascii="Arial" w:cs="Arial" w:eastAsia="Arial" w:hAnsi="Arial"/>
          <w:sz w:val="22"/>
          <w:szCs w:val="22"/>
          <w:color w:val="auto"/>
        </w:rPr>
        <w:t>for purposes of the PSUs, Grantee’s status as a Service Provider will be considered terminated as of the date Grantee is no longer actively providing services to the Company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or any Parent or Subsidiary (regardless of the reason for such termination and whether or not later found to be invalid or in breach of employment laws in the jurisdiction where Grantee is a Service Provider or the terms of Grantee’s employment or service agreement, if any), and unless otherwise expressly provided in this Award Agreement (including by reference in the Notice of Grant to other arrangements or contracts) or determined by the Committee, Grantee’s right to vest in the PSUs under the Plan, if any, will terminate as of such date and will not be extended by any notice period (e.g., Grantee’s period of service would not include any contractual notice period or any period of “garden leave” or similar period mandated under employment laws in the jurisdiction where Grantee is a Service Provider or the terms of Grantee’s employment or service agreement, if any, unless Grantee is providing bona fide services during such time); the Committee shall have the exclusive discretion to determine when Grantee is no longer actively providing services for purposes of this Award of PSUs (including whether Grantee may still be considered to be providing services while on a leave of absence and consistent with local law). Further, for the avoidance of doubt, Grantee shall not be entitled to any pro rata vesting of any PSUs should Grantee’s status as a Service Provider cease before the PSUs have fully vested (e.g., if Grantee’s status as a Service Provider ceases on March 1 before all of the PSUs have vested, Grantee shall not be entitled to any vesting of the PSUs that were scheduled to vest on the immediately following vesting date of March 10);</w:t>
      </w:r>
    </w:p>
    <w:p>
      <w:pPr>
        <w:spacing w:after="0" w:line="200" w:lineRule="exact"/>
        <w:rPr>
          <w:sz w:val="20"/>
          <w:szCs w:val="20"/>
          <w:color w:val="auto"/>
        </w:rPr>
      </w:pPr>
    </w:p>
    <w:p>
      <w:pPr>
        <w:spacing w:after="0" w:line="227" w:lineRule="exact"/>
        <w:rPr>
          <w:sz w:val="20"/>
          <w:szCs w:val="20"/>
          <w:color w:val="auto"/>
        </w:rPr>
      </w:pPr>
    </w:p>
    <w:p>
      <w:pPr>
        <w:jc w:val="both"/>
        <w:ind w:firstLine="1304"/>
        <w:spacing w:after="0" w:line="250"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 and</w:t>
      </w:r>
    </w:p>
    <w:p>
      <w:pPr>
        <w:spacing w:after="0" w:line="187" w:lineRule="exact"/>
        <w:rPr>
          <w:rFonts w:ascii="Arial" w:cs="Arial" w:eastAsia="Arial" w:hAnsi="Arial"/>
          <w:sz w:val="22"/>
          <w:szCs w:val="22"/>
          <w:color w:val="auto"/>
        </w:rPr>
      </w:pPr>
    </w:p>
    <w:p>
      <w:pPr>
        <w:ind w:left="1960" w:hanging="656"/>
        <w:spacing w:after="0"/>
        <w:tabs>
          <w:tab w:leader="none" w:pos="19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following provisions apply only if Grantee is providing services outside the United States:</w:t>
      </w:r>
    </w:p>
    <w:p>
      <w:pPr>
        <w:spacing w:after="0" w:line="233" w:lineRule="exact"/>
        <w:rPr>
          <w:rFonts w:ascii="Arial" w:cs="Arial" w:eastAsia="Arial" w:hAnsi="Arial"/>
          <w:sz w:val="22"/>
          <w:szCs w:val="22"/>
          <w:color w:val="auto"/>
        </w:rPr>
      </w:pPr>
    </w:p>
    <w:p>
      <w:pPr>
        <w:ind w:left="2600" w:hanging="648"/>
        <w:spacing w:after="0"/>
        <w:tabs>
          <w:tab w:leader="none" w:pos="260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PSUs and the Shares subject to the PSUs are not part of normal or expected compensation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salary for any purpose;</w:t>
      </w:r>
    </w:p>
    <w:p>
      <w:pPr>
        <w:spacing w:after="0" w:line="201" w:lineRule="exact"/>
        <w:rPr>
          <w:rFonts w:ascii="Arial" w:cs="Arial" w:eastAsia="Arial" w:hAnsi="Arial"/>
          <w:sz w:val="19"/>
          <w:szCs w:val="19"/>
          <w:color w:val="auto"/>
        </w:rPr>
      </w:pPr>
    </w:p>
    <w:p>
      <w:pPr>
        <w:jc w:val="both"/>
        <w:ind w:firstLine="1952"/>
        <w:spacing w:after="0" w:line="254" w:lineRule="auto"/>
        <w:tabs>
          <w:tab w:leader="none" w:pos="2592" w:val="left"/>
        </w:tabs>
        <w:numPr>
          <w:ilvl w:val="1"/>
          <w:numId w:val="39"/>
        </w:numPr>
        <w:rPr>
          <w:rFonts w:ascii="Arial" w:cs="Arial" w:eastAsia="Arial" w:hAnsi="Arial"/>
          <w:sz w:val="22"/>
          <w:szCs w:val="22"/>
          <w:color w:val="auto"/>
        </w:rPr>
      </w:pPr>
      <w:r>
        <w:rPr>
          <w:rFonts w:ascii="Arial" w:cs="Arial" w:eastAsia="Arial" w:hAnsi="Arial"/>
          <w:sz w:val="22"/>
          <w:szCs w:val="22"/>
          <w:color w:val="auto"/>
        </w:rPr>
        <w:t>Grantee acknowledges and agrees that no Service Recipient shall be liable for any foreign exchange rate fluctuation between Grantee’s local currency and the United States Dollar that may affect the value of the PSUs or of any amounts due to Grantee pursuant to the settlement of the PSUs or the subsequent sale of any Shares acquired upon settlement; and</w:t>
      </w:r>
    </w:p>
    <w:p>
      <w:pPr>
        <w:spacing w:after="0" w:line="184" w:lineRule="exact"/>
        <w:rPr>
          <w:rFonts w:ascii="Arial" w:cs="Arial" w:eastAsia="Arial" w:hAnsi="Arial"/>
          <w:sz w:val="22"/>
          <w:szCs w:val="22"/>
          <w:color w:val="auto"/>
        </w:rPr>
      </w:pPr>
    </w:p>
    <w:p>
      <w:pPr>
        <w:jc w:val="both"/>
        <w:ind w:firstLine="1952"/>
        <w:spacing w:after="0" w:line="260" w:lineRule="auto"/>
        <w:tabs>
          <w:tab w:leader="none" w:pos="2592" w:val="left"/>
        </w:tabs>
        <w:numPr>
          <w:ilvl w:val="1"/>
          <w:numId w:val="39"/>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PSUs resulting from the termination of Grantee’s status as a Service Provider (for any reason whatsoever whether or not later found to be invalid or in breach of employment laws in the jurisdiction where Grantee is a Service Provider or the terms of Grantee’s employment or service agreement, if any), and in consideration of the grant of the PSUs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Grantee shall be deemed irrevocably to have agreed not to pursue such claim and agrees to execute any and all documents necessary to request dismissal or withdrawal of such claim.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20" w:lineRule="exact"/>
        <w:rPr>
          <w:sz w:val="20"/>
          <w:szCs w:val="20"/>
          <w:color w:val="auto"/>
        </w:rPr>
      </w:pPr>
    </w:p>
    <w:p>
      <w:pPr>
        <w:jc w:val="both"/>
        <w:ind w:firstLine="656"/>
        <w:spacing w:after="0" w:line="270" w:lineRule="auto"/>
        <w:tabs>
          <w:tab w:leader="none" w:pos="1296"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Grantee’s participation in the Plan, or Grantee’s acquisition or sale of the Shares underlying the PSUs. Grantee is hereby advised to consult with his or her own personal tax, legal and financial advisers regarding his or her participation in the Plan before taking any action related to the Plan.</w:t>
      </w:r>
    </w:p>
    <w:p>
      <w:pPr>
        <w:spacing w:after="0" w:line="168" w:lineRule="exact"/>
        <w:rPr>
          <w:rFonts w:ascii="Arial" w:cs="Arial" w:eastAsia="Arial" w:hAnsi="Arial"/>
          <w:sz w:val="21"/>
          <w:szCs w:val="21"/>
          <w:color w:val="auto"/>
        </w:rPr>
      </w:pPr>
    </w:p>
    <w:p>
      <w:pPr>
        <w:jc w:val="both"/>
        <w:ind w:firstLine="656"/>
        <w:spacing w:after="0" w:line="250"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Grantee hereby explicitly and unambiguously consents to the collection, use and transfer, in electronic or other form, of Grantee’s personal data as described in this Award Agreement and any other PSU grant materials by and among, as applicable, the Service Recipients for the exclusive purpose of implementing, administering and managing Grantee’s participation in the Plan.</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PSUs or any other entitlement to Shares awarded, canceled, exercised, vested, unvested or outstanding in Grantee’s favor (“</w:t>
      </w:r>
      <w:r>
        <w:rPr>
          <w:rFonts w:ascii="Arial" w:cs="Arial" w:eastAsia="Arial" w:hAnsi="Arial"/>
          <w:sz w:val="21"/>
          <w:szCs w:val="21"/>
          <w:u w:val="single" w:color="auto"/>
          <w:color w:val="auto"/>
        </w:rPr>
        <w:t>Data</w:t>
      </w:r>
      <w:r>
        <w:rPr>
          <w:rFonts w:ascii="Arial" w:cs="Arial" w:eastAsia="Arial" w:hAnsi="Arial"/>
          <w:sz w:val="21"/>
          <w:szCs w:val="21"/>
          <w:color w:val="auto"/>
        </w:rPr>
        <w:t>”), for the exclusive purpose of implementing, administering and managing the Plan.</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Grantee understands that Data may be transferred to a stock plan service provider, as may be selected by the Company in the future,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 Service Provider and career with the Service Recipient will not be adversely affected. The only adverse consequence of refusing or withdrawing Grantee’s consent is that the Company would not be able to grant Grantee PSUs or other equity awards or administer or maintain such awards. Therefore, Grantee understands that refusing or withdrawing his or her consent may affect Grantee’s ability to participate in the Plan. For more information on the consequences of Grantee’s refusal to consent 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withdrawal of consent, Grantee understands that he or she may contact his or her local human resources representative.</w:t>
      </w:r>
    </w:p>
    <w:p>
      <w:pPr>
        <w:spacing w:after="0" w:line="231" w:lineRule="exact"/>
        <w:rPr>
          <w:sz w:val="20"/>
          <w:szCs w:val="20"/>
          <w:color w:val="auto"/>
        </w:rPr>
      </w:pPr>
    </w:p>
    <w:p>
      <w:pPr>
        <w:jc w:val="both"/>
        <w:ind w:firstLine="656"/>
        <w:spacing w:after="0" w:line="259"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180" w:lineRule="exact"/>
        <w:rPr>
          <w:rFonts w:ascii="Arial" w:cs="Arial" w:eastAsia="Arial" w:hAnsi="Arial"/>
          <w:sz w:val="22"/>
          <w:szCs w:val="22"/>
          <w:color w:val="auto"/>
        </w:rPr>
      </w:pPr>
    </w:p>
    <w:p>
      <w:pPr>
        <w:jc w:val="both"/>
        <w:ind w:firstLine="656"/>
        <w:spacing w:after="0" w:line="251"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189" w:lineRule="exact"/>
        <w:rPr>
          <w:rFonts w:ascii="Arial" w:cs="Arial" w:eastAsia="Arial" w:hAnsi="Arial"/>
          <w:sz w:val="22"/>
          <w:szCs w:val="22"/>
          <w:color w:val="auto"/>
        </w:rPr>
      </w:pPr>
    </w:p>
    <w:p>
      <w:pPr>
        <w:jc w:val="both"/>
        <w:ind w:firstLine="656"/>
        <w:spacing w:after="0" w:line="290" w:lineRule="auto"/>
        <w:tabs>
          <w:tab w:leader="none" w:pos="129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PSUs as the Committee may establish from time to time for reasons of administrative convenience.</w:t>
      </w:r>
    </w:p>
    <w:p>
      <w:pPr>
        <w:spacing w:after="0" w:line="160"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If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46" w:lineRule="exact"/>
        <w:rPr>
          <w:rFonts w:ascii="Arial" w:cs="Arial" w:eastAsia="Arial" w:hAnsi="Arial"/>
          <w:sz w:val="19"/>
          <w:szCs w:val="19"/>
          <w:color w:val="auto"/>
        </w:rPr>
      </w:pPr>
    </w:p>
    <w:p>
      <w:pPr>
        <w:ind w:firstLine="656"/>
        <w:spacing w:after="0" w:line="276"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the PSUs awarded under the Plan or future PSUs that may be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awarded under the Plan by electronic means or require Grantee to participate in the Plan by electronic means. Grantee hereby consents to receive such documents by electronic delivery and agrees to participate in the Plan through any on-line or electronic system established and maintained by the Company or a third party designated by the Company.</w:t>
      </w:r>
    </w:p>
    <w:p>
      <w:pPr>
        <w:spacing w:after="0" w:line="181" w:lineRule="exact"/>
        <w:rPr>
          <w:sz w:val="20"/>
          <w:szCs w:val="20"/>
          <w:color w:val="auto"/>
        </w:rPr>
      </w:pPr>
    </w:p>
    <w:p>
      <w:pPr>
        <w:ind w:firstLine="656"/>
        <w:spacing w:after="0" w:line="263" w:lineRule="auto"/>
        <w:tabs>
          <w:tab w:leader="none" w:pos="129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Award Agreement.</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29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this Award, Grantee expressly warrants that he or she has received an Award of PSUs under the Plan, and has received, read and understood a description of the Plan. Grantee understands that the Plan is discretionary in nature and may be amended, suspended or terminated by the Committee at any time.</w:t>
      </w:r>
    </w:p>
    <w:p>
      <w:pPr>
        <w:spacing w:after="0" w:line="146"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Country Addendum</w:t>
      </w:r>
      <w:r>
        <w:rPr>
          <w:rFonts w:ascii="Arial" w:cs="Arial" w:eastAsia="Arial" w:hAnsi="Arial"/>
          <w:sz w:val="22"/>
          <w:szCs w:val="22"/>
          <w:color w:val="auto"/>
        </w:rPr>
        <w:t>. Notwithstanding any provisions in this Award Agreement, the PSU grant shall be subject to any special terms and conditions set forth in an appendix (if any) to this Award Agreement for any country whose laws are applicable to Grantee and this Award of PSUs (as determined by the Committee in its sole discretion) (the “</w:t>
      </w:r>
      <w:r>
        <w:rPr>
          <w:rFonts w:ascii="Arial" w:cs="Arial" w:eastAsia="Arial" w:hAnsi="Arial"/>
          <w:sz w:val="22"/>
          <w:szCs w:val="22"/>
          <w:u w:val="single" w:color="auto"/>
          <w:color w:val="auto"/>
        </w:rPr>
        <w:t>Country Addendum</w:t>
      </w:r>
      <w:r>
        <w:rPr>
          <w:rFonts w:ascii="Arial" w:cs="Arial" w:eastAsia="Arial" w:hAnsi="Arial"/>
          <w:sz w:val="22"/>
          <w:szCs w:val="22"/>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195" w:lineRule="exact"/>
        <w:rPr>
          <w:rFonts w:ascii="Arial" w:cs="Arial" w:eastAsia="Arial" w:hAnsi="Arial"/>
          <w:sz w:val="22"/>
          <w:szCs w:val="22"/>
          <w:color w:val="auto"/>
        </w:rPr>
      </w:pPr>
    </w:p>
    <w:p>
      <w:pPr>
        <w:jc w:val="both"/>
        <w:ind w:firstLine="656"/>
        <w:spacing w:after="0" w:line="294" w:lineRule="auto"/>
        <w:tabs>
          <w:tab w:leader="none" w:pos="129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PSUs.</w:t>
      </w:r>
    </w:p>
    <w:p>
      <w:pPr>
        <w:spacing w:after="0" w:line="151" w:lineRule="exact"/>
        <w:rPr>
          <w:rFonts w:ascii="Arial" w:cs="Arial" w:eastAsia="Arial" w:hAnsi="Arial"/>
          <w:sz w:val="19"/>
          <w:szCs w:val="19"/>
          <w:color w:val="auto"/>
        </w:rPr>
      </w:pPr>
    </w:p>
    <w:p>
      <w:pPr>
        <w:jc w:val="both"/>
        <w:ind w:firstLine="656"/>
        <w:spacing w:after="0" w:line="270" w:lineRule="auto"/>
        <w:tabs>
          <w:tab w:leader="none" w:pos="1296"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 Waiver</w:t>
      </w:r>
      <w:r>
        <w:rPr>
          <w:rFonts w:ascii="Arial" w:cs="Arial" w:eastAsia="Arial" w:hAnsi="Arial"/>
          <w:sz w:val="21"/>
          <w:szCs w:val="21"/>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68" w:lineRule="exact"/>
        <w:rPr>
          <w:rFonts w:ascii="Arial" w:cs="Arial" w:eastAsia="Arial" w:hAnsi="Arial"/>
          <w:sz w:val="21"/>
          <w:szCs w:val="21"/>
          <w:color w:val="auto"/>
        </w:rPr>
      </w:pPr>
    </w:p>
    <w:p>
      <w:pPr>
        <w:jc w:val="both"/>
        <w:ind w:firstLine="656"/>
        <w:spacing w:after="0" w:line="312" w:lineRule="auto"/>
        <w:tabs>
          <w:tab w:leader="none" w:pos="129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Governing Law; Severability</w:t>
      </w:r>
      <w:r>
        <w:rPr>
          <w:rFonts w:ascii="Arial" w:cs="Arial" w:eastAsia="Arial" w:hAnsi="Arial"/>
          <w:sz w:val="19"/>
          <w:szCs w:val="19"/>
          <w:color w:val="auto"/>
        </w:rPr>
        <w:t>. This Award Agreement and the PSUs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33" w:lineRule="exact"/>
        <w:rPr>
          <w:rFonts w:ascii="Arial" w:cs="Arial" w:eastAsia="Arial" w:hAnsi="Arial"/>
          <w:sz w:val="19"/>
          <w:szCs w:val="19"/>
          <w:color w:val="auto"/>
        </w:rPr>
      </w:pPr>
    </w:p>
    <w:p>
      <w:pPr>
        <w:jc w:val="both"/>
        <w:ind w:firstLine="656"/>
        <w:spacing w:after="0" w:line="259" w:lineRule="auto"/>
        <w:tabs>
          <w:tab w:leader="none" w:pos="129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2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77" w:lineRule="exact"/>
        <w:rPr>
          <w:sz w:val="20"/>
          <w:szCs w:val="20"/>
          <w:color w:val="auto"/>
        </w:rPr>
      </w:pPr>
    </w:p>
    <w:p>
      <w:pPr>
        <w:ind w:left="4920"/>
        <w:spacing w:after="0"/>
        <w:tabs>
          <w:tab w:leader="none" w:pos="5560" w:val="left"/>
          <w:tab w:leader="none" w:pos="62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VESTING TERMS</w:t>
      </w:r>
    </w:p>
    <w:p>
      <w:pPr>
        <w:sectPr>
          <w:pgSz w:w="11900" w:h="16838" w:orient="portrait"/>
          <w:cols w:equalWidth="0" w:num="1">
            <w:col w:w="9019"/>
          </w:cols>
          <w:pgMar w:left="1440" w:top="1440"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BAKKT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OMNIBUS EMPLOYEE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UNIT GRANT</w:t>
      </w:r>
    </w:p>
    <w:p>
      <w:pPr>
        <w:spacing w:after="0" w:line="239" w:lineRule="exact"/>
        <w:rPr>
          <w:sz w:val="20"/>
          <w:szCs w:val="20"/>
          <w:color w:val="auto"/>
        </w:rPr>
      </w:pPr>
    </w:p>
    <w:p>
      <w:pPr>
        <w:jc w:val="both"/>
        <w:ind w:right="420" w:firstLine="648"/>
        <w:spacing w:after="0" w:line="307" w:lineRule="auto"/>
        <w:rPr>
          <w:sz w:val="20"/>
          <w:szCs w:val="20"/>
          <w:color w:val="auto"/>
        </w:rPr>
      </w:pPr>
      <w:r>
        <w:rPr>
          <w:rFonts w:ascii="Arial" w:cs="Arial" w:eastAsia="Arial" w:hAnsi="Arial"/>
          <w:sz w:val="19"/>
          <w:szCs w:val="19"/>
          <w:color w:val="auto"/>
        </w:rPr>
        <w:t>Unless otherwise defined herein, the terms defined in the Bakkt Holdings, Inc. 2021 Omnibus Employee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will have the same meanings in this Restricted Stock Unit Agreement which includes the Notice of Restricted Stock Unit Grant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xml:space="preserve">”), the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all other exhibits, appendices, and addenda attached hereto (the “</w:t>
      </w:r>
      <w:r>
        <w:rPr>
          <w:rFonts w:ascii="Arial" w:cs="Arial" w:eastAsia="Arial" w:hAnsi="Arial"/>
          <w:sz w:val="19"/>
          <w:szCs w:val="19"/>
          <w:u w:val="single" w:color="auto"/>
          <w:color w:val="auto"/>
        </w:rPr>
        <w:t>Award Agreement</w:t>
      </w:r>
      <w:r>
        <w:rPr>
          <w:rFonts w:ascii="Arial" w:cs="Arial" w:eastAsia="Arial" w:hAnsi="Arial"/>
          <w:sz w:val="19"/>
          <w:szCs w:val="19"/>
          <w:color w:val="auto"/>
        </w:rPr>
        <w:t>”).</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-635</wp:posOffset>
            </wp:positionV>
            <wp:extent cx="2057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20" w:right="420" w:firstLine="648"/>
        <w:spacing w:after="0" w:line="263" w:lineRule="auto"/>
        <w:rPr>
          <w:sz w:val="20"/>
          <w:szCs w:val="20"/>
          <w:color w:val="auto"/>
        </w:rPr>
      </w:pPr>
      <w:r>
        <w:rPr>
          <w:rFonts w:ascii="Arial" w:cs="Arial" w:eastAsia="Arial" w:hAnsi="Arial"/>
          <w:sz w:val="22"/>
          <w:szCs w:val="22"/>
          <w:color w:val="auto"/>
        </w:rPr>
        <w:t>The undersigned Grantee has been granted an Award of Restricted Stock Units, subject to the terms and conditions of the Plan and this Award Agreement, as follows: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-635</wp:posOffset>
            </wp:positionV>
            <wp:extent cx="2057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4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-635</wp:posOffset>
            </wp:positionV>
            <wp:extent cx="205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-635</wp:posOffset>
            </wp:positionV>
            <wp:extent cx="2057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4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-69215</wp:posOffset>
            </wp:positionV>
            <wp:extent cx="2057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33" w:lineRule="exact"/>
        <w:rPr>
          <w:sz w:val="20"/>
          <w:szCs w:val="20"/>
          <w:color w:val="auto"/>
        </w:rPr>
      </w:pPr>
    </w:p>
    <w:p>
      <w:pPr>
        <w:jc w:val="both"/>
        <w:ind w:right="420" w:firstLine="648"/>
        <w:spacing w:after="0" w:line="254" w:lineRule="auto"/>
        <w:rPr>
          <w:sz w:val="20"/>
          <w:szCs w:val="20"/>
          <w:color w:val="auto"/>
        </w:rPr>
      </w:pPr>
      <w:r>
        <w:rPr>
          <w:rFonts w:ascii="Arial" w:cs="Arial" w:eastAsia="Arial" w:hAnsi="Arial"/>
          <w:sz w:val="22"/>
          <w:szCs w:val="22"/>
          <w:color w:val="auto"/>
        </w:rPr>
        <w:t xml:space="preserve">Subject to the last sentence of this paragraph: one-half (1/2) of the Restricted Stock Units will vest on the one (1) year anniversary of the Date of Grant (the </w:t>
      </w:r>
      <w:r>
        <w:rPr>
          <w:rFonts w:ascii="Arial" w:cs="Arial" w:eastAsia="Arial" w:hAnsi="Arial"/>
          <w:sz w:val="22"/>
          <w:szCs w:val="22"/>
          <w:u w:val="single" w:color="auto"/>
          <w:color w:val="auto"/>
        </w:rPr>
        <w:t>“First Vesting Da</w:t>
      </w:r>
      <w:r>
        <w:rPr>
          <w:rFonts w:ascii="Arial" w:cs="Arial" w:eastAsia="Arial" w:hAnsi="Arial"/>
          <w:sz w:val="22"/>
          <w:szCs w:val="22"/>
          <w:color w:val="auto"/>
        </w:rPr>
        <w:t>te”); and the remaining one-half (1/2) of the Restricted Stock Units will vest on the first anniversary of the First Vesting Date. In all cases, vesting is subject to the Grantee continuing to be an Employee (a “Service Provider”) through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8915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jc w:val="both"/>
        <w:ind w:left="120" w:right="100" w:firstLine="648"/>
        <w:spacing w:after="0" w:line="293" w:lineRule="auto"/>
        <w:rPr>
          <w:sz w:val="20"/>
          <w:szCs w:val="20"/>
          <w:color w:val="auto"/>
        </w:rPr>
      </w:pPr>
      <w:r>
        <w:rPr>
          <w:rFonts w:ascii="Arial" w:cs="Arial" w:eastAsia="Arial" w:hAnsi="Arial"/>
          <w:sz w:val="19"/>
          <w:szCs w:val="19"/>
          <w:color w:val="auto"/>
        </w:rPr>
        <w:t xml:space="preserve">By Grantee’s signature and the signature of the representative of the Company below, Grantee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20" w:type="dxa"/>
            <w:vAlign w:val="bottom"/>
          </w:tcPr>
          <w:p>
            <w:pPr>
              <w:ind w:left="20"/>
              <w:spacing w:after="0"/>
              <w:rPr>
                <w:sz w:val="20"/>
                <w:szCs w:val="20"/>
                <w:color w:val="auto"/>
              </w:rPr>
            </w:pPr>
            <w:r>
              <w:rPr>
                <w:rFonts w:ascii="Arial" w:cs="Arial" w:eastAsia="Arial" w:hAnsi="Arial"/>
                <w:sz w:val="22"/>
                <w:szCs w:val="22"/>
                <w:color w:val="auto"/>
              </w:rPr>
              <w:t>GRANTEE</w:t>
            </w: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Arial" w:cs="Arial" w:eastAsia="Arial" w:hAnsi="Arial"/>
                <w:sz w:val="22"/>
                <w:szCs w:val="22"/>
                <w:color w:val="auto"/>
              </w:rPr>
              <w:t>BAKKT HOLDINGS, INC.</w:t>
            </w:r>
          </w:p>
        </w:tc>
      </w:tr>
      <w:tr>
        <w:trPr>
          <w:trHeight w:val="543"/>
        </w:trPr>
        <w:tc>
          <w:tcPr>
            <w:tcW w:w="4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Signature</w:t>
            </w:r>
          </w:p>
        </w:tc>
      </w:tr>
      <w:tr>
        <w:trPr>
          <w:trHeight w:val="539"/>
        </w:trPr>
        <w:tc>
          <w:tcPr>
            <w:tcW w:w="4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8"/>
                <w:szCs w:val="18"/>
                <w:color w:val="auto"/>
              </w:rPr>
              <w:t>Print Name</w:t>
            </w: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Print Name</w:t>
            </w:r>
          </w:p>
        </w:tc>
      </w:tr>
      <w:tr>
        <w:trPr>
          <w:trHeight w:val="526"/>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r>
        <w:trPr>
          <w:trHeight w:val="224"/>
        </w:trPr>
        <w:tc>
          <w:tcPr>
            <w:tcW w:w="4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Title</w:t>
            </w:r>
          </w:p>
        </w:tc>
      </w:tr>
      <w:tr>
        <w:trPr>
          <w:trHeight w:val="1116"/>
        </w:trPr>
        <w:tc>
          <w:tcPr>
            <w:tcW w:w="4820" w:type="dxa"/>
            <w:vAlign w:val="bottom"/>
          </w:tcPr>
          <w:p>
            <w:pPr>
              <w:ind w:left="20"/>
              <w:spacing w:after="0"/>
              <w:rPr>
                <w:sz w:val="20"/>
                <w:szCs w:val="20"/>
                <w:color w:val="auto"/>
              </w:rPr>
            </w:pPr>
            <w:r>
              <w:rPr>
                <w:rFonts w:ascii="Arial" w:cs="Arial" w:eastAsia="Arial" w:hAnsi="Arial"/>
                <w:sz w:val="22"/>
                <w:szCs w:val="22"/>
                <w:color w:val="auto"/>
              </w:rPr>
              <w:t>Grantee Residence Address:</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813"/>
        </w:trPr>
        <w:tc>
          <w:tcPr>
            <w:tcW w:w="4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520"/>
        </w:trPr>
        <w:tc>
          <w:tcPr>
            <w:tcW w:w="4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520"/>
        </w:trPr>
        <w:tc>
          <w:tcPr>
            <w:tcW w:w="4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520"/>
        </w:trPr>
        <w:tc>
          <w:tcPr>
            <w:tcW w:w="4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0920"/>
          </w:cols>
          <w:pgMar w:left="320" w:top="1428" w:right="659" w:bottom="1440" w:gutter="0" w:footer="0" w:header="0"/>
        </w:sectPr>
      </w:pPr>
    </w:p>
    <w:bookmarkStart w:id="62" w:name="page63"/>
    <w:bookmarkEnd w:id="62"/>
    <w:p>
      <w:pPr>
        <w:spacing w:after="0" w:line="293" w:lineRule="exact"/>
        <w:rPr>
          <w:sz w:val="20"/>
          <w:szCs w:val="20"/>
          <w:color w:val="auto"/>
        </w:rPr>
      </w:pPr>
    </w:p>
    <w:p>
      <w:pPr>
        <w:ind w:left="5304"/>
        <w:spacing w:after="0"/>
        <w:rPr>
          <w:sz w:val="20"/>
          <w:szCs w:val="20"/>
          <w:color w:val="auto"/>
        </w:rPr>
      </w:pPr>
      <w:r>
        <w:rPr>
          <w:rFonts w:ascii="Arial" w:cs="Arial" w:eastAsia="Arial" w:hAnsi="Arial"/>
          <w:sz w:val="22"/>
          <w:szCs w:val="22"/>
          <w:b w:val="1"/>
          <w:bCs w:val="1"/>
          <w:u w:val="single" w:color="auto"/>
          <w:color w:val="auto"/>
        </w:rPr>
        <w:t>EXHIBIT A</w:t>
      </w:r>
    </w:p>
    <w:p>
      <w:pPr>
        <w:spacing w:after="0" w:line="98" w:lineRule="exact"/>
        <w:rPr>
          <w:sz w:val="20"/>
          <w:szCs w:val="20"/>
          <w:color w:val="auto"/>
        </w:rPr>
      </w:pPr>
    </w:p>
    <w:p>
      <w:pPr>
        <w:ind w:left="4224"/>
        <w:spacing w:after="0"/>
        <w:rPr>
          <w:sz w:val="20"/>
          <w:szCs w:val="20"/>
          <w:color w:val="auto"/>
        </w:rPr>
      </w:pPr>
      <w:r>
        <w:rPr>
          <w:rFonts w:ascii="Arial" w:cs="Arial" w:eastAsia="Arial" w:hAnsi="Arial"/>
          <w:sz w:val="22"/>
          <w:szCs w:val="22"/>
          <w:b w:val="1"/>
          <w:bCs w:val="1"/>
          <w:color w:val="auto"/>
        </w:rPr>
        <w:t>BAKKT HOLDINGS, INC.</w:t>
      </w:r>
    </w:p>
    <w:p>
      <w:pPr>
        <w:spacing w:after="0" w:line="301" w:lineRule="exact"/>
        <w:rPr>
          <w:sz w:val="20"/>
          <w:szCs w:val="20"/>
          <w:color w:val="auto"/>
        </w:rPr>
      </w:pPr>
    </w:p>
    <w:p>
      <w:pPr>
        <w:ind w:left="2004"/>
        <w:spacing w:after="0"/>
        <w:rPr>
          <w:sz w:val="20"/>
          <w:szCs w:val="20"/>
          <w:color w:val="auto"/>
        </w:rPr>
      </w:pPr>
      <w:r>
        <w:rPr>
          <w:rFonts w:ascii="Arial" w:cs="Arial" w:eastAsia="Arial" w:hAnsi="Arial"/>
          <w:sz w:val="22"/>
          <w:szCs w:val="22"/>
          <w:b w:val="1"/>
          <w:bCs w:val="1"/>
          <w:color w:val="auto"/>
        </w:rPr>
        <w:t>2021 OMNIBUS EMPLOYEE INCENTIVE PLAN RESTRICTED STOCK</w:t>
      </w:r>
    </w:p>
    <w:p>
      <w:pPr>
        <w:spacing w:after="0" w:line="220" w:lineRule="exact"/>
        <w:rPr>
          <w:sz w:val="20"/>
          <w:szCs w:val="20"/>
          <w:color w:val="auto"/>
        </w:rPr>
      </w:pPr>
    </w:p>
    <w:p>
      <w:pPr>
        <w:ind w:left="4504"/>
        <w:spacing w:after="0"/>
        <w:rPr>
          <w:sz w:val="20"/>
          <w:szCs w:val="20"/>
          <w:color w:val="auto"/>
        </w:rPr>
      </w:pPr>
      <w:r>
        <w:rPr>
          <w:rFonts w:ascii="Arial" w:cs="Arial" w:eastAsia="Arial" w:hAnsi="Arial"/>
          <w:sz w:val="22"/>
          <w:szCs w:val="22"/>
          <w:b w:val="1"/>
          <w:bCs w:val="1"/>
          <w:color w:val="auto"/>
        </w:rPr>
        <w:t>UNIT AGREEMENT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TERMS AND CONDITIONS OF RESTRICTED STOCK UNIT GRANT</w:t>
      </w:r>
    </w:p>
    <w:p>
      <w:pPr>
        <w:spacing w:after="0" w:line="230" w:lineRule="exact"/>
        <w:rPr>
          <w:sz w:val="20"/>
          <w:szCs w:val="20"/>
          <w:color w:val="auto"/>
        </w:rPr>
      </w:pPr>
    </w:p>
    <w:p>
      <w:pPr>
        <w:jc w:val="both"/>
        <w:ind w:left="4" w:firstLine="644"/>
        <w:spacing w:after="0" w:line="255" w:lineRule="auto"/>
        <w:tabs>
          <w:tab w:leader="none" w:pos="1192"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Company hereby grants to the individual (“</w:t>
      </w:r>
      <w:r>
        <w:rPr>
          <w:rFonts w:ascii="Arial" w:cs="Arial" w:eastAsia="Arial" w:hAnsi="Arial"/>
          <w:sz w:val="20"/>
          <w:szCs w:val="20"/>
          <w:u w:val="single" w:color="auto"/>
          <w:color w:val="auto"/>
        </w:rPr>
        <w:t>Grantee</w:t>
      </w:r>
      <w:r>
        <w:rPr>
          <w:rFonts w:ascii="Arial" w:cs="Arial" w:eastAsia="Arial" w:hAnsi="Arial"/>
          <w:sz w:val="20"/>
          <w:szCs w:val="20"/>
          <w:color w:val="auto"/>
        </w:rPr>
        <w:t>”) named in the Notice of Restricted Stock Unit Grant of this Award Agreement (the “</w:t>
      </w:r>
      <w:r>
        <w:rPr>
          <w:rFonts w:ascii="Arial" w:cs="Arial" w:eastAsia="Arial" w:hAnsi="Arial"/>
          <w:sz w:val="20"/>
          <w:szCs w:val="20"/>
          <w:u w:val="single" w:color="auto"/>
          <w:color w:val="auto"/>
        </w:rPr>
        <w:t>Notice of Grant</w:t>
      </w:r>
      <w:r>
        <w:rPr>
          <w:rFonts w:ascii="Arial" w:cs="Arial" w:eastAsia="Arial" w:hAnsi="Arial"/>
          <w:sz w:val="20"/>
          <w:szCs w:val="20"/>
          <w:color w:val="auto"/>
        </w:rPr>
        <w:t>”) under the Plan an Award of Restricted Stock Units, and subject to the terms and conditions of this Award Agreement and the Plan, which is incorporated herein by reference. Subject to Section 3.1 of the Plan, in the event of a conflict between the terms and conditions of the Plan and this Award Agreement, the terms and conditions of the Plan shall prevail.</w:t>
      </w:r>
    </w:p>
    <w:p>
      <w:pPr>
        <w:spacing w:after="0" w:line="222" w:lineRule="exact"/>
        <w:rPr>
          <w:rFonts w:ascii="Arial" w:cs="Arial" w:eastAsia="Arial" w:hAnsi="Arial"/>
          <w:sz w:val="20"/>
          <w:szCs w:val="20"/>
          <w:color w:val="auto"/>
        </w:rPr>
      </w:pPr>
    </w:p>
    <w:p>
      <w:pPr>
        <w:jc w:val="both"/>
        <w:ind w:left="4" w:firstLine="644"/>
        <w:spacing w:after="0" w:line="251" w:lineRule="auto"/>
        <w:tabs>
          <w:tab w:leader="none" w:pos="1192"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Company’s Obligation to Pay</w:t>
      </w:r>
      <w:r>
        <w:rPr>
          <w:rFonts w:ascii="Arial" w:cs="Arial" w:eastAsia="Arial" w:hAnsi="Arial"/>
          <w:sz w:val="20"/>
          <w:szCs w:val="20"/>
          <w:color w:val="auto"/>
        </w:rPr>
        <w:t>. Each Restricted Stock Unit represents the right to receive a share of Company Class A Common Stock (a “</w:t>
      </w:r>
      <w:r>
        <w:rPr>
          <w:rFonts w:ascii="Arial" w:cs="Arial" w:eastAsia="Arial" w:hAnsi="Arial"/>
          <w:sz w:val="20"/>
          <w:szCs w:val="20"/>
          <w:u w:val="single" w:color="auto"/>
          <w:color w:val="auto"/>
        </w:rPr>
        <w:t>Share</w:t>
      </w:r>
      <w:r>
        <w:rPr>
          <w:rFonts w:ascii="Arial" w:cs="Arial" w:eastAsia="Arial" w:hAnsi="Arial"/>
          <w:sz w:val="20"/>
          <w:szCs w:val="20"/>
          <w:color w:val="auto"/>
        </w:rPr>
        <w:t>”) on the date it vests. Unless and until a Restricted Stock Unit has vested in the manner set forth in Section 3 or 4, Grantee will have no right to payment of any such Restricted Stock Unit. Prior to actual payment of any vested Restricted Stock Units, such Restricted Stock Unit will represent an unsecured obligation of the Company, payable (if at all) only from the general assets of the Company.</w:t>
      </w:r>
    </w:p>
    <w:p>
      <w:pPr>
        <w:spacing w:after="0" w:line="241" w:lineRule="exact"/>
        <w:rPr>
          <w:rFonts w:ascii="Arial" w:cs="Arial" w:eastAsia="Arial" w:hAnsi="Arial"/>
          <w:sz w:val="20"/>
          <w:szCs w:val="20"/>
          <w:color w:val="auto"/>
        </w:rPr>
      </w:pPr>
    </w:p>
    <w:p>
      <w:pPr>
        <w:jc w:val="both"/>
        <w:ind w:left="4" w:firstLine="644"/>
        <w:spacing w:after="0" w:line="285" w:lineRule="auto"/>
        <w:tabs>
          <w:tab w:leader="none" w:pos="119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Restricted Stock Units scheduled to vest on a certain date or upon the occurrence of a certain condition will not vest in accordance with any of the provisions of this Award Agreement, unless Grantee will have been continuously a Service Provider from the Date of Grant until the date such vesting occurs.</w:t>
      </w:r>
    </w:p>
    <w:p>
      <w:pPr>
        <w:spacing w:after="0" w:line="199" w:lineRule="exact"/>
        <w:rPr>
          <w:rFonts w:ascii="Arial" w:cs="Arial" w:eastAsia="Arial" w:hAnsi="Arial"/>
          <w:sz w:val="18"/>
          <w:szCs w:val="18"/>
          <w:color w:val="auto"/>
        </w:rPr>
      </w:pPr>
    </w:p>
    <w:p>
      <w:pPr>
        <w:ind w:left="1304" w:hanging="656"/>
        <w:spacing w:after="0"/>
        <w:tabs>
          <w:tab w:leader="none" w:pos="1304"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Payment after Vesting</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4" w:firstLine="1292"/>
        <w:spacing w:after="0" w:line="279" w:lineRule="auto"/>
        <w:tabs>
          <w:tab w:leader="none" w:pos="1840"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Subject to Section 7, any Restricted Stock Units that vest will be paid to Grantee (or in the event of Grantee’s death, to his or her properly designated beneficiary or estate) in whole Shares. Subject to the provisions of Section 4(c), such vested Restricted Stock Units shall be paid in whole Shares as soon as practicable after vesting, but in each such case within sixty</w:t>
      </w:r>
    </w:p>
    <w:p>
      <w:pPr>
        <w:ind w:left="4" w:hanging="4"/>
        <w:spacing w:after="0" w:line="253" w:lineRule="auto"/>
        <w:tabs>
          <w:tab w:leader="none" w:pos="385" w:val="left"/>
        </w:tabs>
        <w:numPr>
          <w:ilvl w:val="0"/>
          <w:numId w:val="44"/>
        </w:numPr>
        <w:rPr>
          <w:rFonts w:ascii="Arial" w:cs="Arial" w:eastAsia="Arial" w:hAnsi="Arial"/>
          <w:sz w:val="20"/>
          <w:szCs w:val="20"/>
          <w:color w:val="auto"/>
        </w:rPr>
      </w:pPr>
      <w:r>
        <w:rPr>
          <w:rFonts w:ascii="Arial" w:cs="Arial" w:eastAsia="Arial" w:hAnsi="Arial"/>
          <w:sz w:val="20"/>
          <w:szCs w:val="20"/>
          <w:color w:val="auto"/>
        </w:rPr>
        <w:t>days following the vesting date. In no event will Grantee be permitted, directly or indirectly, to specify the taxable year of payment of any Restricted Stock Units payable under this Award Agreement.</w:t>
      </w:r>
    </w:p>
    <w:p>
      <w:pPr>
        <w:spacing w:after="0" w:line="304" w:lineRule="exact"/>
        <w:rPr>
          <w:rFonts w:ascii="Arial" w:cs="Arial" w:eastAsia="Arial" w:hAnsi="Arial"/>
          <w:sz w:val="20"/>
          <w:szCs w:val="20"/>
          <w:color w:val="auto"/>
        </w:rPr>
      </w:pPr>
    </w:p>
    <w:p>
      <w:pPr>
        <w:jc w:val="both"/>
        <w:ind w:left="4" w:firstLine="1291"/>
        <w:spacing w:after="0" w:line="277" w:lineRule="auto"/>
        <w:tabs>
          <w:tab w:leader="none" w:pos="1841" w:val="left"/>
        </w:tabs>
        <w:numPr>
          <w:ilvl w:val="2"/>
          <w:numId w:val="44"/>
        </w:numPr>
        <w:rPr>
          <w:rFonts w:ascii="Arial" w:cs="Arial" w:eastAsia="Arial" w:hAnsi="Arial"/>
          <w:sz w:val="19"/>
          <w:szCs w:val="19"/>
          <w:color w:val="auto"/>
        </w:rPr>
      </w:pPr>
      <w:r>
        <w:rPr>
          <w:rFonts w:ascii="Arial" w:cs="Arial" w:eastAsia="Arial" w:hAnsi="Arial"/>
          <w:sz w:val="19"/>
          <w:szCs w:val="19"/>
          <w:u w:val="single" w:color="auto"/>
          <w:color w:val="auto"/>
        </w:rPr>
        <w:t>Discretionary Acceleration</w:t>
      </w:r>
      <w:r>
        <w:rPr>
          <w:rFonts w:ascii="Arial" w:cs="Arial" w:eastAsia="Arial" w:hAnsi="Arial"/>
          <w:sz w:val="19"/>
          <w:szCs w:val="19"/>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ectPr>
          <w:pgSz w:w="11900" w:h="16838" w:orient="portrait"/>
          <w:cols w:equalWidth="0" w:num="1">
            <w:col w:w="11024"/>
          </w:cols>
          <w:pgMar w:left="436" w:top="1440" w:right="439" w:bottom="1440" w:gutter="0" w:footer="0" w:header="0"/>
        </w:sectPr>
      </w:pPr>
    </w:p>
    <w:bookmarkStart w:id="63" w:name="page64"/>
    <w:bookmarkEnd w:id="63"/>
    <w:p>
      <w:pPr>
        <w:ind w:left="1940" w:hanging="648"/>
        <w:spacing w:after="0"/>
        <w:tabs>
          <w:tab w:leader="none" w:pos="1940"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258" w:lineRule="exact"/>
        <w:rPr>
          <w:rFonts w:ascii="Arial" w:cs="Arial" w:eastAsia="Arial" w:hAnsi="Arial"/>
          <w:sz w:val="21"/>
          <w:szCs w:val="21"/>
          <w:color w:val="auto"/>
        </w:rPr>
      </w:pPr>
    </w:p>
    <w:p>
      <w:pPr>
        <w:jc w:val="both"/>
        <w:ind w:firstLine="1940"/>
        <w:spacing w:after="0" w:line="253" w:lineRule="auto"/>
        <w:tabs>
          <w:tab w:leader="none" w:pos="2484" w:val="left"/>
        </w:tabs>
        <w:numPr>
          <w:ilvl w:val="2"/>
          <w:numId w:val="45"/>
        </w:numPr>
        <w:rPr>
          <w:rFonts w:ascii="Arial" w:cs="Arial" w:eastAsia="Arial" w:hAnsi="Arial"/>
          <w:sz w:val="21"/>
          <w:szCs w:val="21"/>
          <w:color w:val="auto"/>
        </w:rPr>
      </w:pPr>
      <w:r>
        <w:rPr>
          <w:rFonts w:ascii="Arial" w:cs="Arial" w:eastAsia="Arial" w:hAnsi="Arial"/>
          <w:sz w:val="21"/>
          <w:szCs w:val="21"/>
          <w:color w:val="auto"/>
        </w:rPr>
        <w:t>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223" w:lineRule="exact"/>
        <w:rPr>
          <w:rFonts w:ascii="Arial" w:cs="Arial" w:eastAsia="Arial" w:hAnsi="Arial"/>
          <w:sz w:val="21"/>
          <w:szCs w:val="21"/>
          <w:color w:val="auto"/>
        </w:rPr>
      </w:pPr>
    </w:p>
    <w:p>
      <w:pPr>
        <w:jc w:val="both"/>
        <w:ind w:firstLine="1940"/>
        <w:spacing w:after="0" w:line="262" w:lineRule="auto"/>
        <w:tabs>
          <w:tab w:leader="none" w:pos="2484" w:val="left"/>
        </w:tabs>
        <w:numPr>
          <w:ilvl w:val="2"/>
          <w:numId w:val="45"/>
        </w:numPr>
        <w:rPr>
          <w:rFonts w:ascii="Arial" w:cs="Arial" w:eastAsia="Arial" w:hAnsi="Arial"/>
          <w:sz w:val="20"/>
          <w:szCs w:val="20"/>
          <w:color w:val="auto"/>
        </w:rPr>
      </w:pPr>
      <w:r>
        <w:rPr>
          <w:rFonts w:ascii="Arial" w:cs="Arial" w:eastAsia="Arial" w:hAnsi="Arial"/>
          <w:sz w:val="20"/>
          <w:szCs w:val="20"/>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Grantee’s status as a Service Provider (provided that such termination is a “separation from service” within the meaning of Section 409A, as determined by the Administrator), other than due to Grantee’s death, and if (x) Grantee is a U.S. taxpayer and a “specified employee” within the meaning of Section 409A at the time of such termination as a Service Provider and (y) the payment of such accelerated Restricted Stock Units will result in the imposition of additional tax under Section 409A if paid to Grantee on or within the six (6) month period following the cessation of Grantee’s status as a Service Provider, then the payment of such accelerated Restricted Stock Units will not be made until the date six (6) months and one (1) day following the date of cessation of Grantee’s status as a Service Provider, unless Grantee dies following his or her termination as a Service Provider, in which case, the Restricted Stock Units will be paid in Shares to Grantee’s estate as soon as practicable following his or her death.</w:t>
      </w:r>
    </w:p>
    <w:p>
      <w:pPr>
        <w:spacing w:after="0" w:line="221" w:lineRule="exact"/>
        <w:rPr>
          <w:rFonts w:ascii="Arial" w:cs="Arial" w:eastAsia="Arial" w:hAnsi="Arial"/>
          <w:sz w:val="20"/>
          <w:szCs w:val="20"/>
          <w:color w:val="auto"/>
        </w:rPr>
      </w:pPr>
    </w:p>
    <w:p>
      <w:pPr>
        <w:jc w:val="both"/>
        <w:ind w:firstLine="1940"/>
        <w:spacing w:after="0" w:line="279" w:lineRule="auto"/>
        <w:tabs>
          <w:tab w:leader="none" w:pos="2485" w:val="left"/>
        </w:tabs>
        <w:numPr>
          <w:ilvl w:val="2"/>
          <w:numId w:val="45"/>
        </w:numPr>
        <w:rPr>
          <w:rFonts w:ascii="Arial" w:cs="Arial" w:eastAsia="Arial" w:hAnsi="Arial"/>
          <w:sz w:val="19"/>
          <w:szCs w:val="19"/>
          <w:color w:val="auto"/>
        </w:rPr>
      </w:pPr>
      <w:r>
        <w:rPr>
          <w:rFonts w:ascii="Arial" w:cs="Arial" w:eastAsia="Arial" w:hAnsi="Arial"/>
          <w:sz w:val="19"/>
          <w:szCs w:val="19"/>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status as a Service Provider,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200" w:lineRule="exact"/>
        <w:rPr>
          <w:rFonts w:ascii="Arial" w:cs="Arial" w:eastAsia="Arial" w:hAnsi="Arial"/>
          <w:sz w:val="19"/>
          <w:szCs w:val="19"/>
          <w:color w:val="auto"/>
        </w:rPr>
      </w:pPr>
    </w:p>
    <w:p>
      <w:pPr>
        <w:jc w:val="both"/>
        <w:ind w:firstLine="644"/>
        <w:spacing w:after="0" w:line="253" w:lineRule="auto"/>
        <w:tabs>
          <w:tab w:leader="none" w:pos="1188"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Forfeiture Upon Termination as a Service Provider</w:t>
      </w:r>
      <w:r>
        <w:rPr>
          <w:rFonts w:ascii="Arial" w:cs="Arial" w:eastAsia="Arial" w:hAnsi="Arial"/>
          <w:sz w:val="21"/>
          <w:szCs w:val="21"/>
          <w:color w:val="auto"/>
        </w:rPr>
        <w:t>. Unless specifically provided otherwise in this Award Agreement or other written agreement authorized by the Committee between Grantee and the Company or any of its Subsidiaries, as applicable, governing the terms of this Award, if Grantee ceases to be a Service Provider for any or no reason, the then-unvested Restricted Stock Units awarded by this Award Agreement will thereupon be forfeited at no cost to the Company and Grantee will have no further rights thereunder.</w:t>
      </w:r>
    </w:p>
    <w:p>
      <w:pPr>
        <w:spacing w:after="0" w:line="225" w:lineRule="exact"/>
        <w:rPr>
          <w:rFonts w:ascii="Arial" w:cs="Arial" w:eastAsia="Arial" w:hAnsi="Arial"/>
          <w:sz w:val="21"/>
          <w:szCs w:val="21"/>
          <w:color w:val="auto"/>
        </w:rPr>
      </w:pPr>
    </w:p>
    <w:p>
      <w:pPr>
        <w:jc w:val="both"/>
        <w:ind w:firstLine="644"/>
        <w:spacing w:after="0" w:line="252" w:lineRule="auto"/>
        <w:tabs>
          <w:tab w:leader="none" w:pos="1188"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Death of Grantee</w:t>
      </w:r>
      <w:r>
        <w:rPr>
          <w:rFonts w:ascii="Arial" w:cs="Arial" w:eastAsia="Arial" w:hAnsi="Arial"/>
          <w:sz w:val="21"/>
          <w:szCs w:val="21"/>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20"/>
          </w:cols>
          <w:pgMar w:left="440" w:top="1422" w:right="439" w:bottom="1440" w:gutter="0" w:footer="0" w:header="0"/>
        </w:sectPr>
      </w:pPr>
    </w:p>
    <w:bookmarkStart w:id="64" w:name="page65"/>
    <w:bookmarkEnd w:id="64"/>
    <w:p>
      <w:pPr>
        <w:ind w:left="4"/>
        <w:spacing w:after="0" w:line="303" w:lineRule="auto"/>
        <w:rPr>
          <w:sz w:val="20"/>
          <w:szCs w:val="20"/>
          <w:color w:val="auto"/>
        </w:rPr>
      </w:pPr>
      <w:r>
        <w:rPr>
          <w:rFonts w:ascii="Arial" w:cs="Arial" w:eastAsia="Arial" w:hAnsi="Arial"/>
          <w:sz w:val="20"/>
          <w:szCs w:val="20"/>
          <w:color w:val="auto"/>
        </w:rPr>
        <w:t>must furnish the Company with (a) written notice of his or her status as transferee, and (b) evidence satisfactory to the Company to establish the validity of the transfer and compliance with any laws or regulations pertaining to said transfer.</w:t>
      </w:r>
    </w:p>
    <w:p>
      <w:pPr>
        <w:spacing w:after="0" w:line="175" w:lineRule="exact"/>
        <w:rPr>
          <w:sz w:val="20"/>
          <w:szCs w:val="20"/>
          <w:color w:val="auto"/>
        </w:rPr>
      </w:pPr>
    </w:p>
    <w:p>
      <w:pPr>
        <w:ind w:left="1304" w:hanging="656"/>
        <w:spacing w:after="0"/>
        <w:tabs>
          <w:tab w:leader="none" w:pos="1304"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Tax Obligations</w:t>
      </w:r>
      <w:r>
        <w:rPr>
          <w:rFonts w:ascii="Arial" w:cs="Arial" w:eastAsia="Arial" w:hAnsi="Arial"/>
          <w:sz w:val="21"/>
          <w:szCs w:val="21"/>
          <w:color w:val="auto"/>
        </w:rPr>
        <w:t>.</w:t>
      </w:r>
    </w:p>
    <w:p>
      <w:pPr>
        <w:spacing w:after="0" w:line="258" w:lineRule="exact"/>
        <w:rPr>
          <w:rFonts w:ascii="Arial" w:cs="Arial" w:eastAsia="Arial" w:hAnsi="Arial"/>
          <w:sz w:val="21"/>
          <w:szCs w:val="21"/>
          <w:color w:val="auto"/>
        </w:rPr>
      </w:pPr>
    </w:p>
    <w:p>
      <w:pPr>
        <w:jc w:val="both"/>
        <w:ind w:left="4" w:firstLine="1291"/>
        <w:spacing w:after="0" w:line="275" w:lineRule="auto"/>
        <w:tabs>
          <w:tab w:leader="none" w:pos="1841" w:val="left"/>
        </w:tabs>
        <w:numPr>
          <w:ilvl w:val="2"/>
          <w:numId w:val="47"/>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Grantee acknowledges that, regardless of any action taken by the Company or, if different, Grantee’s employer or any parent or Subsidiary of the Company to which Grantee is providing services (together, the “</w:t>
      </w:r>
      <w:r>
        <w:rPr>
          <w:rFonts w:ascii="Arial" w:cs="Arial" w:eastAsia="Arial" w:hAnsi="Arial"/>
          <w:sz w:val="19"/>
          <w:szCs w:val="19"/>
          <w:u w:val="single" w:color="auto"/>
          <w:color w:val="auto"/>
        </w:rPr>
        <w:t>Service Recipients</w:t>
      </w:r>
      <w:r>
        <w:rPr>
          <w:rFonts w:ascii="Arial" w:cs="Arial" w:eastAsia="Arial" w:hAnsi="Arial"/>
          <w:sz w:val="19"/>
          <w:szCs w:val="19"/>
          <w:color w:val="auto"/>
        </w:rPr>
        <w:t>”), the ultimate liability for any tax and/or social insurance liability obligations and requirements in connection with the Restricted Stock Units, including, without limitation, (i) all federal, state, and local taxes (including Grantee’s Federal Insurance Contributions Act (FICA) obligations) that are required to be withheld by any Service Recipient or other payment of tax-related items related to Grantee’s participation in the Plan and legally applicable to Grantee, (ii) Grantee’s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Grantee has, or has agreed to bear, with respect to the Restricted Stock Units (or settlement thereof or issuance of Shares thereunder) (collectively, the “</w:t>
      </w:r>
      <w:r>
        <w:rPr>
          <w:rFonts w:ascii="Arial" w:cs="Arial" w:eastAsia="Arial" w:hAnsi="Arial"/>
          <w:sz w:val="19"/>
          <w:szCs w:val="19"/>
          <w:u w:val="single" w:color="auto"/>
          <w:color w:val="auto"/>
        </w:rPr>
        <w:t>Tax Obligations</w:t>
      </w:r>
      <w:r>
        <w:rPr>
          <w:rFonts w:ascii="Arial" w:cs="Arial" w:eastAsia="Arial" w:hAnsi="Arial"/>
          <w:sz w:val="19"/>
          <w:szCs w:val="19"/>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211" w:lineRule="exact"/>
        <w:rPr>
          <w:rFonts w:ascii="Arial" w:cs="Arial" w:eastAsia="Arial" w:hAnsi="Arial"/>
          <w:sz w:val="19"/>
          <w:szCs w:val="19"/>
          <w:color w:val="auto"/>
        </w:rPr>
      </w:pPr>
    </w:p>
    <w:p>
      <w:pPr>
        <w:jc w:val="both"/>
        <w:ind w:left="4" w:firstLine="1292"/>
        <w:spacing w:after="0" w:line="290" w:lineRule="auto"/>
        <w:tabs>
          <w:tab w:leader="none" w:pos="1840" w:val="left"/>
        </w:tabs>
        <w:numPr>
          <w:ilvl w:val="2"/>
          <w:numId w:val="4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Pursuant to such procedures as the Committee may specify from time to time, the applicable Service Recipient(s) will withhold the amount required to be withheld for the payment of Tax Obligations (the “</w:t>
      </w: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The Committee, in its sole discretion and pursuant to such procedures as it may specify from time to time, may permit Grantee to satisfy such Withholding Obligations, in whole or in part (without limitation), if permissible by applicable local law, by:</w:t>
      </w:r>
    </w:p>
    <w:p>
      <w:pPr>
        <w:spacing w:after="0" w:line="3" w:lineRule="exact"/>
        <w:rPr>
          <w:rFonts w:ascii="Arial" w:cs="Arial" w:eastAsia="Arial" w:hAnsi="Arial"/>
          <w:sz w:val="18"/>
          <w:szCs w:val="18"/>
          <w:color w:val="auto"/>
        </w:rPr>
      </w:pPr>
    </w:p>
    <w:p>
      <w:pPr>
        <w:jc w:val="both"/>
        <w:ind w:left="4" w:hanging="4"/>
        <w:spacing w:after="0" w:line="261" w:lineRule="auto"/>
        <w:tabs>
          <w:tab w:leader="none" w:pos="264" w:val="left"/>
        </w:tabs>
        <w:numPr>
          <w:ilvl w:val="0"/>
          <w:numId w:val="48"/>
        </w:numPr>
        <w:rPr>
          <w:rFonts w:ascii="Arial" w:cs="Arial" w:eastAsia="Arial" w:hAnsi="Arial"/>
          <w:sz w:val="20"/>
          <w:szCs w:val="20"/>
          <w:color w:val="auto"/>
        </w:rPr>
      </w:pPr>
      <w:r>
        <w:rPr>
          <w:rFonts w:ascii="Arial" w:cs="Arial" w:eastAsia="Arial" w:hAnsi="Arial"/>
          <w:sz w:val="20"/>
          <w:szCs w:val="20"/>
          <w:color w:val="auto"/>
        </w:rPr>
        <w:t>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Arial" w:cs="Arial" w:eastAsia="Arial" w:hAnsi="Arial"/>
          <w:sz w:val="20"/>
          <w:szCs w:val="20"/>
          <w:u w:val="single" w:color="auto"/>
          <w:color w:val="auto"/>
        </w:rPr>
        <w:t>Net Share Withholding</w:t>
      </w:r>
      <w:r>
        <w:rPr>
          <w:rFonts w:ascii="Arial" w:cs="Arial" w:eastAsia="Arial" w:hAnsi="Arial"/>
          <w:sz w:val="20"/>
          <w:szCs w:val="20"/>
          <w:color w:val="auto"/>
        </w:rPr>
        <w:t>”), (iii) withholding the amount of such Withholding Obligations from Grantee’s wages or other cash compensation paid to Grantee by the applicable Service Recipient(s), (iv) 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24"/>
          </w:cols>
          <w:pgMar w:left="436" w:top="1422" w:right="439" w:bottom="1440" w:gutter="0" w:footer="0" w:header="0"/>
        </w:sectPr>
      </w:pPr>
    </w:p>
    <w:bookmarkStart w:id="65" w:name="page66"/>
    <w:bookmarkEnd w:id="65"/>
    <w:p>
      <w:pPr>
        <w:jc w:val="both"/>
        <w:spacing w:after="0" w:line="262" w:lineRule="auto"/>
        <w:rPr>
          <w:sz w:val="20"/>
          <w:szCs w:val="20"/>
          <w:color w:val="auto"/>
        </w:rPr>
      </w:pPr>
      <w:r>
        <w:rPr>
          <w:rFonts w:ascii="Arial" w:cs="Arial" w:eastAsia="Arial" w:hAnsi="Arial"/>
          <w:sz w:val="20"/>
          <w:szCs w:val="20"/>
          <w:color w:val="auto"/>
        </w:rPr>
        <w:t>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Arial" w:cs="Arial" w:eastAsia="Arial" w:hAnsi="Arial"/>
          <w:sz w:val="20"/>
          <w:szCs w:val="20"/>
          <w:u w:val="single" w:color="auto"/>
          <w:color w:val="auto"/>
        </w:rPr>
        <w:t>Sell to Cover</w:t>
      </w:r>
      <w:r>
        <w:rPr>
          <w:rFonts w:ascii="Arial" w:cs="Arial" w:eastAsia="Arial" w:hAnsi="Arial"/>
          <w:sz w:val="20"/>
          <w:szCs w:val="20"/>
          <w:color w:val="auto"/>
        </w:rPr>
        <w:t>”), or (vi) such other means as the Committee deems appropriate. If the Withholding Obligations are satisfied by withholding in Shares, for tax purposes, Grantee is deemed to have been issued the full number of Shares subject to the vested Restricted Stock Units,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w:t>
      </w:r>
    </w:p>
    <w:p>
      <w:pPr>
        <w:spacing w:after="0" w:line="217" w:lineRule="exact"/>
        <w:rPr>
          <w:sz w:val="20"/>
          <w:szCs w:val="20"/>
          <w:color w:val="auto"/>
        </w:rPr>
      </w:pPr>
    </w:p>
    <w:p>
      <w:pPr>
        <w:ind w:left="1940" w:hanging="648"/>
        <w:spacing w:after="0"/>
        <w:tabs>
          <w:tab w:leader="none" w:pos="194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Tax Consequences</w:t>
      </w:r>
      <w:r>
        <w:rPr>
          <w:rFonts w:ascii="Arial" w:cs="Arial" w:eastAsia="Arial" w:hAnsi="Arial"/>
          <w:sz w:val="21"/>
          <w:szCs w:val="21"/>
          <w:color w:val="auto"/>
        </w:rPr>
        <w:t>. Grantee has reviewed with his or her own tax advisers the</w:t>
      </w:r>
    </w:p>
    <w:p>
      <w:pPr>
        <w:spacing w:after="0" w:line="2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263" w:lineRule="exact"/>
        <w:rPr>
          <w:sz w:val="20"/>
          <w:szCs w:val="20"/>
          <w:color w:val="auto"/>
        </w:rPr>
      </w:pPr>
    </w:p>
    <w:p>
      <w:pPr>
        <w:jc w:val="both"/>
        <w:ind w:firstLine="1291"/>
        <w:spacing w:after="0" w:line="280" w:lineRule="auto"/>
        <w:tabs>
          <w:tab w:leader="none" w:pos="1837"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Company’s Obligation to Deliver Shares</w:t>
      </w:r>
      <w:r>
        <w:rPr>
          <w:rFonts w:ascii="Arial" w:cs="Arial" w:eastAsia="Arial" w:hAnsi="Arial"/>
          <w:sz w:val="19"/>
          <w:szCs w:val="19"/>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Restricted Stock Units otherwise are scheduled to vest pursuant to Sections 3 or 4 or Grantee’s Withholding Obligations otherwise become due, Grantee permanently will forfeit such Restricted Stock Units to which Grantee’s Withholding Obligation relates and any right to receive Shares thereunder and such Restricted Stock Units will be returned to the Company at no cost to the Company. Grantee acknowledges and agrees that the Company may permanently refuse to issue or deliver the Shares if such Withholding Obligations are not delivered at the time they are due.</w:t>
      </w:r>
    </w:p>
    <w:p>
      <w:pPr>
        <w:spacing w:after="0" w:line="201" w:lineRule="exact"/>
        <w:rPr>
          <w:rFonts w:ascii="Arial" w:cs="Arial" w:eastAsia="Arial" w:hAnsi="Arial"/>
          <w:sz w:val="19"/>
          <w:szCs w:val="19"/>
          <w:color w:val="auto"/>
        </w:rPr>
      </w:pPr>
    </w:p>
    <w:p>
      <w:pPr>
        <w:jc w:val="both"/>
        <w:ind w:firstLine="644"/>
        <w:spacing w:after="0" w:line="266" w:lineRule="auto"/>
        <w:tabs>
          <w:tab w:leader="none" w:pos="118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0"/>
          </w:cols>
          <w:pgMar w:left="440" w:top="1422" w:right="439" w:bottom="1440" w:gutter="0" w:footer="0" w:header="0"/>
        </w:sectPr>
      </w:pPr>
    </w:p>
    <w:bookmarkStart w:id="66" w:name="page67"/>
    <w:bookmarkEnd w:id="66"/>
    <w:p>
      <w:pPr>
        <w:jc w:val="both"/>
        <w:ind w:firstLine="644"/>
        <w:spacing w:after="0" w:line="278" w:lineRule="auto"/>
        <w:tabs>
          <w:tab w:leader="none" w:pos="118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No Guarantee of Continued Service</w:t>
      </w:r>
      <w:r>
        <w:rPr>
          <w:rFonts w:ascii="Arial" w:cs="Arial" w:eastAsia="Arial" w:hAnsi="Arial"/>
          <w:sz w:val="19"/>
          <w:szCs w:val="19"/>
          <w:color w:val="auto"/>
        </w:rPr>
        <w:t>. Grantee acknowledges and agrees that the vesting of the Restricted Stock Units pursuant to the vesting schedule hereof is earned only by continuing as a Service Provider through the applicable vesting dates, which unless provided otherwise under applicable law, is at the will of the applicable Service Recipient and not through the act of being hired, being granted this Restricted Stock Unit award, or acquiring Shares hereunder. Grantee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Grantee’s right or the right of any Service Recipient to terminate Grantee’s relationship as a service provider, subject to applicable law, which termination, unless provided otherwise under applicable law or written agreement between Grantee and the Service Recipient, may be at any time, with or without cause.</w:t>
      </w:r>
    </w:p>
    <w:p>
      <w:pPr>
        <w:spacing w:after="0" w:line="206" w:lineRule="exact"/>
        <w:rPr>
          <w:rFonts w:ascii="Arial" w:cs="Arial" w:eastAsia="Arial" w:hAnsi="Arial"/>
          <w:sz w:val="19"/>
          <w:szCs w:val="19"/>
          <w:color w:val="auto"/>
        </w:rPr>
      </w:pPr>
    </w:p>
    <w:p>
      <w:pPr>
        <w:jc w:val="both"/>
        <w:ind w:firstLine="644"/>
        <w:spacing w:after="0" w:line="251" w:lineRule="auto"/>
        <w:tabs>
          <w:tab w:leader="none" w:pos="1188"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Grant is Not Transferable</w:t>
      </w:r>
      <w:r>
        <w:rPr>
          <w:rFonts w:ascii="Arial" w:cs="Arial" w:eastAsia="Arial" w:hAnsi="Arial"/>
          <w:sz w:val="21"/>
          <w:szCs w:val="21"/>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226" w:lineRule="exact"/>
        <w:rPr>
          <w:rFonts w:ascii="Arial" w:cs="Arial" w:eastAsia="Arial" w:hAnsi="Arial"/>
          <w:sz w:val="21"/>
          <w:szCs w:val="21"/>
          <w:color w:val="auto"/>
        </w:rPr>
      </w:pPr>
    </w:p>
    <w:p>
      <w:pPr>
        <w:ind w:left="1180" w:hanging="536"/>
        <w:spacing w:after="0"/>
        <w:tabs>
          <w:tab w:leader="none" w:pos="118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this Award of Restricted Stock Units, Grantee acknowledges, understands and agrees</w:t>
      </w:r>
    </w:p>
    <w:p>
      <w:pPr>
        <w:spacing w:after="0" w:line="4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that:</w:t>
      </w:r>
    </w:p>
    <w:p>
      <w:pPr>
        <w:spacing w:after="0" w:line="250" w:lineRule="exact"/>
        <w:rPr>
          <w:rFonts w:ascii="Arial" w:cs="Arial" w:eastAsia="Arial" w:hAnsi="Arial"/>
          <w:sz w:val="19"/>
          <w:szCs w:val="19"/>
          <w:color w:val="auto"/>
        </w:rPr>
      </w:pPr>
    </w:p>
    <w:p>
      <w:pPr>
        <w:jc w:val="both"/>
        <w:ind w:firstLine="1292"/>
        <w:spacing w:after="0" w:line="259" w:lineRule="auto"/>
        <w:tabs>
          <w:tab w:leader="none" w:pos="1836"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217" w:lineRule="exact"/>
        <w:rPr>
          <w:rFonts w:ascii="Arial" w:cs="Arial" w:eastAsia="Arial" w:hAnsi="Arial"/>
          <w:sz w:val="21"/>
          <w:szCs w:val="21"/>
          <w:color w:val="auto"/>
        </w:rPr>
      </w:pPr>
    </w:p>
    <w:p>
      <w:pPr>
        <w:ind w:left="1840" w:hanging="549"/>
        <w:spacing w:after="0"/>
        <w:tabs>
          <w:tab w:leader="none" w:pos="1840" w:val="left"/>
        </w:tabs>
        <w:numPr>
          <w:ilvl w:val="1"/>
          <w:numId w:val="52"/>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Units or other grants, if any, will be at the sole discretion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of the Administrator;</w:t>
      </w:r>
    </w:p>
    <w:p>
      <w:pPr>
        <w:spacing w:after="0" w:line="240" w:lineRule="exact"/>
        <w:rPr>
          <w:rFonts w:ascii="Arial" w:cs="Arial" w:eastAsia="Arial" w:hAnsi="Arial"/>
          <w:sz w:val="19"/>
          <w:szCs w:val="19"/>
          <w:color w:val="auto"/>
        </w:rPr>
      </w:pPr>
    </w:p>
    <w:p>
      <w:pPr>
        <w:ind w:left="1940" w:hanging="649"/>
        <w:spacing w:after="0"/>
        <w:tabs>
          <w:tab w:leader="none" w:pos="1940" w:val="left"/>
        </w:tabs>
        <w:numPr>
          <w:ilvl w:val="1"/>
          <w:numId w:val="52"/>
        </w:numPr>
        <w:rPr>
          <w:rFonts w:ascii="Arial" w:cs="Arial" w:eastAsia="Arial" w:hAnsi="Arial"/>
          <w:sz w:val="21"/>
          <w:szCs w:val="21"/>
          <w:color w:val="auto"/>
        </w:rPr>
      </w:pPr>
      <w:r>
        <w:rPr>
          <w:rFonts w:ascii="Arial" w:cs="Arial" w:eastAsia="Arial" w:hAnsi="Arial"/>
          <w:sz w:val="21"/>
          <w:szCs w:val="21"/>
          <w:color w:val="auto"/>
        </w:rPr>
        <w:t>Grantee is voluntarily participating in the Plan;</w:t>
      </w:r>
    </w:p>
    <w:p>
      <w:pPr>
        <w:spacing w:after="0" w:line="258" w:lineRule="exact"/>
        <w:rPr>
          <w:rFonts w:ascii="Arial" w:cs="Arial" w:eastAsia="Arial" w:hAnsi="Arial"/>
          <w:sz w:val="21"/>
          <w:szCs w:val="21"/>
          <w:color w:val="auto"/>
        </w:rPr>
      </w:pPr>
    </w:p>
    <w:p>
      <w:pPr>
        <w:ind w:firstLine="1291"/>
        <w:spacing w:after="0" w:line="264" w:lineRule="auto"/>
        <w:tabs>
          <w:tab w:leader="none" w:pos="1837"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Restricted Stock Units and the Shares subject to the Restricted Stock Units are not intended to replace any pension rights or compensation;</w:t>
      </w:r>
    </w:p>
    <w:p>
      <w:pPr>
        <w:spacing w:after="0" w:line="224" w:lineRule="exact"/>
        <w:rPr>
          <w:rFonts w:ascii="Arial" w:cs="Arial" w:eastAsia="Arial" w:hAnsi="Arial"/>
          <w:sz w:val="21"/>
          <w:szCs w:val="21"/>
          <w:color w:val="auto"/>
        </w:rPr>
      </w:pPr>
    </w:p>
    <w:p>
      <w:pPr>
        <w:jc w:val="both"/>
        <w:ind w:firstLine="1291"/>
        <w:spacing w:after="0" w:line="253" w:lineRule="auto"/>
        <w:tabs>
          <w:tab w:leader="none" w:pos="1837"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223" w:lineRule="exact"/>
        <w:rPr>
          <w:rFonts w:ascii="Arial" w:cs="Arial" w:eastAsia="Arial" w:hAnsi="Arial"/>
          <w:sz w:val="21"/>
          <w:szCs w:val="21"/>
          <w:color w:val="auto"/>
        </w:rPr>
      </w:pPr>
    </w:p>
    <w:p>
      <w:pPr>
        <w:ind w:firstLine="1292"/>
        <w:spacing w:after="0" w:line="264" w:lineRule="auto"/>
        <w:tabs>
          <w:tab w:leader="none" w:pos="1837"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future value of the Shares underlying the Restricted Stock Units is unknown, indeterminable, and cannot be predicted with certainty;</w:t>
      </w:r>
    </w:p>
    <w:p>
      <w:pPr>
        <w:spacing w:after="0" w:line="211" w:lineRule="exact"/>
        <w:rPr>
          <w:rFonts w:ascii="Arial" w:cs="Arial" w:eastAsia="Arial" w:hAnsi="Arial"/>
          <w:sz w:val="21"/>
          <w:szCs w:val="21"/>
          <w:color w:val="auto"/>
        </w:rPr>
      </w:pPr>
    </w:p>
    <w:p>
      <w:pPr>
        <w:jc w:val="both"/>
        <w:ind w:firstLine="1292"/>
        <w:spacing w:after="0" w:line="253" w:lineRule="auto"/>
        <w:tabs>
          <w:tab w:leader="none" w:pos="1836" w:val="left"/>
        </w:tabs>
        <w:numPr>
          <w:ilvl w:val="1"/>
          <w:numId w:val="52"/>
        </w:numPr>
        <w:rPr>
          <w:rFonts w:ascii="Arial" w:cs="Arial" w:eastAsia="Arial" w:hAnsi="Arial"/>
          <w:sz w:val="21"/>
          <w:szCs w:val="21"/>
          <w:color w:val="auto"/>
        </w:rPr>
      </w:pPr>
      <w:r>
        <w:rPr>
          <w:rFonts w:ascii="Arial" w:cs="Arial" w:eastAsia="Arial" w:hAnsi="Arial"/>
          <w:sz w:val="21"/>
          <w:szCs w:val="21"/>
          <w:color w:val="auto"/>
        </w:rPr>
        <w:t>for purposes of the Restricted Stock Units, Grantee’s status as a Service Provider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20"/>
          </w:cols>
          <w:pgMar w:left="440" w:top="1422" w:right="439" w:bottom="1440" w:gutter="0" w:footer="0" w:header="0"/>
        </w:sectPr>
      </w:pPr>
    </w:p>
    <w:bookmarkStart w:id="67" w:name="page68"/>
    <w:bookmarkEnd w:id="67"/>
    <w:p>
      <w:pPr>
        <w:jc w:val="both"/>
        <w:spacing w:after="0" w:line="262" w:lineRule="auto"/>
        <w:rPr>
          <w:sz w:val="20"/>
          <w:szCs w:val="20"/>
          <w:color w:val="auto"/>
        </w:rPr>
      </w:pPr>
      <w:r>
        <w:rPr>
          <w:rFonts w:ascii="Arial" w:cs="Arial" w:eastAsia="Arial" w:hAnsi="Arial"/>
          <w:sz w:val="20"/>
          <w:szCs w:val="20"/>
          <w:color w:val="auto"/>
        </w:rPr>
        <w:t>Service Provider or the terms of Grantee’s employment or service agreement, if any), and unless otherwise expressly provided in this Award Agreement (including by reference in the Notice of Grant to other arrangements or contracts) or determined by the Committee, Grantee’s right to vest in the Restricted Stock Units under the Plan, if any, will terminate as of such date and will not be extended by any notice period (e.g., Grantee’s period of service would not include any contractual notice period or any period of “garden leave” or similar period mandated under employment laws in the jurisdiction where Grantee is a Service Provider or the terms of Grantee’s employment or service agreement, if any, unless Grantee is providing bona fide services during such time); the Committee shall have the exclusive discretion to determine when Grantee is no longer actively providing services for purposes of this Award of Restricted Stock Units (including whether Grantee may still be considered to be providing services while on a leave of absence and consistent with local law). Further, for the avoidance of doubt, Grantee shall not be entitled to any pro rata vesting of any Restricted Stock Units should Grantee’s status as a Service Provider cease before the Restricted Stock Units have fully vested (e.g., if Grantee’s status as a Service Provider ceases on March 1 before all of the Restricted Stock Units have vested, Grantee shall not be entitled to any vesting of the Restricted Stock Units that were scheduled to vest on the immediately following vesting date of March 10);</w:t>
      </w:r>
    </w:p>
    <w:p>
      <w:pPr>
        <w:spacing w:after="0" w:line="219" w:lineRule="exact"/>
        <w:rPr>
          <w:sz w:val="20"/>
          <w:szCs w:val="20"/>
          <w:color w:val="auto"/>
        </w:rPr>
      </w:pPr>
    </w:p>
    <w:p>
      <w:pPr>
        <w:jc w:val="both"/>
        <w:ind w:firstLine="1292"/>
        <w:spacing w:after="0" w:line="253" w:lineRule="auto"/>
        <w:tabs>
          <w:tab w:leader="none" w:pos="1836" w:val="left"/>
        </w:tabs>
        <w:numPr>
          <w:ilvl w:val="0"/>
          <w:numId w:val="53"/>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223" w:lineRule="exact"/>
        <w:rPr>
          <w:rFonts w:ascii="Arial" w:cs="Arial" w:eastAsia="Arial" w:hAnsi="Arial"/>
          <w:sz w:val="21"/>
          <w:szCs w:val="21"/>
          <w:color w:val="auto"/>
        </w:rPr>
      </w:pPr>
    </w:p>
    <w:p>
      <w:pPr>
        <w:ind w:left="1940" w:hanging="648"/>
        <w:spacing w:after="0"/>
        <w:tabs>
          <w:tab w:leader="none" w:pos="194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following provisions apply only if Grantee is providing services outside the</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United States:</w:t>
      </w:r>
    </w:p>
    <w:p>
      <w:pPr>
        <w:spacing w:after="0" w:line="250" w:lineRule="exact"/>
        <w:rPr>
          <w:sz w:val="20"/>
          <w:szCs w:val="20"/>
          <w:color w:val="auto"/>
        </w:rPr>
      </w:pPr>
    </w:p>
    <w:p>
      <w:pPr>
        <w:ind w:left="2580" w:hanging="640"/>
        <w:spacing w:after="0"/>
        <w:tabs>
          <w:tab w:leader="none" w:pos="25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Restricted Stock Units and the Shares subject to the Restricted Stock</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Units are not part of normal or expected compensation or salary for any purpose;</w:t>
      </w:r>
    </w:p>
    <w:p>
      <w:pPr>
        <w:spacing w:after="0" w:line="240" w:lineRule="exact"/>
        <w:rPr>
          <w:rFonts w:ascii="Arial" w:cs="Arial" w:eastAsia="Arial" w:hAnsi="Arial"/>
          <w:sz w:val="21"/>
          <w:szCs w:val="21"/>
          <w:color w:val="auto"/>
        </w:rPr>
      </w:pPr>
    </w:p>
    <w:p>
      <w:pPr>
        <w:jc w:val="both"/>
        <w:ind w:firstLine="1940"/>
        <w:spacing w:after="0" w:line="253" w:lineRule="auto"/>
        <w:tabs>
          <w:tab w:leader="none" w:pos="2484" w:val="left"/>
        </w:tabs>
        <w:numPr>
          <w:ilvl w:val="0"/>
          <w:numId w:val="54"/>
        </w:numPr>
        <w:rPr>
          <w:rFonts w:ascii="Arial" w:cs="Arial" w:eastAsia="Arial" w:hAnsi="Arial"/>
          <w:sz w:val="21"/>
          <w:szCs w:val="21"/>
          <w:color w:val="auto"/>
        </w:rPr>
      </w:pPr>
      <w:r>
        <w:rPr>
          <w:rFonts w:ascii="Arial" w:cs="Arial" w:eastAsia="Arial" w:hAnsi="Arial"/>
          <w:sz w:val="21"/>
          <w:szCs w:val="21"/>
          <w:color w:val="auto"/>
        </w:rPr>
        <w:t>Grantee acknowledges and agrees that no Service Recipient shall be liable for any foreign exchange rate fluctuation between Grantee’s local currency and the United States Dollar that may affect the value of the Restricted Stock Units or of any amounts due to Grantee pursuant to the settlement of the Restricted Stock Units or the subsequent sale of any Shares acquired upon settlement; and</w:t>
      </w:r>
    </w:p>
    <w:p>
      <w:pPr>
        <w:spacing w:after="0" w:line="304" w:lineRule="exact"/>
        <w:rPr>
          <w:rFonts w:ascii="Arial" w:cs="Arial" w:eastAsia="Arial" w:hAnsi="Arial"/>
          <w:sz w:val="21"/>
          <w:szCs w:val="21"/>
          <w:color w:val="auto"/>
        </w:rPr>
      </w:pPr>
    </w:p>
    <w:p>
      <w:pPr>
        <w:jc w:val="both"/>
        <w:ind w:firstLine="1940"/>
        <w:spacing w:after="0" w:line="263" w:lineRule="auto"/>
        <w:tabs>
          <w:tab w:leader="none" w:pos="2485" w:val="left"/>
        </w:tabs>
        <w:numPr>
          <w:ilvl w:val="0"/>
          <w:numId w:val="54"/>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Restricted Stock Units resulting from the termination of Grantee’s status as a Service Provider (for any reason whatsoever whether or not later found to be invalid or in breach of employment laws in the jurisdiction where Grantee is a Service Provider or the terms of Grantee’s employment or service agreement, if any), and in consideration of the grant of the Restricted Stock Units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Grantee shall be deemed irrevocably to have agreed not to pursue such claim and agrees to execute any and all documents necessary to request dismissal or withdrawal of such claim.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20"/>
          </w:cols>
          <w:pgMar w:left="440" w:top="1422" w:right="439" w:bottom="1440" w:gutter="0" w:footer="0" w:header="0"/>
        </w:sectPr>
      </w:pPr>
    </w:p>
    <w:bookmarkStart w:id="68" w:name="page69"/>
    <w:bookmarkEnd w:id="68"/>
    <w:p>
      <w:pPr>
        <w:jc w:val="both"/>
        <w:ind w:firstLine="643"/>
        <w:spacing w:after="0" w:line="270" w:lineRule="auto"/>
        <w:tabs>
          <w:tab w:leader="none" w:pos="118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Grantee’s participation in the Plan, or Grantee’s acquisition or sale of the Shares underlying the Restricted Stock Units. Grantee is hereby advised to consult with his or her own personal tax, legal and financial advisers regarding his or her participation in the Plan before taking any action related to the Plan.</w:t>
      </w:r>
    </w:p>
    <w:p>
      <w:pPr>
        <w:spacing w:after="0" w:line="207" w:lineRule="exact"/>
        <w:rPr>
          <w:rFonts w:ascii="Arial" w:cs="Arial" w:eastAsia="Arial" w:hAnsi="Arial"/>
          <w:sz w:val="20"/>
          <w:szCs w:val="20"/>
          <w:color w:val="auto"/>
        </w:rPr>
      </w:pPr>
    </w:p>
    <w:p>
      <w:pPr>
        <w:jc w:val="both"/>
        <w:ind w:firstLine="644"/>
        <w:spacing w:after="0" w:line="258" w:lineRule="auto"/>
        <w:tabs>
          <w:tab w:leader="none" w:pos="1188"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Data Privacy</w:t>
      </w:r>
      <w:r>
        <w:rPr>
          <w:rFonts w:ascii="Arial" w:cs="Arial" w:eastAsia="Arial" w:hAnsi="Arial"/>
          <w:sz w:val="21"/>
          <w:szCs w:val="21"/>
          <w:color w:val="auto"/>
        </w:rPr>
        <w:t>. Grantee hereby explicitly and unambiguously consents to the collection, use and transfer, in electronic or other form, of Grantee’s personal data as described in this Award Agreement and any other Restricted Stock Unit grant materials by and among, as applicable, the Service Recipients for the exclusive purpose of implementing, administering and managing Grantee’s participation in the Plan.</w:t>
      </w:r>
    </w:p>
    <w:p>
      <w:pPr>
        <w:spacing w:after="0" w:line="2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0"/>
          <w:szCs w:val="20"/>
          <w:color w:val="auto"/>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Grantee’s favor (“</w:t>
      </w:r>
      <w:r>
        <w:rPr>
          <w:rFonts w:ascii="Arial" w:cs="Arial" w:eastAsia="Arial" w:hAnsi="Arial"/>
          <w:sz w:val="20"/>
          <w:szCs w:val="20"/>
          <w:u w:val="single" w:color="auto"/>
          <w:color w:val="auto"/>
        </w:rPr>
        <w:t>Data</w:t>
      </w:r>
      <w:r>
        <w:rPr>
          <w:rFonts w:ascii="Arial" w:cs="Arial" w:eastAsia="Arial" w:hAnsi="Arial"/>
          <w:sz w:val="20"/>
          <w:szCs w:val="20"/>
          <w:color w:val="auto"/>
        </w:rPr>
        <w:t>”), for the exclusive purpose of implementing, administering and managing the Plan.</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Grantee understands that Data may be transferred to a stock plan service provider, as may be selected by the Company in the future, assisting the Company with the implementation, administration and management of the Plan.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Grantee understands that Data will be held only as long as is necessary to implement, administer and manage Grantee’s participation in the Plan.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 Service Provider and career with the Service Recipient will not be adversely affected. The only adverse consequence of refusing or withdrawing Grantee’s consent is that the Company would not be able to grant Grantee Restricted Stock Units or other equity awards or administer or maintain such awards. Therefore, Grantee understands that refusing or withdrawing his or her consent may affect Grantee’s ability to participate in the Plan. For more information on the consequences of Grantee’s refusal to consent or withdrawal of consent, Grantee understands that he or she may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20"/>
          </w:cols>
          <w:pgMar w:left="440" w:top="1422" w:right="439" w:bottom="1440" w:gutter="0" w:footer="0" w:header="0"/>
        </w:sectPr>
      </w:pPr>
    </w:p>
    <w:bookmarkStart w:id="69" w:name="page70"/>
    <w:bookmarkEnd w:id="69"/>
    <w:p>
      <w:pPr>
        <w:jc w:val="both"/>
        <w:ind w:firstLine="643"/>
        <w:spacing w:after="0" w:line="259" w:lineRule="auto"/>
        <w:tabs>
          <w:tab w:leader="none" w:pos="1189"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Address for Notices</w:t>
      </w:r>
      <w:r>
        <w:rPr>
          <w:rFonts w:ascii="Arial" w:cs="Arial" w:eastAsia="Arial" w:hAnsi="Arial"/>
          <w:sz w:val="21"/>
          <w:szCs w:val="21"/>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217" w:lineRule="exact"/>
        <w:rPr>
          <w:rFonts w:ascii="Arial" w:cs="Arial" w:eastAsia="Arial" w:hAnsi="Arial"/>
          <w:sz w:val="21"/>
          <w:szCs w:val="21"/>
          <w:color w:val="auto"/>
        </w:rPr>
      </w:pPr>
    </w:p>
    <w:p>
      <w:pPr>
        <w:jc w:val="both"/>
        <w:ind w:firstLine="643"/>
        <w:spacing w:after="0" w:line="253" w:lineRule="auto"/>
        <w:tabs>
          <w:tab w:leader="none" w:pos="1189"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225" w:lineRule="exact"/>
        <w:rPr>
          <w:rFonts w:ascii="Arial" w:cs="Arial" w:eastAsia="Arial" w:hAnsi="Arial"/>
          <w:sz w:val="21"/>
          <w:szCs w:val="21"/>
          <w:color w:val="auto"/>
        </w:rPr>
      </w:pPr>
    </w:p>
    <w:p>
      <w:pPr>
        <w:jc w:val="both"/>
        <w:ind w:firstLine="644"/>
        <w:spacing w:after="0" w:line="277" w:lineRule="auto"/>
        <w:tabs>
          <w:tab w:leader="none" w:pos="118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209" w:lineRule="exact"/>
        <w:rPr>
          <w:rFonts w:ascii="Arial" w:cs="Arial" w:eastAsia="Arial" w:hAnsi="Arial"/>
          <w:sz w:val="19"/>
          <w:szCs w:val="19"/>
          <w:color w:val="auto"/>
        </w:rPr>
      </w:pPr>
    </w:p>
    <w:p>
      <w:pPr>
        <w:jc w:val="both"/>
        <w:ind w:firstLine="644"/>
        <w:spacing w:after="0" w:line="252" w:lineRule="auto"/>
        <w:tabs>
          <w:tab w:leader="none" w:pos="1188"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Language</w:t>
      </w:r>
      <w:r>
        <w:rPr>
          <w:rFonts w:ascii="Arial" w:cs="Arial" w:eastAsia="Arial" w:hAnsi="Arial"/>
          <w:sz w:val="21"/>
          <w:szCs w:val="21"/>
          <w:color w:val="auto"/>
        </w:rPr>
        <w:t>. If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224" w:lineRule="exact"/>
        <w:rPr>
          <w:rFonts w:ascii="Arial" w:cs="Arial" w:eastAsia="Arial" w:hAnsi="Arial"/>
          <w:sz w:val="21"/>
          <w:szCs w:val="21"/>
          <w:color w:val="auto"/>
        </w:rPr>
      </w:pPr>
    </w:p>
    <w:p>
      <w:pPr>
        <w:jc w:val="both"/>
        <w:ind w:firstLine="643"/>
        <w:spacing w:after="0" w:line="301" w:lineRule="auto"/>
        <w:tabs>
          <w:tab w:leader="none" w:pos="118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83" w:lineRule="exact"/>
        <w:rPr>
          <w:rFonts w:ascii="Arial" w:cs="Arial" w:eastAsia="Arial" w:hAnsi="Arial"/>
          <w:sz w:val="18"/>
          <w:szCs w:val="18"/>
          <w:color w:val="auto"/>
        </w:rPr>
      </w:pPr>
    </w:p>
    <w:p>
      <w:pPr>
        <w:jc w:val="both"/>
        <w:ind w:firstLine="643"/>
        <w:spacing w:after="0" w:line="269" w:lineRule="auto"/>
        <w:tabs>
          <w:tab w:leader="none" w:pos="1189"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the Restricted Stock Units awarded under the Plan or future Restricted Stock Units that may be awarded under the Plan by electronic means or require Grantee to participate in the Plan by electronic means. Grantee hereby consents to receive such documents by electronic delivery and agrees to participate in the Plan through any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20"/>
          </w:cols>
          <w:pgMar w:left="440" w:top="1422" w:right="439" w:bottom="1440" w:gutter="0" w:footer="0" w:header="0"/>
        </w:sectPr>
      </w:pPr>
    </w:p>
    <w:bookmarkStart w:id="70" w:name="page71"/>
    <w:bookmarkEnd w:id="70"/>
    <w:p>
      <w:pPr>
        <w:ind w:firstLine="644"/>
        <w:spacing w:after="0" w:line="277" w:lineRule="auto"/>
        <w:tabs>
          <w:tab w:leader="none" w:pos="118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Captions provided herein are for convenience only and are not to serve as a basis for interpretation or construction of this Award Agreement.</w:t>
      </w:r>
    </w:p>
    <w:p>
      <w:pPr>
        <w:spacing w:after="0" w:line="198" w:lineRule="exact"/>
        <w:rPr>
          <w:rFonts w:ascii="Arial" w:cs="Arial" w:eastAsia="Arial" w:hAnsi="Arial"/>
          <w:sz w:val="21"/>
          <w:szCs w:val="21"/>
          <w:color w:val="auto"/>
        </w:rPr>
      </w:pPr>
    </w:p>
    <w:p>
      <w:pPr>
        <w:jc w:val="both"/>
        <w:ind w:firstLine="644"/>
        <w:spacing w:after="0" w:line="253" w:lineRule="auto"/>
        <w:tabs>
          <w:tab w:leader="none" w:pos="118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Amendment, Suspension or Termination of the Plan</w:t>
      </w:r>
      <w:r>
        <w:rPr>
          <w:rFonts w:ascii="Arial" w:cs="Arial" w:eastAsia="Arial" w:hAnsi="Arial"/>
          <w:sz w:val="21"/>
          <w:szCs w:val="21"/>
          <w:color w:val="auto"/>
        </w:rPr>
        <w:t>. By accepting this Award, Grantee expressly warrants that he or she has received an Award of Restricted Stock Units under the Plan, and has received, read and understood a description of the Plan. Grantee understands that the Plan is discretionary in nature and may be amended, suspended or terminated by the Committee at any time.</w:t>
      </w:r>
    </w:p>
    <w:p>
      <w:pPr>
        <w:spacing w:after="0" w:line="223" w:lineRule="exact"/>
        <w:rPr>
          <w:rFonts w:ascii="Arial" w:cs="Arial" w:eastAsia="Arial" w:hAnsi="Arial"/>
          <w:sz w:val="21"/>
          <w:szCs w:val="21"/>
          <w:color w:val="auto"/>
        </w:rPr>
      </w:pPr>
    </w:p>
    <w:p>
      <w:pPr>
        <w:jc w:val="both"/>
        <w:ind w:firstLine="643"/>
        <w:spacing w:after="0" w:line="249" w:lineRule="auto"/>
        <w:tabs>
          <w:tab w:leader="none" w:pos="1189"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Country Addendum</w:t>
      </w:r>
      <w:r>
        <w:rPr>
          <w:rFonts w:ascii="Arial" w:cs="Arial" w:eastAsia="Arial" w:hAnsi="Arial"/>
          <w:sz w:val="21"/>
          <w:szCs w:val="21"/>
          <w:color w:val="auto"/>
        </w:rPr>
        <w:t>. Notwithstanding any provisions in this Award Agreement, the Restricted Stock Unit grant shall be subject to any special terms and conditions set forth in an appendix (if any) to this Award Agreement for any country whose laws are applicable to Grantee and this Award of Restricted Stock Units (as determined by the Committee in its sole discretion) (the “</w:t>
      </w:r>
      <w:r>
        <w:rPr>
          <w:rFonts w:ascii="Arial" w:cs="Arial" w:eastAsia="Arial" w:hAnsi="Arial"/>
          <w:sz w:val="21"/>
          <w:szCs w:val="21"/>
          <w:u w:val="single" w:color="auto"/>
          <w:color w:val="auto"/>
        </w:rPr>
        <w:t>Country Addendum</w:t>
      </w:r>
      <w:r>
        <w:rPr>
          <w:rFonts w:ascii="Arial" w:cs="Arial" w:eastAsia="Arial" w:hAnsi="Arial"/>
          <w:sz w:val="21"/>
          <w:szCs w:val="21"/>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230" w:lineRule="exact"/>
        <w:rPr>
          <w:rFonts w:ascii="Arial" w:cs="Arial" w:eastAsia="Arial" w:hAnsi="Arial"/>
          <w:sz w:val="21"/>
          <w:szCs w:val="21"/>
          <w:color w:val="auto"/>
        </w:rPr>
      </w:pPr>
    </w:p>
    <w:p>
      <w:pPr>
        <w:jc w:val="both"/>
        <w:ind w:firstLine="643"/>
        <w:spacing w:after="0" w:line="282" w:lineRule="auto"/>
        <w:tabs>
          <w:tab w:leader="none" w:pos="118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Restricted Stock Units.</w:t>
      </w:r>
    </w:p>
    <w:p>
      <w:pPr>
        <w:spacing w:after="0" w:line="200" w:lineRule="exact"/>
        <w:rPr>
          <w:rFonts w:ascii="Arial" w:cs="Arial" w:eastAsia="Arial" w:hAnsi="Arial"/>
          <w:sz w:val="19"/>
          <w:szCs w:val="19"/>
          <w:color w:val="auto"/>
        </w:rPr>
      </w:pPr>
    </w:p>
    <w:p>
      <w:pPr>
        <w:jc w:val="both"/>
        <w:ind w:firstLine="644"/>
        <w:spacing w:after="0" w:line="270" w:lineRule="auto"/>
        <w:tabs>
          <w:tab w:leader="none" w:pos="1188"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207" w:lineRule="exact"/>
        <w:rPr>
          <w:rFonts w:ascii="Arial" w:cs="Arial" w:eastAsia="Arial" w:hAnsi="Arial"/>
          <w:sz w:val="20"/>
          <w:szCs w:val="20"/>
          <w:color w:val="auto"/>
        </w:rPr>
      </w:pPr>
    </w:p>
    <w:p>
      <w:pPr>
        <w:jc w:val="both"/>
        <w:ind w:firstLine="644"/>
        <w:spacing w:after="0" w:line="253" w:lineRule="auto"/>
        <w:tabs>
          <w:tab w:leader="none" w:pos="118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Governing Law; Severability</w:t>
      </w:r>
      <w:r>
        <w:rPr>
          <w:rFonts w:ascii="Arial" w:cs="Arial" w:eastAsia="Arial" w:hAnsi="Arial"/>
          <w:sz w:val="21"/>
          <w:szCs w:val="21"/>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223" w:lineRule="exact"/>
        <w:rPr>
          <w:rFonts w:ascii="Arial" w:cs="Arial" w:eastAsia="Arial" w:hAnsi="Arial"/>
          <w:sz w:val="21"/>
          <w:szCs w:val="21"/>
          <w:color w:val="auto"/>
        </w:rPr>
      </w:pPr>
    </w:p>
    <w:p>
      <w:pPr>
        <w:jc w:val="both"/>
        <w:ind w:firstLine="643"/>
        <w:spacing w:after="0" w:line="253" w:lineRule="auto"/>
        <w:tabs>
          <w:tab w:leader="none" w:pos="1189"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204" w:lineRule="exact"/>
        <w:rPr>
          <w:rFonts w:ascii="Arial" w:cs="Arial" w:eastAsia="Arial" w:hAnsi="Arial"/>
          <w:sz w:val="21"/>
          <w:szCs w:val="21"/>
          <w:color w:val="auto"/>
        </w:rPr>
      </w:pPr>
    </w:p>
    <w:p>
      <w:pPr>
        <w:ind w:left="5120"/>
        <w:spacing w:after="0"/>
        <w:rPr>
          <w:rFonts w:ascii="Arial" w:cs="Arial" w:eastAsia="Arial" w:hAnsi="Arial"/>
          <w:sz w:val="21"/>
          <w:szCs w:val="21"/>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020"/>
          </w:cols>
          <w:pgMar w:left="440" w:top="1422" w:right="439" w:bottom="1440" w:gutter="0" w:footer="0" w:header="0"/>
        </w:sectPr>
      </w:pPr>
    </w:p>
    <w:bookmarkStart w:id="71" w:name="page72"/>
    <w:bookmarkEnd w:id="71"/>
    <w:p>
      <w:pPr>
        <w:spacing w:after="0" w:line="10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APPENDIX A</w:t>
      </w:r>
    </w:p>
    <w:p>
      <w:pPr>
        <w:spacing w:after="0" w:line="98"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BAKKT HOLDINGS,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2021 OMNIBUS EMPLOYEE INCENTIVE PLAN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COUNTRY ADDENDUM TO RESTRICTED STOCK UNIT AGREEMENT</w:t>
      </w:r>
    </w:p>
    <w:p>
      <w:pPr>
        <w:sectPr>
          <w:pgSz w:w="11900" w:h="16838" w:orient="portrait"/>
          <w:cols w:equalWidth="0" w:num="1">
            <w:col w:w="9019"/>
          </w:cols>
          <w:pgMar w:left="1440" w:top="1440" w:right="1440" w:bottom="1440" w:gutter="0" w:footer="0" w:header="0"/>
        </w:sectPr>
      </w:pPr>
    </w:p>
    <w:bookmarkStart w:id="72" w:name="page73"/>
    <w:bookmarkEnd w:id="72"/>
    <w:p>
      <w:pPr>
        <w:ind w:left="10320"/>
        <w:spacing w:after="0"/>
        <w:rPr>
          <w:sz w:val="20"/>
          <w:szCs w:val="20"/>
          <w:color w:val="auto"/>
        </w:rPr>
      </w:pPr>
      <w:r>
        <w:rPr>
          <w:rFonts w:ascii="Arial" w:cs="Arial" w:eastAsia="Arial" w:hAnsi="Arial"/>
          <w:sz w:val="16"/>
          <w:szCs w:val="16"/>
          <w:b w:val="1"/>
          <w:bCs w:val="1"/>
          <w:color w:val="auto"/>
        </w:rPr>
        <w:t>Exhibit 31.1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Gavin Michael, certify that:</w:t>
      </w:r>
    </w:p>
    <w:p>
      <w:pPr>
        <w:spacing w:after="0" w:line="77"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6"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5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260" w:val="left"/>
          <w:tab w:leader="none" w:pos="772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31750</wp:posOffset>
            </wp:positionV>
            <wp:extent cx="36004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Gavin Michael</w:t>
      </w:r>
    </w:p>
    <w:p>
      <w:pPr>
        <w:spacing w:after="0" w:line="48"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Chief Executive Officer</w:t>
      </w:r>
    </w:p>
    <w:p>
      <w:pPr>
        <w:ind w:left="7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4" w:right="339" w:bottom="1440" w:gutter="0" w:footer="0" w:header="0"/>
        </w:sectPr>
      </w:pPr>
    </w:p>
    <w:bookmarkStart w:id="73" w:name="page74"/>
    <w:bookmarkEnd w:id="73"/>
    <w:p>
      <w:pPr>
        <w:ind w:left="10320"/>
        <w:spacing w:after="0"/>
        <w:rPr>
          <w:sz w:val="20"/>
          <w:szCs w:val="20"/>
          <w:color w:val="auto"/>
        </w:rPr>
      </w:pPr>
      <w:r>
        <w:rPr>
          <w:rFonts w:ascii="Arial" w:cs="Arial" w:eastAsia="Arial" w:hAnsi="Arial"/>
          <w:sz w:val="16"/>
          <w:szCs w:val="16"/>
          <w:b w:val="1"/>
          <w:bCs w:val="1"/>
          <w:color w:val="auto"/>
        </w:rPr>
        <w:t>Exhibit 31.2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6"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57"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260" w:val="left"/>
          <w:tab w:leader="none" w:pos="766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31750</wp:posOffset>
            </wp:positionV>
            <wp:extent cx="36004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Karen Alexander</w:t>
      </w:r>
    </w:p>
    <w:p>
      <w:pPr>
        <w:spacing w:after="0" w:line="48"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Chief Financial Officer</w:t>
      </w:r>
    </w:p>
    <w:p>
      <w:pPr>
        <w:ind w:left="73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04" w:right="339" w:bottom="1440" w:gutter="0" w:footer="0" w:header="0"/>
        </w:sectPr>
      </w:pPr>
    </w:p>
    <w:bookmarkStart w:id="74" w:name="page75"/>
    <w:bookmarkEnd w:id="74"/>
    <w:p>
      <w:pPr>
        <w:ind w:left="10320"/>
        <w:spacing w:after="0"/>
        <w:rPr>
          <w:sz w:val="20"/>
          <w:szCs w:val="20"/>
          <w:color w:val="auto"/>
        </w:rPr>
      </w:pPr>
      <w:r>
        <w:rPr>
          <w:rFonts w:ascii="Arial" w:cs="Arial" w:eastAsia="Arial" w:hAnsi="Arial"/>
          <w:sz w:val="16"/>
          <w:szCs w:val="16"/>
          <w:b w:val="1"/>
          <w:bCs w:val="1"/>
          <w:color w:val="auto"/>
        </w:rPr>
        <w:t>Exhibit 32.1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6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Quarterly Report of Bakkt Holdings, Inc. (the “Company”) on Form 10-Q for the period ending March 31, 2023 as filed with</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Securities and Exchange Commission on the date hereof (the “Report”), I, Gavin Michael, the Chief Executive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640" w:val="left"/>
          <w:tab w:leader="none" w:pos="800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40640</wp:posOffset>
            </wp:positionV>
            <wp:extent cx="32835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7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Gavin Michael</w:t>
      </w:r>
    </w:p>
    <w:p>
      <w:pPr>
        <w:spacing w:after="0" w:line="48"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ind w:left="7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6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Quarterly Report of Bakkt Holdings, Inc. (the “Company”) on Form 10-Q for the period ending March 31, 2023 as filed with</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Securities and Exchange Commission on the date hereof (the “Report”), I, Karen Alexander, the Chief Financial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500" w:val="left"/>
          <w:tab w:leader="none" w:pos="786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40640</wp:posOffset>
            </wp:positionV>
            <wp:extent cx="33604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0"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Karen Alexander</w:t>
      </w:r>
    </w:p>
    <w:p>
      <w:pPr>
        <w:spacing w:after="0" w:line="6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lvl w:ilvl="1">
      <w:lvlJc w:val="left"/>
      <w:lvlText w:val="•"/>
      <w:numFmt w:val="bullet"/>
      <w:start w:val="1"/>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1)"/>
      <w:numFmt w:val="lowerLetter"/>
      <w:start w:val="2"/>
    </w:lvl>
  </w:abstractNum>
  <w:abstractNum w:abstractNumId="12">
    <w:nsid w:val="77465F01"/>
    <w:multiLevelType w:val="hybridMultilevel"/>
    <w:lvl w:ilvl="0">
      <w:lvlJc w:val="left"/>
      <w:lvlText w:val="%1."/>
      <w:numFmt w:val="decimal"/>
      <w:start w:val="4"/>
    </w:lvl>
  </w:abstractNum>
  <w:abstractNum w:abstractNumId="13">
    <w:nsid w:val="7724C67E"/>
    <w:multiLevelType w:val="hybridMultilevel"/>
    <w:lvl w:ilvl="0">
      <w:lvlJc w:val="left"/>
      <w:lvlText w:val="%1."/>
      <w:numFmt w:val="decimal"/>
      <w:start w:val="7"/>
    </w:lvl>
  </w:abstractNum>
  <w:abstractNum w:abstractNumId="14">
    <w:nsid w:val="5C482A97"/>
    <w:multiLevelType w:val="hybridMultilevel"/>
    <w:lvl w:ilvl="0">
      <w:lvlJc w:val="left"/>
      <w:lvlText w:val="%1."/>
      <w:numFmt w:val="decimal"/>
      <w:start w:val="8"/>
    </w:lvl>
  </w:abstractNum>
  <w:abstractNum w:abstractNumId="15">
    <w:nsid w:val="2463B9EA"/>
    <w:multiLevelType w:val="hybridMultilevel"/>
    <w:lvl w:ilvl="0">
      <w:lvlJc w:val="left"/>
      <w:lvlText w:val="%1."/>
      <w:numFmt w:val="decimal"/>
      <w:start w:val="9"/>
    </w:lvl>
  </w:abstractNum>
  <w:abstractNum w:abstractNumId="16">
    <w:nsid w:val="5E884ADC"/>
    <w:multiLevelType w:val="hybridMultilevel"/>
    <w:lvl w:ilvl="0">
      <w:lvlJc w:val="left"/>
      <w:lvlText w:val="%1."/>
      <w:numFmt w:val="decimal"/>
      <w:start w:val="10"/>
    </w:lvl>
  </w:abstractNum>
  <w:abstractNum w:abstractNumId="17">
    <w:nsid w:val="51EAD36B"/>
    <w:multiLevelType w:val="hybridMultilevel"/>
    <w:lvl w:ilvl="0">
      <w:lvlJc w:val="left"/>
      <w:lvlText w:val="%1."/>
      <w:numFmt w:val="decimal"/>
      <w:start w:val="1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1"/>
    </w:lvl>
    <w:lvl w:ilvl="1">
      <w:lvlJc w:val="left"/>
      <w:lvlText w:val="•"/>
      <w:numFmt w:val="bullet"/>
      <w:start w:val="1"/>
    </w:lvl>
  </w:abstractNum>
  <w:abstractNum w:abstractNumId="20">
    <w:nsid w:val="153EA438"/>
    <w:multiLevelType w:val="hybridMultilevel"/>
    <w:lvl w:ilvl="0">
      <w:lvlJc w:val="left"/>
      <w:lvlText w:val="%1."/>
      <w:numFmt w:val="decimal"/>
      <w:start w:val="19"/>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lvl w:ilvl="1">
      <w:lvlJc w:val="left"/>
      <w:lvlText w:val="(%2)"/>
      <w:numFmt w:val="lowerLetter"/>
      <w:start w:val="1"/>
    </w:lvl>
  </w:abstractNum>
  <w:abstractNum w:abstractNumId="31">
    <w:nsid w:val="542289EC"/>
    <w:multiLevelType w:val="hybridMultilevel"/>
    <w:lvl w:ilvl="0">
      <w:lvlJc w:val="left"/>
      <w:lvlText w:val="%1"/>
      <w:numFmt w:val="decimal"/>
      <w:start w:val="1"/>
    </w:lvl>
    <w:lvl w:ilvl="1">
      <w:lvlJc w:val="left"/>
      <w:lvlText w:val="(%2)"/>
      <w:numFmt w:val="lowerRoman"/>
      <w:start w:val="1"/>
    </w:lvl>
  </w:abstractNum>
  <w:abstractNum w:abstractNumId="32">
    <w:nsid w:val="6DE91B18"/>
    <w:multiLevelType w:val="hybridMultilevel"/>
    <w:lvl w:ilvl="0">
      <w:lvlJc w:val="left"/>
      <w:lvlText w:val="%1."/>
      <w:numFmt w:val="decimal"/>
      <w:start w:val="5"/>
    </w:lvl>
    <w:lvl w:ilvl="1">
      <w:lvlJc w:val="left"/>
      <w:lvlText w:val="%2"/>
      <w:numFmt w:val="lowerRoman"/>
      <w:start w:val="1"/>
    </w:lvl>
  </w:abstractNum>
  <w:abstractNum w:abstractNumId="33">
    <w:nsid w:val="38437FDB"/>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34">
    <w:nsid w:val="7644A45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35">
    <w:nsid w:val="32FFF902"/>
    <w:multiLevelType w:val="hybridMultilevel"/>
    <w:lvl w:ilvl="0">
      <w:lvlJc w:val="left"/>
      <w:lvlText w:val="%1"/>
      <w:numFmt w:val="decimal"/>
      <w:start w:val="1"/>
    </w:lvl>
    <w:lvl w:ilvl="1">
      <w:lvlJc w:val="left"/>
      <w:lvlText w:val="(%2)"/>
      <w:numFmt w:val="lowerLetter"/>
      <w:start w:val="3"/>
    </w:lvl>
  </w:abstractNum>
  <w:abstractNum w:abstractNumId="36">
    <w:nsid w:val="684A481A"/>
    <w:multiLevelType w:val="hybridMultilevel"/>
    <w:lvl w:ilvl="0">
      <w:lvlJc w:val="left"/>
      <w:lvlText w:val="%1."/>
      <w:numFmt w:val="decimal"/>
      <w:start w:val="8"/>
    </w:lvl>
    <w:lvl w:ilvl="1">
      <w:lvlJc w:val="left"/>
      <w:lvlText w:val="%2"/>
      <w:numFmt w:val="lowerLetter"/>
      <w:start w:val="1"/>
    </w:lvl>
  </w:abstractNum>
  <w:abstractNum w:abstractNumId="37">
    <w:nsid w:val="579478FE"/>
    <w:multiLevelType w:val="hybridMultilevel"/>
    <w:lvl w:ilvl="0">
      <w:lvlJc w:val="left"/>
      <w:lvlText w:val="%1."/>
      <w:numFmt w:val="decimal"/>
      <w:start w:val="9"/>
    </w:lvl>
    <w:lvl w:ilvl="1">
      <w:lvlJc w:val="left"/>
      <w:lvlText w:val="(%2)"/>
      <w:numFmt w:val="lowerLetter"/>
      <w:start w:val="1"/>
    </w:lvl>
  </w:abstractNum>
  <w:abstractNum w:abstractNumId="38">
    <w:nsid w:val="749ABB43"/>
    <w:multiLevelType w:val="hybridMultilevel"/>
    <w:lvl w:ilvl="0">
      <w:lvlJc w:val="left"/>
      <w:lvlText w:val="(%1)"/>
      <w:numFmt w:val="lowerLetter"/>
      <w:start w:val="8"/>
    </w:lvl>
    <w:lvl w:ilvl="1">
      <w:lvlJc w:val="left"/>
      <w:lvlText w:val="(%2)"/>
      <w:numFmt w:val="lowerRoman"/>
      <w:start w:val="1"/>
    </w:lvl>
  </w:abstractNum>
  <w:abstractNum w:abstractNumId="39">
    <w:nsid w:val="3DC240FB"/>
    <w:multiLevelType w:val="hybridMultilevel"/>
    <w:lvl w:ilvl="0">
      <w:lvlJc w:val="left"/>
      <w:lvlText w:val="%1."/>
      <w:numFmt w:val="decimal"/>
      <w:start w:val="12"/>
    </w:lvl>
  </w:abstractNum>
  <w:abstractNum w:abstractNumId="40">
    <w:nsid w:val="1BA026FA"/>
    <w:multiLevelType w:val="hybridMultilevel"/>
    <w:lvl w:ilvl="0">
      <w:lvlJc w:val="left"/>
      <w:lvlText w:val="%1."/>
      <w:numFmt w:val="decimal"/>
      <w:start w:val="14"/>
    </w:lvl>
  </w:abstractNum>
  <w:abstractNum w:abstractNumId="41">
    <w:nsid w:val="79A1DEAA"/>
    <w:multiLevelType w:val="hybridMultilevel"/>
    <w:lvl w:ilvl="0">
      <w:lvlJc w:val="left"/>
      <w:lvlText w:val="%1."/>
      <w:numFmt w:val="decimal"/>
      <w:start w:val="20"/>
    </w:lvl>
  </w:abstractNum>
  <w:abstractNum w:abstractNumId="42">
    <w:nsid w:val="75C6C3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3">
    <w:nsid w:val="12E685FB"/>
    <w:multiLevelType w:val="hybridMultilevel"/>
    <w:lvl w:ilvl="0">
      <w:lvlJc w:val="left"/>
      <w:lvlText w:val="(%1)"/>
      <w:numFmt w:val="decimal"/>
      <w:start w:val="60"/>
    </w:lvl>
    <w:lvl w:ilvl="1">
      <w:lvlJc w:val="left"/>
      <w:lvlText w:val="%2"/>
      <w:numFmt w:val="decimal"/>
      <w:start w:val="1"/>
    </w:lvl>
    <w:lvl w:ilvl="2">
      <w:lvlJc w:val="left"/>
      <w:lvlText w:val="(%3)"/>
      <w:numFmt w:val="lowerLetter"/>
      <w:start w:val="2"/>
    </w:lvl>
  </w:abstractNum>
  <w:abstractNum w:abstractNumId="44">
    <w:nsid w:val="70C6A52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
    <w:nsid w:val="520EEDD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6">
    <w:nsid w:val="374A3FE6"/>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47">
    <w:nsid w:val="4F4EF00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8">
    <w:nsid w:val="23F9C13C"/>
    <w:multiLevelType w:val="hybridMultilevel"/>
    <w:lvl w:ilvl="0">
      <w:lvlJc w:val="left"/>
      <w:lvlText w:val="(%1)"/>
      <w:numFmt w:val="lowerLetter"/>
      <w:start w:val="3"/>
    </w:lvl>
  </w:abstractNum>
  <w:abstractNum w:abstractNumId="49">
    <w:nsid w:val="649BB77C"/>
    <w:multiLevelType w:val="hybridMultilevel"/>
    <w:lvl w:ilvl="0">
      <w:lvlJc w:val="left"/>
      <w:lvlText w:val="%1"/>
      <w:numFmt w:val="decimal"/>
      <w:start w:val="1"/>
    </w:lvl>
    <w:lvl w:ilvl="1">
      <w:lvlJc w:val="left"/>
      <w:lvlText w:val="(%2)"/>
      <w:numFmt w:val="lowerLetter"/>
      <w:start w:val="4"/>
    </w:lvl>
  </w:abstractNum>
  <w:abstractNum w:abstractNumId="50">
    <w:nsid w:val="275AC794"/>
    <w:multiLevelType w:val="hybridMultilevel"/>
    <w:lvl w:ilvl="0">
      <w:lvlJc w:val="left"/>
      <w:lvlText w:val="%1."/>
      <w:numFmt w:val="decimal"/>
      <w:start w:val="8"/>
    </w:lvl>
    <w:lvl w:ilvl="1">
      <w:lvlJc w:val="left"/>
      <w:lvlText w:val="%2"/>
      <w:numFmt w:val="lowerLetter"/>
      <w:start w:val="1"/>
    </w:lvl>
  </w:abstractNum>
  <w:abstractNum w:abstractNumId="51">
    <w:nsid w:val="39386575"/>
    <w:multiLevelType w:val="hybridMultilevel"/>
    <w:lvl w:ilvl="0">
      <w:lvlJc w:val="left"/>
      <w:lvlText w:val="%1."/>
      <w:numFmt w:val="decimal"/>
      <w:start w:val="9"/>
    </w:lvl>
    <w:lvl w:ilvl="1">
      <w:lvlJc w:val="left"/>
      <w:lvlText w:val="(%2)"/>
      <w:numFmt w:val="lowerLetter"/>
      <w:start w:val="1"/>
    </w:lvl>
  </w:abstractNum>
  <w:abstractNum w:abstractNumId="52">
    <w:nsid w:val="1CF10FD8"/>
    <w:multiLevelType w:val="hybridMultilevel"/>
    <w:lvl w:ilvl="0">
      <w:lvlJc w:val="left"/>
      <w:lvlText w:val="(%1)"/>
      <w:numFmt w:val="lowerLetter"/>
      <w:start w:val="8"/>
    </w:lvl>
  </w:abstractNum>
  <w:abstractNum w:abstractNumId="53">
    <w:nsid w:val="180115BE"/>
    <w:multiLevelType w:val="hybridMultilevel"/>
    <w:lvl w:ilvl="0">
      <w:lvlJc w:val="left"/>
      <w:lvlText w:val="(%1)"/>
      <w:numFmt w:val="lowerRoman"/>
      <w:start w:val="1"/>
    </w:lvl>
  </w:abstractNum>
  <w:abstractNum w:abstractNumId="54">
    <w:nsid w:val="235BA861"/>
    <w:multiLevelType w:val="hybridMultilevel"/>
    <w:lvl w:ilvl="0">
      <w:lvlJc w:val="left"/>
      <w:lvlText w:val="%1."/>
      <w:numFmt w:val="decimal"/>
      <w:start w:val="12"/>
    </w:lvl>
  </w:abstractNum>
  <w:abstractNum w:abstractNumId="55">
    <w:nsid w:val="47398C89"/>
    <w:multiLevelType w:val="hybridMultilevel"/>
    <w:lvl w:ilvl="0">
      <w:lvlJc w:val="left"/>
      <w:lvlText w:val="%1."/>
      <w:numFmt w:val="decimal"/>
      <w:start w:val="14"/>
    </w:lvl>
  </w:abstractNum>
  <w:abstractNum w:abstractNumId="56">
    <w:nsid w:val="354FE9F9"/>
    <w:multiLevelType w:val="hybridMultilevel"/>
    <w:lvl w:ilvl="0">
      <w:lvlJc w:val="left"/>
      <w:lvlText w:val="%1."/>
      <w:numFmt w:val="decimal"/>
      <w:start w:val="20"/>
    </w:lvl>
    <w:lvl w:ilvl="1">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jpeg"/><Relationship Id="rId78" Type="http://schemas.openxmlformats.org/officeDocument/2006/relationships/image" Target="media/image67.jpeg"/><Relationship Id="rId79" Type="http://schemas.openxmlformats.org/officeDocument/2006/relationships/image" Target="media/image68.jpeg"/><Relationship Id="rId80" Type="http://schemas.openxmlformats.org/officeDocument/2006/relationships/image" Target="media/image69.jpeg"/><Relationship Id="rId81" Type="http://schemas.openxmlformats.org/officeDocument/2006/relationships/image" Target="media/image70.jpeg"/><Relationship Id="rId82" Type="http://schemas.openxmlformats.org/officeDocument/2006/relationships/image" Target="media/image71.jpe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66" Type="http://schemas.openxmlformats.org/officeDocument/2006/relationships/hyperlink" Target="https://www.sec.gov/Archives/edgar/data/1820302/000119312523089016/d482123dex22.htm" TargetMode="External"/><Relationship Id="rId67" Type="http://schemas.openxmlformats.org/officeDocument/2006/relationships/hyperlink" Target="https://www.sec.gov/Archives/edgar/data/0001820302/000119312521303985/d219325dex31.htm" TargetMode="External"/><Relationship Id="rId68" Type="http://schemas.openxmlformats.org/officeDocument/2006/relationships/hyperlink" Target="https://www.sec.gov/Archives/edgar/data/0001820302/000119312521303985/d219325dex32.htm" TargetMode="External"/><Relationship Id="rId69" Type="http://schemas.openxmlformats.org/officeDocument/2006/relationships/hyperlink" Target="https://www.sec.gov/Archives/edgar/data/1820302/000119312523089016/d48212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2023-05-11T16:52:52Z</dcterms:created>
  <dcterms:modified xsi:type="dcterms:W3CDTF">2023-05-11T16:52:52Z</dcterms:modified>
</cp:coreProperties>
</file>