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May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0"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1175385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56515</wp:posOffset>
            </wp:positionV>
            <wp:extent cx="4663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82550</wp:posOffset>
            </wp:positionV>
            <wp:extent cx="4663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43"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On May 12, 2022, Bakkt Holdings, Inc. (the “Company”) issued a press release regarding the Company’s results for the quarter ended March 31, 2022. A copy of the press release is attached hereto as Exhibit 99.1 and incorporated herein by reference.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this Item 2.02, including the Exhibit 99.1 attached hereto, is being furnished and shall not be deemed “filed” for purposes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16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20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00" w:type="dxa"/>
            <w:vAlign w:val="bottom"/>
            <w:tcBorders>
              <w:bottom w:val="single" w:sz="8" w:color="auto"/>
            </w:tcBorders>
            <w:gridSpan w:val="2"/>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183"/>
        </w:trPr>
        <w:tc>
          <w:tcPr>
            <w:tcW w:w="2220" w:type="dxa"/>
            <w:vAlign w:val="bottom"/>
            <w:gridSpan w:val="2"/>
          </w:tcPr>
          <w:p>
            <w:pPr>
              <w:jc w:val="right"/>
              <w:ind w:right="77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44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issued by Bakkt Holdings, Inc. on May 12, 2022</w:t>
            </w:r>
          </w:p>
        </w:tc>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7"/>
        </w:trPr>
        <w:tc>
          <w:tcPr>
            <w:tcW w:w="2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104</w:t>
            </w: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05"/>
        </w:trPr>
        <w:tc>
          <w:tcPr>
            <w:tcW w:w="1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2022</w:t>
      </w:r>
    </w:p>
    <w:p>
      <w:pPr>
        <w:spacing w:after="0" w:line="26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56" w:lineRule="exact"/>
        <w:rPr>
          <w:sz w:val="20"/>
          <w:szCs w:val="20"/>
          <w:color w:val="auto"/>
        </w:rPr>
      </w:pPr>
    </w:p>
    <w:p>
      <w:pPr>
        <w:ind w:left="580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6240"/>
        <w:spacing w:after="0"/>
        <w:tabs>
          <w:tab w:leader="none" w:pos="7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Marc D’Annunzio</w:t>
      </w:r>
    </w:p>
    <w:p>
      <w:pPr>
        <w:spacing w:after="0" w:line="27" w:lineRule="exact"/>
        <w:rPr>
          <w:sz w:val="20"/>
          <w:szCs w:val="20"/>
          <w:color w:val="auto"/>
        </w:rPr>
      </w:pPr>
    </w:p>
    <w:p>
      <w:pPr>
        <w:ind w:left="6240"/>
        <w:spacing w:after="0"/>
        <w:tabs>
          <w:tab w:leader="none" w:pos="7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 and Secretary</w:t>
      </w:r>
    </w:p>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Reports First Quarter 2022 Results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net revenue of $12.5 million, increased 54% year over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Cash use of $36.1 million during the quarter. Over $355 million of available cash provides significant growth capital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Strong customer activity with digital asset conversion volume up 91% year over year</w:t>
      </w:r>
    </w:p>
    <w:p>
      <w:pPr>
        <w:spacing w:after="0" w:line="399"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ALPHARETTA, GA – May 12, 2022 </w:t>
      </w:r>
      <w:r>
        <w:rPr>
          <w:rFonts w:ascii="Times New Roman" w:cs="Times New Roman" w:eastAsia="Times New Roman" w:hAnsi="Times New Roman"/>
          <w:sz w:val="18"/>
          <w:szCs w:val="18"/>
          <w:color w:val="auto"/>
        </w:rPr>
        <w:t>– Bakkt Holdings, Inc. (“Bakkt”) (NYSE BKKT) announced its financial and operational results for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2022.</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“Momentum is building across our business and we’re proud of our strong year-over-year net revenue growth for the quarter,” said Gavin Michael, CEO of Bakkt. “We are making considerable progress with our growing list of platform partners, and they serve as an entryway to a vast universe of brands across market segments. As integration work continues, we’re looking forward to being live soon and ramping up our partner activations through the course of this year. We're launching scalable products, like pay with points, which was recently activated with Wyndham Rewards, and making continued platform enhancements as we aggressively execute on the rest of our targeted roadmap.”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Strategic Highlights</w:t>
      </w:r>
    </w:p>
    <w:p>
      <w:pPr>
        <w:spacing w:after="0" w:line="20" w:lineRule="exact"/>
        <w:rPr>
          <w:sz w:val="20"/>
          <w:szCs w:val="20"/>
          <w:color w:val="auto"/>
        </w:rPr>
      </w:pPr>
    </w:p>
    <w:p>
      <w:pPr>
        <w:jc w:val="both"/>
        <w:ind w:left="660" w:hanging="328"/>
        <w:spacing w:after="0" w:line="21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Services: American Bank – </w:t>
      </w:r>
      <w:r>
        <w:rPr>
          <w:rFonts w:ascii="Times New Roman" w:cs="Times New Roman" w:eastAsia="Times New Roman" w:hAnsi="Times New Roman"/>
          <w:sz w:val="18"/>
          <w:szCs w:val="18"/>
          <w:color w:val="auto"/>
        </w:rPr>
        <w:t>We are continuing to sign up new banks for our crypto services capabilities through our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platform partnerships. With our newest partner American Bank, we have now enrolled four banks on our platform and will enable their retail clients to buy, sell and hold cryptocurrency within their existing, trusted banking environment. Our secure, stable, regulated and trusted platform provides simple access to crypto for a growing number of consumers.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0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Services and Paying with Digital Assets: Global Payments – </w:t>
      </w:r>
      <w:r>
        <w:rPr>
          <w:rFonts w:ascii="Times New Roman" w:cs="Times New Roman" w:eastAsia="Times New Roman" w:hAnsi="Times New Roman"/>
          <w:sz w:val="18"/>
          <w:szCs w:val="18"/>
          <w:color w:val="auto"/>
        </w:rPr>
        <w:t>We announced a strategic alliance with Global Payments,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technology company delivering innovative software and services to customers globally, to collaborate on use cases starting with enabling cryptocurrency redemption in customer loyalty programs offered by bankcard clients, expanding its banking-as-a-service offerings to include consumer access to cryptocurrency, and ultimately leveraging issuing technologies for linking virtual, debit, credit and prepaid solutions. In addition, we will broadly partner with Global Payments on multinational merchant payments acceptance.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2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Leadership – </w:t>
      </w:r>
      <w:r>
        <w:rPr>
          <w:rFonts w:ascii="Times New Roman" w:cs="Times New Roman" w:eastAsia="Times New Roman" w:hAnsi="Times New Roman"/>
          <w:sz w:val="18"/>
          <w:szCs w:val="18"/>
          <w:color w:val="auto"/>
        </w:rPr>
        <w:t>We appointed De’Ana Dow and Jill Simeone to our Board of Directors. They bring decades of experience in the financial and retail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sectors, adding to our board’s depth and breadth of expertise. The additions of Ms. Dow and Ms. Simeone to Bakkt’s Board of Directors bring the total number of directors to ten.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First Quarter Financial Highlights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0"/>
        </w:trPr>
        <w:tc>
          <w:tcPr>
            <w:tcW w:w="7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3"/>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260" w:type="dxa"/>
            <w:vAlign w:val="bottom"/>
          </w:tcPr>
          <w:p>
            <w:pPr>
              <w:spacing w:after="0"/>
              <w:rPr>
                <w:sz w:val="3"/>
                <w:szCs w:val="3"/>
                <w:color w:val="auto"/>
              </w:rPr>
            </w:pPr>
          </w:p>
        </w:tc>
      </w:tr>
      <w:tr>
        <w:trPr>
          <w:trHeight w:val="288"/>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w:t>
            </w: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$mm's</w:t>
            </w:r>
          </w:p>
        </w:tc>
        <w:tc>
          <w:tcPr>
            <w:tcW w:w="14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1Q22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1Q21</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40"/>
        </w:trPr>
        <w:tc>
          <w:tcPr>
            <w:tcW w:w="7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40"/>
        </w:trPr>
        <w:tc>
          <w:tcPr>
            <w:tcW w:w="7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0"/>
        </w:trPr>
        <w:tc>
          <w:tcPr>
            <w:tcW w:w="7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(non-GAAP)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0"/>
        </w:trPr>
        <w:tc>
          <w:tcPr>
            <w:tcW w:w="7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20" w:type="dxa"/>
            <w:vAlign w:val="bottom"/>
            <w:tcBorders>
              <w:right w:val="single" w:sz="8" w:color="auto"/>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ind w:left="660" w:hanging="328"/>
        <w:spacing w:after="0" w:line="22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Transacting accounts of 678,000 increased 26% year-over-year. Digital asset conversion volume of $182 million increased 91% year-over-year due to strong loyalty redemption growth, led by increased airline travel activity.</w:t>
      </w:r>
    </w:p>
    <w:p>
      <w:pPr>
        <w:spacing w:after="0" w:line="1" w:lineRule="exact"/>
        <w:rPr>
          <w:rFonts w:ascii="Times New Roman" w:cs="Times New Roman" w:eastAsia="Times New Roman" w:hAnsi="Times New Roman"/>
          <w:sz w:val="18"/>
          <w:szCs w:val="18"/>
          <w:color w:val="auto"/>
        </w:rPr>
      </w:pPr>
    </w:p>
    <w:p>
      <w:pPr>
        <w:ind w:left="660" w:hanging="328"/>
        <w:spacing w:after="0" w:line="20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of $12.5 million increased 54% year-over-year, primarily driven by strong transaction revenue growth from loyalty redemption.</w:t>
      </w:r>
    </w:p>
    <w:p>
      <w:pPr>
        <w:ind w:left="660" w:hanging="328"/>
        <w:spacing w:after="0" w:line="21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 of $61.0 million increased 67% year-over-year, primarily driven by increased noncash compensation expense.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(non-GAAP) of $(28.9 million) decreased 71% year-over-year, primarily driven by an increase in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Bakkt will host a conference call at 9:00AM ET, May 12, 2022. The live webcast of Bakkt’s earnings conference call can be accessed at </w:t>
      </w:r>
      <w:r>
        <w:rPr>
          <w:rFonts w:ascii="Times New Roman" w:cs="Times New Roman" w:eastAsia="Times New Roman" w:hAnsi="Times New Roman"/>
          <w:sz w:val="18"/>
          <w:szCs w:val="18"/>
          <w:u w:val="single" w:color="auto"/>
          <w:color w:val="auto"/>
        </w:rPr>
        <w:t>https://investors.bakkt.com</w:t>
      </w:r>
      <w:r>
        <w:rPr>
          <w:rFonts w:ascii="Times New Roman" w:cs="Times New Roman" w:eastAsia="Times New Roman" w:hAnsi="Times New Roman"/>
          <w:sz w:val="18"/>
          <w:szCs w:val="18"/>
          <w:color w:val="auto"/>
        </w:rPr>
        <w:t>, along with the earnings press release and accompanying slide presentation. Investors and analysts interested in participating in the call are invited to dial (844) 200-6205 or (646) 904-5544, and reference participant access code 948814 approximately ten minutes prior to the start of the call. A replay will be available promptly after the call and can be accessed by dialing (866) 813-9403 and entering the access code 072731. The replay will be available through June 11, 2022.</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Bakkt</w:t>
      </w:r>
    </w:p>
    <w:p>
      <w:pPr>
        <w:spacing w:after="0" w:line="14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Bakkt is a trusted digital asset platform that enables consumers to buy, sell, store and spend digital assets. Bakkt’s platform, now available through the Bakkt App and to partners, amplifies consumer spending and bolsters loyalty programs, adding value for all key stakeholders within the Bakkt payments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digital assets ecosystem. Launched in 2018, Bakkt is headquartered in Alpharetta, GA. For more information, visit: https://www.bakkt.com/ | Twitter @Bakkt | LinkedIn https://www.linkedin.com/company/bakkt/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Bakkt Holdings, Inc.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10" w:lineRule="auto"/>
        <w:rPr>
          <w:sz w:val="20"/>
          <w:szCs w:val="20"/>
          <w:color w:val="auto"/>
        </w:rPr>
      </w:pPr>
      <w:r>
        <w:rPr>
          <w:rFonts w:ascii="Times New Roman" w:cs="Times New Roman" w:eastAsia="Times New Roman" w:hAnsi="Times New Roman"/>
          <w:sz w:val="18"/>
          <w:szCs w:val="18"/>
          <w:color w:val="auto"/>
        </w:rPr>
        <w:t>Ann DeVries, Head of Investor Relations</w:t>
      </w:r>
    </w:p>
    <w:p>
      <w:pPr>
        <w:spacing w:after="0"/>
        <w:rPr>
          <w:sz w:val="20"/>
          <w:szCs w:val="20"/>
          <w:color w:val="auto"/>
        </w:rPr>
      </w:pPr>
      <w:r>
        <w:rPr>
          <w:rFonts w:ascii="Times New Roman" w:cs="Times New Roman" w:eastAsia="Times New Roman" w:hAnsi="Times New Roman"/>
          <w:sz w:val="18"/>
          <w:szCs w:val="18"/>
          <w:u w:val="single" w:color="auto"/>
          <w:color w:val="auto"/>
        </w:rPr>
        <w:t>Ann.DeVries@bakkt.com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10" w:lineRule="auto"/>
        <w:rPr>
          <w:sz w:val="20"/>
          <w:szCs w:val="20"/>
          <w:color w:val="auto"/>
        </w:rPr>
      </w:pPr>
      <w:r>
        <w:rPr>
          <w:rFonts w:ascii="Times New Roman" w:cs="Times New Roman" w:eastAsia="Times New Roman" w:hAnsi="Times New Roman"/>
          <w:sz w:val="18"/>
          <w:szCs w:val="18"/>
          <w:color w:val="auto"/>
        </w:rPr>
        <w:t>Lauren Post, Head of Communications</w:t>
      </w:r>
    </w:p>
    <w:p>
      <w:pPr>
        <w:spacing w:after="0"/>
        <w:rPr>
          <w:sz w:val="20"/>
          <w:szCs w:val="20"/>
          <w:color w:val="auto"/>
        </w:rPr>
      </w:pPr>
      <w:r>
        <w:rPr>
          <w:rFonts w:ascii="Times New Roman" w:cs="Times New Roman" w:eastAsia="Times New Roman" w:hAnsi="Times New Roman"/>
          <w:sz w:val="18"/>
          <w:szCs w:val="18"/>
          <w:u w:val="single" w:color="auto"/>
          <w:color w:val="auto"/>
        </w:rPr>
        <w:t>Lauren.Post@bakkt.com</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“Predecessor” information represents the results of Bakkt Holdings, LLC prior to the business combination with VPC Impact Acquisition Holdings (VIH), which closed on October 15, 2021. “Successor” information represents the results of Bakkt Holdings, Inc. from the date the business combination closed through the end of the applicable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on Forward-Looking Statements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Such statements include, but are not limited to, statements regarding Bakkt’s plans, objectives, expectations and intentions with respect to future operations, products, services and the application of Bakkt’s available cash, among others. Forward-looking statements can be identified by words such as “will,” “likely,” “expect,” “continue,” “anticipate,” “estimate,” “believe,” “intend,” “plan,” “projection,” “outlook”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spacing w:after="0" w:line="1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following factors, among others, could cause actual results and the timing of events to differ materially from the anticipated results or other expectations expressed in such forward-looking statements: (i) a delay or failure to realize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expected benefits from the business combination; (ii) risks related to disruption of management time from ongoing business operations due to post-closing business combination matters; (iii) the impact of the ongoing COVID-19 pandemic; (iv) changes in the markets in which Bakkt competes, including with respect to its competitive landscape, technology evolution or regulatory changes; (v) changes in the markets that Bakkt targets; (vi) risk that Bakkt may not be able to execute its growth strategies, including identifying and executing acquisitions; (vii) risks relating to data security; and (viii) risk that Bakkt may not be able to develop and maintain effective internal controls. The foregoing list of factors is not exhaustive. You should carefully consider the foregoing factors and the other risks and uncertainties described under the heading “Risk Factors” in Bakkt’s filings with the Securities and Exchange Commission, including its most recent Annual Report on Form 10-K and any subsequent Quarterly Reports on Form 10-Q.</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Digital asset conversion volume:</w:t>
      </w:r>
      <w:r>
        <w:rPr>
          <w:rFonts w:ascii="Times New Roman" w:cs="Times New Roman" w:eastAsia="Times New Roman" w:hAnsi="Times New Roman"/>
          <w:sz w:val="18"/>
          <w:szCs w:val="18"/>
          <w:color w:val="auto"/>
        </w:rPr>
        <w:t xml:space="preserve"> Dollar value of transaction volume across loyalty redemption, crypto buy/sell and gift card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Transacting accounts:</w:t>
      </w:r>
      <w:r>
        <w:rPr>
          <w:rFonts w:ascii="Times New Roman" w:cs="Times New Roman" w:eastAsia="Times New Roman" w:hAnsi="Times New Roman"/>
          <w:sz w:val="18"/>
          <w:szCs w:val="18"/>
          <w:color w:val="auto"/>
        </w:rPr>
        <w:t xml:space="preserve"> Unique accounts that perform transactions on the Bakkt platform each month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which we define as earnings before interest, income taxes, depreciation, amortization, certain non-cash and/or non-recurring items (which items do not contribute directly to our evaluation of operating results), and interest income, other income and income tax benefit (which items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Adjusted EBITDA is not a measure of our financial performance under GAAP and should not be considered as an alternative to net income (loss) or other performance measures derived in accordance with GAAP and has certain limitations, including:</w:t>
      </w:r>
    </w:p>
    <w:p>
      <w:pPr>
        <w:spacing w:after="0" w:line="95" w:lineRule="exact"/>
        <w:rPr>
          <w:sz w:val="20"/>
          <w:szCs w:val="20"/>
          <w:color w:val="auto"/>
        </w:rPr>
      </w:pPr>
    </w:p>
    <w:p>
      <w:pPr>
        <w:jc w:val="both"/>
        <w:ind w:left="660" w:hanging="328"/>
        <w:spacing w:after="0" w:line="21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and unit-based compensation expense,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0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measures do not reflect changes in, or cash requirements for, our working capital needs.</w:t>
      </w:r>
    </w:p>
    <w:p>
      <w:pPr>
        <w:spacing w:after="0" w:line="3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Because of these limitations, Adjusted EBITDA should be considered alongside other financial performance measures, including net loss and our other financial results presented in accordance with GAAP. Our definition of Adjusted EBITDA may not be comparable to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Income / (Loss) to Non-GAAP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5"/>
        </w:trPr>
        <w:tc>
          <w:tcPr>
            <w:tcW w:w="76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228"/>
        </w:trPr>
        <w:tc>
          <w:tcPr>
            <w:tcW w:w="7620" w:type="dxa"/>
            <w:vAlign w:val="bottom"/>
          </w:tcPr>
          <w:p>
            <w:pPr>
              <w:spacing w:after="0"/>
              <w:rPr>
                <w:sz w:val="19"/>
                <w:szCs w:val="19"/>
                <w:color w:val="auto"/>
              </w:rPr>
            </w:pPr>
          </w:p>
        </w:tc>
        <w:tc>
          <w:tcPr>
            <w:tcW w:w="18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63"/>
        </w:trPr>
        <w:tc>
          <w:tcPr>
            <w:tcW w:w="7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expense</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76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5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r>
      <w:tr>
        <w:trPr>
          <w:trHeight w:val="257"/>
        </w:trPr>
        <w:tc>
          <w:tcPr>
            <w:tcW w:w="7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63"/>
        </w:trPr>
        <w:tc>
          <w:tcPr>
            <w:tcW w:w="7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transaction costs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and unit-based compensation expense</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63"/>
        </w:trPr>
        <w:tc>
          <w:tcPr>
            <w:tcW w:w="7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ICE transition services expense</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84"/>
        </w:trPr>
        <w:tc>
          <w:tcPr>
            <w:tcW w:w="7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Cancellation of common units</w:t>
            </w: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1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40" w:type="dxa"/>
            <w:vAlign w:val="bottom"/>
            <w:gridSpan w:val="4"/>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tcPr>
          <w:p>
            <w:pPr>
              <w:spacing w:after="0"/>
              <w:rPr>
                <w:sz w:val="19"/>
                <w:szCs w:val="19"/>
                <w:color w:val="auto"/>
              </w:rPr>
            </w:pPr>
          </w:p>
        </w:tc>
        <w:tc>
          <w:tcPr>
            <w:tcW w:w="15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41"/>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41"/>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funds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0"/>
        </w:trPr>
        <w:tc>
          <w:tcPr>
            <w:tcW w:w="76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41"/>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clearinghouse, noncurrent</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40"/>
        </w:trPr>
        <w:tc>
          <w:tcPr>
            <w:tcW w:w="76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7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2,384.0</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2,414.3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Stockholders’ Equity and Members’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funds payable</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to related party</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0"/>
        </w:trPr>
        <w:tc>
          <w:tcPr>
            <w:tcW w:w="76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7"/>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($0.0001 par value, 750,000,000 shares authorized, 57,164,488 shares issued and</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2022 and 57,164,388 shares issued and outstanding as of December 31,</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V common stock ($0.0001 par value, 250,000,000 shares authorized; 206,003,270 shares issued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outstanding as of March 31, 2022 and 206,271,792 shares issued and outstanding as of December</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31, 2021)</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0" w:type="dxa"/>
            <w:vAlign w:val="bottom"/>
          </w:tcPr>
          <w:p>
            <w:pPr>
              <w:spacing w:after="0"/>
              <w:rPr>
                <w:sz w:val="1"/>
                <w:szCs w:val="1"/>
                <w:color w:val="auto"/>
              </w:rPr>
            </w:pPr>
          </w:p>
        </w:tc>
      </w:tr>
      <w:tr>
        <w:trPr>
          <w:trHeight w:val="41"/>
        </w:trPr>
        <w:tc>
          <w:tcPr>
            <w:tcW w:w="7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40"/>
        </w:trPr>
        <w:tc>
          <w:tcPr>
            <w:tcW w:w="76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 and members’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0" w:type="dxa"/>
            <w:vAlign w:val="bottom"/>
          </w:tcPr>
          <w:p>
            <w:pPr>
              <w:spacing w:after="0"/>
              <w:rPr>
                <w:sz w:val="1"/>
                <w:szCs w:val="1"/>
                <w:color w:val="auto"/>
              </w:rPr>
            </w:pPr>
          </w:p>
        </w:tc>
      </w:tr>
      <w:tr>
        <w:trPr>
          <w:trHeight w:val="41"/>
        </w:trPr>
        <w:tc>
          <w:tcPr>
            <w:tcW w:w="76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w:t>
            </w:r>
          </w:p>
        </w:tc>
        <w:tc>
          <w:tcPr>
            <w:tcW w:w="0" w:type="dxa"/>
            <w:vAlign w:val="bottom"/>
          </w:tcPr>
          <w:p>
            <w:pPr>
              <w:spacing w:after="0"/>
              <w:rPr>
                <w:sz w:val="1"/>
                <w:szCs w:val="1"/>
                <w:color w:val="auto"/>
              </w:rPr>
            </w:pPr>
          </w:p>
        </w:tc>
      </w:tr>
      <w:tr>
        <w:trPr>
          <w:trHeight w:val="271"/>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stockholders’ equity and members’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2,384.0</w:t>
            </w:r>
          </w:p>
        </w:tc>
        <w:tc>
          <w:tcPr>
            <w:tcW w:w="26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2,414.3</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353"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620" w:type="dxa"/>
            <w:vAlign w:val="bottom"/>
          </w:tcPr>
          <w:p>
            <w:pPr>
              <w:spacing w:after="0"/>
              <w:rPr>
                <w:sz w:val="22"/>
                <w:szCs w:val="22"/>
                <w:color w:val="auto"/>
              </w:rPr>
            </w:pPr>
          </w:p>
        </w:tc>
        <w:tc>
          <w:tcPr>
            <w:tcW w:w="1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46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5"/>
        </w:trPr>
        <w:tc>
          <w:tcPr>
            <w:tcW w:w="76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62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7620" w:type="dxa"/>
            <w:vAlign w:val="bottom"/>
          </w:tcPr>
          <w:p>
            <w:pPr>
              <w:spacing w:after="0"/>
              <w:rPr>
                <w:sz w:val="20"/>
                <w:szCs w:val="20"/>
                <w:color w:val="auto"/>
              </w:rPr>
            </w:pPr>
          </w:p>
        </w:tc>
        <w:tc>
          <w:tcPr>
            <w:tcW w:w="1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0" w:type="dxa"/>
            <w:vAlign w:val="bottom"/>
          </w:tcPr>
          <w:p>
            <w:pPr>
              <w:spacing w:after="0"/>
              <w:rPr>
                <w:sz w:val="1"/>
                <w:szCs w:val="1"/>
                <w:color w:val="auto"/>
              </w:rPr>
            </w:pPr>
          </w:p>
        </w:tc>
      </w:tr>
      <w:tr>
        <w:trPr>
          <w:trHeight w:val="41"/>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revenues (includes related party net revenues of $20 and affiliate net revenues of $(26),</w:t>
            </w: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
        </w:trPr>
        <w:tc>
          <w:tcPr>
            <w:tcW w:w="7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expenses (affiliate in Predecessor periods)</w:t>
            </w: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40"/>
        </w:trPr>
        <w:tc>
          <w:tcPr>
            <w:tcW w:w="76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(48.5)</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40"/>
        </w:trPr>
        <w:tc>
          <w:tcPr>
            <w:tcW w:w="76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(46.5)</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76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(43.3)</w:t>
            </w:r>
          </w:p>
        </w:tc>
        <w:tc>
          <w:tcPr>
            <w:tcW w:w="16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1"/>
              </w:rPr>
              <w:t>(36.2)</w:t>
            </w: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76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Bakkt Holdings, Inc.</w:t>
            </w:r>
          </w:p>
        </w:tc>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6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Bakkt Holdings, Inc.</w:t>
            </w: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stockholders per share:</w:t>
            </w: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(0.12)</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(0.14)</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7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2022-05-12T06:33:41Z</dcterms:created>
  <dcterms:modified xsi:type="dcterms:W3CDTF">2022-05-12T06:33:41Z</dcterms:modified>
</cp:coreProperties>
</file>