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66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Sponsor, LLC</w:t>
        </w:r>
      </w:hyperlink>
    </w:p>
    <w:p>
      <w:pPr>
        <w:spacing w:after="0" w:line="304" w:lineRule="exact"/>
        <w:rPr>
          <w:sz w:val="20"/>
          <w:szCs w:val="20"/>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320"/>
        <w:spacing w:after="0" w:line="268" w:lineRule="auto"/>
        <w:rPr>
          <w:sz w:val="20"/>
          <w:szCs w:val="20"/>
          <w:color w:val="auto"/>
        </w:rPr>
      </w:pPr>
      <w:r>
        <w:rPr>
          <w:rFonts w:ascii="Arial" w:cs="Arial" w:eastAsia="Arial" w:hAnsi="Arial"/>
          <w:sz w:val="18"/>
          <w:szCs w:val="18"/>
          <w:color w:val="0000FF"/>
        </w:rPr>
        <w:t>C/O VICTORY PARK CAPITAL ADVISORS, LLC</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20" w:type="dxa"/>
            <w:vAlign w:val="bottom"/>
          </w:tcPr>
          <w:p>
            <w:pPr>
              <w:ind w:left="220"/>
              <w:spacing w:after="0"/>
              <w:rPr>
                <w:sz w:val="20"/>
                <w:szCs w:val="20"/>
                <w:color w:val="auto"/>
              </w:rPr>
            </w:pPr>
            <w:r>
              <w:rPr>
                <w:rFonts w:ascii="Arial" w:cs="Arial" w:eastAsia="Arial" w:hAnsi="Arial"/>
                <w:sz w:val="18"/>
                <w:szCs w:val="18"/>
                <w:color w:val="0000FF"/>
              </w:rPr>
              <w:t>IL</w:t>
            </w:r>
          </w:p>
        </w:tc>
        <w:tc>
          <w:tcPr>
            <w:tcW w:w="1600" w:type="dxa"/>
            <w:vAlign w:val="bottom"/>
          </w:tcPr>
          <w:p>
            <w:pPr>
              <w:ind w:left="420"/>
              <w:spacing w:after="0"/>
              <w:rPr>
                <w:sz w:val="20"/>
                <w:szCs w:val="20"/>
                <w:color w:val="auto"/>
              </w:rPr>
            </w:pPr>
            <w:r>
              <w:rPr>
                <w:rFonts w:ascii="Arial" w:cs="Arial" w:eastAsia="Arial" w:hAnsi="Arial"/>
                <w:sz w:val="18"/>
                <w:szCs w:val="18"/>
                <w:color w:val="0000FF"/>
              </w:rPr>
              <w:t>60606</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6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8"/>
                <w:szCs w:val="8"/>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18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07/14/2023</w:t>
            </w:r>
          </w:p>
        </w:tc>
        <w:tc>
          <w:tcPr>
            <w:tcW w:w="196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880" w:type="dxa"/>
            <w:vAlign w:val="bottom"/>
            <w:gridSpan w:val="3"/>
            <w:vMerge w:val="continue"/>
          </w:tcPr>
          <w:p>
            <w:pPr>
              <w:spacing w:after="0"/>
              <w:rPr>
                <w:sz w:val="12"/>
                <w:szCs w:val="12"/>
                <w:color w:val="auto"/>
              </w:rPr>
            </w:pPr>
          </w:p>
        </w:tc>
        <w:tc>
          <w:tcPr>
            <w:tcW w:w="1960" w:type="dxa"/>
            <w:vAlign w:val="bottom"/>
          </w:tcPr>
          <w:p>
            <w:pPr>
              <w:spacing w:after="0"/>
              <w:rPr>
                <w:sz w:val="12"/>
                <w:szCs w:val="12"/>
                <w:color w:val="auto"/>
              </w:rPr>
            </w:pPr>
          </w:p>
        </w:tc>
        <w:tc>
          <w:tcPr>
            <w:tcW w:w="2120" w:type="dxa"/>
            <w:vAlign w:val="bottom"/>
            <w:gridSpan w:val="2"/>
            <w:vMerge w:val="restart"/>
          </w:tcPr>
          <w:p>
            <w:pPr>
              <w:ind w:left="11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0"/>
          <w:szCs w:val="20"/>
          <w:color w:val="auto"/>
        </w:rPr>
      </w:pPr>
    </w:p>
    <w:p>
      <w:pPr>
        <w:sectPr>
          <w:pgSz w:w="11900" w:h="16838" w:orient="portrait"/>
          <w:cols w:equalWidth="0" w:num="2">
            <w:col w:w="3760" w:space="80"/>
            <w:col w:w="7240"/>
          </w:cols>
          <w:pgMar w:left="460" w:top="226" w:right="359" w:bottom="14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8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96"/>
              </w:rPr>
              <w:t>Class A common stock, par value</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07/14/2023</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0000FF"/>
              </w:rPr>
              <w:t>S</w:t>
            </w: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400,000</w:t>
            </w:r>
            <w:r>
              <w:rPr>
                <w:rFonts w:ascii="Arial" w:cs="Arial" w:eastAsia="Arial" w:hAnsi="Arial"/>
                <w:sz w:val="22"/>
                <w:szCs w:val="22"/>
                <w:color w:val="008000"/>
                <w:vertAlign w:val="superscript"/>
              </w:rPr>
              <w:t>(1)</w:t>
            </w:r>
          </w:p>
        </w:tc>
        <w:tc>
          <w:tcPr>
            <w:tcW w:w="38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56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2.07</w:t>
            </w:r>
          </w:p>
        </w:tc>
        <w:tc>
          <w:tcPr>
            <w:tcW w:w="1180" w:type="dxa"/>
            <w:vAlign w:val="bottom"/>
            <w:gridSpan w:val="2"/>
            <w:vMerge w:val="restart"/>
          </w:tcPr>
          <w:p>
            <w:pPr>
              <w:ind w:left="220"/>
              <w:spacing w:after="0"/>
              <w:rPr>
                <w:sz w:val="20"/>
                <w:szCs w:val="20"/>
                <w:color w:val="auto"/>
              </w:rPr>
            </w:pPr>
            <w:r>
              <w:rPr>
                <w:rFonts w:ascii="Arial" w:cs="Arial" w:eastAsia="Arial" w:hAnsi="Arial"/>
                <w:sz w:val="18"/>
                <w:szCs w:val="18"/>
                <w:color w:val="0000FF"/>
              </w:rPr>
              <w:t>4,644,254</w:t>
            </w:r>
          </w:p>
        </w:tc>
        <w:tc>
          <w:tcPr>
            <w:tcW w:w="920" w:type="dxa"/>
            <w:vAlign w:val="bottom"/>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8"/>
              </w:rPr>
              <w:t>$0.0001 per share</w:t>
            </w: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348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2"/>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-1926590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 Sponsor,</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LLC</w:t>
        </w:r>
      </w:hyperlink>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CHICAGO</w:t>
            </w:r>
          </w:p>
        </w:tc>
        <w:tc>
          <w:tcPr>
            <w:tcW w:w="1280" w:type="dxa"/>
            <w:vAlign w:val="bottom"/>
          </w:tcPr>
          <w:p>
            <w:pPr>
              <w:spacing w:after="0"/>
              <w:rPr>
                <w:sz w:val="20"/>
                <w:szCs w:val="20"/>
                <w:color w:val="auto"/>
              </w:rPr>
            </w:pPr>
            <w:r>
              <w:rPr>
                <w:rFonts w:ascii="Arial" w:cs="Arial" w:eastAsia="Arial" w:hAnsi="Arial"/>
                <w:sz w:val="18"/>
                <w:szCs w:val="18"/>
                <w:color w:val="0000FF"/>
              </w:rPr>
              <w:t>IL</w:t>
            </w:r>
          </w:p>
        </w:tc>
        <w:tc>
          <w:tcPr>
            <w:tcW w:w="1480" w:type="dxa"/>
            <w:vAlign w:val="bottom"/>
          </w:tcPr>
          <w:p>
            <w:pPr>
              <w:ind w:left="120"/>
              <w:spacing w:after="0"/>
              <w:rPr>
                <w:sz w:val="20"/>
                <w:szCs w:val="20"/>
                <w:color w:val="auto"/>
              </w:rPr>
            </w:pPr>
            <w:r>
              <w:rPr>
                <w:rFonts w:ascii="Arial" w:cs="Arial" w:eastAsia="Arial" w:hAnsi="Arial"/>
                <w:sz w:val="18"/>
                <w:szCs w:val="18"/>
                <w:color w:val="0000FF"/>
              </w:rPr>
              <w:t>60606</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8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1"/>
              </w:rPr>
            </w:pPr>
            <w:hyperlink r:id="rId15">
              <w:r>
                <w:rPr>
                  <w:rFonts w:ascii="Arial" w:cs="Arial" w:eastAsia="Arial" w:hAnsi="Arial"/>
                  <w:sz w:val="22"/>
                  <w:szCs w:val="22"/>
                  <w:color w:val="0000EE"/>
                  <w:w w:val="91"/>
                </w:rPr>
                <w:t>Levy Richard N</w:t>
              </w:r>
            </w:hyperlink>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080"/>
          </w:cols>
          <w:pgMar w:left="460" w:top="226" w:right="359" w:bottom="145"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CHICAGO</w:t>
      </w:r>
      <w:r>
        <w:rPr>
          <w:sz w:val="20"/>
          <w:szCs w:val="20"/>
          <w:color w:val="auto"/>
        </w:rPr>
        <w:tab/>
      </w:r>
      <w:r>
        <w:rPr>
          <w:rFonts w:ascii="Arial" w:cs="Arial" w:eastAsia="Arial" w:hAnsi="Arial"/>
          <w:sz w:val="18"/>
          <w:szCs w:val="18"/>
          <w:color w:val="0000FF"/>
        </w:rPr>
        <w:t>IL</w:t>
      </w:r>
      <w:r>
        <w:rPr>
          <w:sz w:val="20"/>
          <w:szCs w:val="20"/>
          <w:color w:val="auto"/>
        </w:rPr>
        <w:tab/>
      </w:r>
      <w:r>
        <w:rPr>
          <w:rFonts w:ascii="Arial" w:cs="Arial" w:eastAsia="Arial" w:hAnsi="Arial"/>
          <w:sz w:val="15"/>
          <w:szCs w:val="15"/>
          <w:color w:val="0000FF"/>
        </w:rPr>
        <w:t>60606</w:t>
      </w:r>
    </w:p>
    <w:p>
      <w:pPr>
        <w:sectPr>
          <w:pgSz w:w="11900" w:h="16838" w:orient="portrait"/>
          <w:cols w:equalWidth="0" w:num="1">
            <w:col w:w="11080"/>
          </w:cols>
          <w:pgMar w:left="460" w:top="226" w:right="359" w:bottom="145"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210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00" cy="21018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firstLine="9"/>
        <w:spacing w:after="0" w:line="230"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$1.88-2.18, inclusive. The reporting person hereby undertakes to provide upon request by the Securities Exchange Commission staff, the issuer, or a shareholder of the issuer, full information regarding the number of shares sold at each separate price.</w:t>
      </w:r>
    </w:p>
    <w:p>
      <w:pPr>
        <w:spacing w:after="0" w:line="31" w:lineRule="exact"/>
        <w:rPr>
          <w:rFonts w:ascii="Arial" w:cs="Arial" w:eastAsia="Arial" w:hAnsi="Arial"/>
          <w:sz w:val="14"/>
          <w:szCs w:val="14"/>
          <w:color w:val="008000"/>
        </w:rPr>
      </w:pPr>
    </w:p>
    <w:p>
      <w:pPr>
        <w:jc w:val="both"/>
        <w:ind w:right="220" w:firstLine="9"/>
        <w:spacing w:after="0" w:line="233"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580"/>
        <w:spacing w:after="0" w:line="239" w:lineRule="auto"/>
        <w:rPr>
          <w:sz w:val="20"/>
          <w:szCs w:val="20"/>
          <w:color w:val="auto"/>
        </w:rPr>
      </w:pPr>
      <w:r>
        <w:rPr>
          <w:rFonts w:ascii="Arial" w:cs="Arial" w:eastAsia="Arial" w:hAnsi="Arial"/>
          <w:sz w:val="14"/>
          <w:szCs w:val="14"/>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91"/>
              </w:rPr>
              <w:t>in-Fact for VPC Impact</w:t>
            </w:r>
          </w:p>
        </w:tc>
        <w:tc>
          <w:tcPr>
            <w:tcW w:w="360" w:type="dxa"/>
            <w:vAlign w:val="bottom"/>
            <w:gridSpan w:val="2"/>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07/14/2023</w:t>
            </w:r>
          </w:p>
        </w:tc>
        <w:tc>
          <w:tcPr>
            <w:tcW w:w="0" w:type="dxa"/>
            <w:vAlign w:val="bottom"/>
          </w:tcPr>
          <w:p>
            <w:pPr>
              <w:spacing w:after="0"/>
              <w:rPr>
                <w:sz w:val="1"/>
                <w:szCs w:val="1"/>
                <w:color w:val="auto"/>
              </w:rPr>
            </w:pPr>
          </w:p>
        </w:tc>
      </w:tr>
      <w:tr>
        <w:trPr>
          <w:trHeight w:val="88"/>
        </w:trPr>
        <w:tc>
          <w:tcPr>
            <w:tcW w:w="15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Acquisition Holdings</w:t>
            </w:r>
          </w:p>
        </w:tc>
        <w:tc>
          <w:tcPr>
            <w:tcW w:w="520" w:type="dxa"/>
            <w:vAlign w:val="bottom"/>
            <w:gridSpan w:val="3"/>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gridSpan w:val="2"/>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Sponsor, LLC</w:t>
            </w:r>
          </w:p>
        </w:tc>
        <w:tc>
          <w:tcPr>
            <w:tcW w:w="10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07/14/2023</w:t>
            </w:r>
          </w:p>
        </w:tc>
        <w:tc>
          <w:tcPr>
            <w:tcW w:w="0" w:type="dxa"/>
            <w:vAlign w:val="bottom"/>
          </w:tcPr>
          <w:p>
            <w:pPr>
              <w:spacing w:after="0"/>
              <w:rPr>
                <w:sz w:val="1"/>
                <w:szCs w:val="1"/>
                <w:color w:val="auto"/>
              </w:rPr>
            </w:pPr>
          </w:p>
        </w:tc>
      </w:tr>
      <w:tr>
        <w:trPr>
          <w:trHeight w:val="88"/>
        </w:trPr>
        <w:tc>
          <w:tcPr>
            <w:tcW w:w="198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w w:val="91"/>
              </w:rPr>
              <w:t>in-Fact for Richard N. Levy</w:t>
            </w:r>
          </w:p>
        </w:tc>
        <w:tc>
          <w:tcPr>
            <w:tcW w:w="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40" w:type="dxa"/>
            <w:vAlign w:val="bottom"/>
            <w:gridSpan w:val="5"/>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69"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Exhibit 99.1</w:t>
      </w:r>
    </w:p>
    <w:p>
      <w:pPr>
        <w:spacing w:after="0" w:line="24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Joint Filer Information</w:t>
      </w:r>
    </w:p>
    <w:p>
      <w:pPr>
        <w:sectPr>
          <w:pgSz w:w="11900" w:h="16838" w:orient="portrait"/>
          <w:cols w:equalWidth="0" w:num="1">
            <w:col w:w="9999"/>
          </w:cols>
          <w:pgMar w:left="460" w:top="125" w:right="1440"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VPC Impact Acquisition Holdings Sponsor, LLC</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 Victory Park Capital Advisors, LLC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150 North Riverside Plaza, Suite 5200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Relationship of Joint Filer to Issuer:  Director </w:t>
      </w:r>
      <w:r>
        <w:rPr>
          <w:rFonts w:ascii="Arial" w:cs="Arial" w:eastAsia="Arial" w:hAnsi="Arial"/>
          <w:sz w:val="16"/>
          <w:szCs w:val="16"/>
          <w:b w:val="1"/>
          <w:bCs w:val="1"/>
          <w:color w:val="auto"/>
        </w:rPr>
        <w:t>(See Remarks)</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 [BKKT]</w:t>
      </w:r>
    </w:p>
    <w:p>
      <w:pPr>
        <w:spacing w:after="0" w:line="237" w:lineRule="exact"/>
        <w:rPr>
          <w:sz w:val="20"/>
          <w:szCs w:val="20"/>
          <w:color w:val="auto"/>
        </w:rPr>
      </w:pPr>
    </w:p>
    <w:p>
      <w:pPr>
        <w:sectPr>
          <w:pgSz w:w="11900" w:h="16838" w:orient="portrait"/>
          <w:cols w:equalWidth="0" w:num="2">
            <w:col w:w="1740" w:space="720"/>
            <w:col w:w="7539"/>
          </w:cols>
          <w:pgMar w:left="460" w:top="125" w:right="1440" w:bottom="1440" w:gutter="0" w:footer="0" w:header="0"/>
          <w:type w:val="continuous"/>
        </w:sectPr>
      </w:pPr>
    </w:p>
    <w:p>
      <w:pPr>
        <w:spacing w:after="0"/>
        <w:rPr>
          <w:sz w:val="20"/>
          <w:szCs w:val="20"/>
          <w:color w:val="auto"/>
        </w:rPr>
      </w:pPr>
      <w:r>
        <w:rPr>
          <w:rFonts w:ascii="Arial" w:cs="Arial" w:eastAsia="Arial" w:hAnsi="Arial"/>
          <w:sz w:val="18"/>
          <w:szCs w:val="18"/>
          <w:color w:val="auto"/>
        </w:rPr>
        <w:t>Date of Event Requiring Statement:</w:t>
      </w:r>
    </w:p>
    <w:p>
      <w:pPr>
        <w:spacing w:after="0" w:line="24" w:lineRule="exact"/>
        <w:rPr>
          <w:sz w:val="20"/>
          <w:szCs w:val="20"/>
          <w:color w:val="auto"/>
        </w:rPr>
      </w:pPr>
    </w:p>
    <w:p>
      <w:pPr>
        <w:spacing w:after="0"/>
        <w:tabs>
          <w:tab w:leader="none" w:pos="2400" w:val="left"/>
        </w:tabs>
        <w:rPr>
          <w:sz w:val="20"/>
          <w:szCs w:val="20"/>
          <w:color w:val="auto"/>
        </w:rPr>
      </w:pPr>
      <w:r>
        <w:rPr>
          <w:rFonts w:ascii="Arial" w:cs="Arial" w:eastAsia="Arial" w:hAnsi="Arial"/>
          <w:sz w:val="16"/>
          <w:szCs w:val="16"/>
          <w:color w:val="auto"/>
        </w:rPr>
        <w:t>(Month/Day/Year):</w:t>
      </w:r>
      <w:r>
        <w:rPr>
          <w:sz w:val="20"/>
          <w:szCs w:val="20"/>
          <w:color w:val="auto"/>
        </w:rPr>
        <w:tab/>
      </w:r>
      <w:r>
        <w:rPr>
          <w:rFonts w:ascii="Arial" w:cs="Arial" w:eastAsia="Arial" w:hAnsi="Arial"/>
          <w:sz w:val="16"/>
          <w:szCs w:val="16"/>
          <w:color w:val="auto"/>
        </w:rPr>
        <w:t>07/14/2023</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Richard N. Levy</w:t>
      </w:r>
    </w:p>
    <w:p>
      <w:pPr>
        <w:spacing w:after="0" w:line="200" w:lineRule="exact"/>
        <w:rPr>
          <w:sz w:val="20"/>
          <w:szCs w:val="20"/>
          <w:color w:val="auto"/>
        </w:rPr>
      </w:pPr>
    </w:p>
    <w:p>
      <w:pPr>
        <w:sectPr>
          <w:pgSz w:w="11900" w:h="16838" w:orient="portrait"/>
          <w:cols w:equalWidth="0" w:num="2">
            <w:col w:w="1700" w:space="720"/>
            <w:col w:w="7579"/>
          </w:cols>
          <w:pgMar w:left="460" w:top="125" w:right="1440"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 Victory Park Capital Advisors, LLC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150 North Riverside Plaza, Suite 5200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Relationship of Joint Filer to Issuer:  Director </w:t>
      </w:r>
      <w:r>
        <w:rPr>
          <w:rFonts w:ascii="Arial" w:cs="Arial" w:eastAsia="Arial" w:hAnsi="Arial"/>
          <w:sz w:val="16"/>
          <w:szCs w:val="16"/>
          <w:b w:val="1"/>
          <w:bCs w:val="1"/>
          <w:color w:val="auto"/>
        </w:rPr>
        <w:t>(See Remarks)</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 [BKKT]</w:t>
      </w:r>
    </w:p>
    <w:p>
      <w:pPr>
        <w:spacing w:after="0" w:line="312" w:lineRule="exact"/>
        <w:rPr>
          <w:sz w:val="20"/>
          <w:szCs w:val="20"/>
          <w:color w:val="auto"/>
        </w:rPr>
      </w:pPr>
    </w:p>
    <w:p>
      <w:pPr>
        <w:sectPr>
          <w:pgSz w:w="11900" w:h="16838" w:orient="portrait"/>
          <w:cols w:equalWidth="0" w:num="2">
            <w:col w:w="1740" w:space="720"/>
            <w:col w:w="7539"/>
          </w:cols>
          <w:pgMar w:left="460" w:top="125"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w:t>
      </w:r>
    </w:p>
    <w:p>
      <w:pPr>
        <w:spacing w:after="0" w:line="24" w:lineRule="exact"/>
        <w:rPr>
          <w:sz w:val="20"/>
          <w:szCs w:val="20"/>
          <w:color w:val="auto"/>
        </w:rPr>
      </w:pPr>
    </w:p>
    <w:p>
      <w:pPr>
        <w:spacing w:after="0"/>
        <w:tabs>
          <w:tab w:leader="none" w:pos="2460" w:val="left"/>
        </w:tabs>
        <w:rPr>
          <w:sz w:val="20"/>
          <w:szCs w:val="20"/>
          <w:color w:val="auto"/>
        </w:rPr>
      </w:pPr>
      <w:r>
        <w:rPr>
          <w:rFonts w:ascii="Arial" w:cs="Arial" w:eastAsia="Arial" w:hAnsi="Arial"/>
          <w:sz w:val="16"/>
          <w:szCs w:val="16"/>
          <w:color w:val="auto"/>
        </w:rPr>
        <w:t>(Month/Day/Year):</w:t>
      </w:r>
      <w:r>
        <w:rPr>
          <w:sz w:val="20"/>
          <w:szCs w:val="20"/>
          <w:color w:val="auto"/>
        </w:rPr>
        <w:tab/>
      </w:r>
      <w:r>
        <w:rPr>
          <w:rFonts w:ascii="Arial" w:cs="Arial" w:eastAsia="Arial" w:hAnsi="Arial"/>
          <w:sz w:val="16"/>
          <w:szCs w:val="16"/>
          <w:color w:val="auto"/>
        </w:rPr>
        <w:t>07/14/2023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69875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987540" cy="42545"/>
                    </a:xfrm>
                    <a:prstGeom prst="rect">
                      <a:avLst/>
                    </a:prstGeom>
                    <a:noFill/>
                  </pic:spPr>
                </pic:pic>
              </a:graphicData>
            </a:graphic>
          </wp:anchor>
        </w:drawing>
      </w:r>
    </w:p>
    <w:sectPr>
      <w:pgSz w:w="11900" w:h="16838" w:orient="portrait"/>
      <w:cols w:equalWidth="0" w:num="1">
        <w:col w:w="9999"/>
      </w:cols>
      <w:pgMar w:left="46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2023-07-14T16:47:18Z</dcterms:created>
  <dcterms:modified xsi:type="dcterms:W3CDTF">2023-07-14T16:47:18Z</dcterms:modified>
</cp:coreProperties>
</file>