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September 17, 2021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is a press release issued by VPC Impact Acquisition Holdings on September 17, 2021:</w:t>
      </w:r>
    </w:p>
    <w:p>
      <w:pPr>
        <w:spacing w:after="0" w:line="113" w:lineRule="exact"/>
        <w:rPr>
          <w:sz w:val="24"/>
          <w:szCs w:val="24"/>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VPC Impact Acquisition Holdings and Bakkt Holdings, LLC Announce Effectiveness of Registration Statement and Special Meeting Date for Proposed Business Combination</w:t>
      </w:r>
    </w:p>
    <w:p>
      <w:pPr>
        <w:spacing w:after="0" w:line="71" w:lineRule="exact"/>
        <w:rPr>
          <w:sz w:val="24"/>
          <w:szCs w:val="24"/>
          <w:color w:val="auto"/>
        </w:rPr>
      </w:pPr>
    </w:p>
    <w:p>
      <w:pPr>
        <w:ind w:left="960" w:right="4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Special meeting of VPC Impact Acquisition Holdings’ stockholders to approve the proposed business combination with Bakkt to be held on October 14, 2021</w:t>
      </w:r>
    </w:p>
    <w:p>
      <w:pPr>
        <w:spacing w:after="0" w:line="170" w:lineRule="exact"/>
        <w:rPr>
          <w:sz w:val="24"/>
          <w:szCs w:val="24"/>
          <w:color w:val="auto"/>
        </w:rPr>
      </w:pPr>
    </w:p>
    <w:p>
      <w:pPr>
        <w:ind w:right="160"/>
        <w:spacing w:after="0" w:line="257" w:lineRule="auto"/>
        <w:rPr>
          <w:sz w:val="20"/>
          <w:szCs w:val="20"/>
          <w:color w:val="auto"/>
        </w:rPr>
      </w:pPr>
      <w:r>
        <w:rPr>
          <w:rFonts w:ascii="Arial" w:cs="Arial" w:eastAsia="Arial" w:hAnsi="Arial"/>
          <w:sz w:val="18"/>
          <w:szCs w:val="18"/>
          <w:color w:val="auto"/>
        </w:rPr>
        <w:t>CHICAGO, IL &amp; ALPHARETTA, GA – September 17, 2021 – VPC Impact Acquisition Holdings (NASDAQ: VIHAU, VIH and VIHAW) (“VIH”), a publicly-traded special purpose acquisition company, and Bakkt Holdings, LLC (“Bakkt”), the digital asset marketplace founded in 2018, announced today that the U.S. Securities and Exchange Commission (“SEC”) has declared effective VIH’s Registration Statement on Form S-4 (the “Registration Statement”), as amended, which was filed in connection with VIH’s previously announced business combination (the “Business Combination”) with Bakkt.</w:t>
      </w:r>
    </w:p>
    <w:p>
      <w:pPr>
        <w:spacing w:after="0" w:line="188"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An extraordinary general meeting of VIH shareholders (the “Special Meeting”) to approve, among other things, the proposed business combination, will be held at 10:00 a.m. Eastern Time on Thursday, October 14, 2021. VIH will file with the SEC a definitive proxy statement/prospectus relating to the Special Meeting, which mailing is expected to commence on or about September 20, 2021 to VIH shareholders of record as of the close of business on September 14, 2021.</w:t>
      </w:r>
    </w:p>
    <w:p>
      <w:pPr>
        <w:spacing w:after="0" w:line="187" w:lineRule="exact"/>
        <w:rPr>
          <w:sz w:val="24"/>
          <w:szCs w:val="24"/>
          <w:color w:val="auto"/>
        </w:rPr>
      </w:pPr>
    </w:p>
    <w:p>
      <w:pPr>
        <w:ind w:right="420"/>
        <w:spacing w:after="0" w:line="259" w:lineRule="auto"/>
        <w:rPr>
          <w:sz w:val="20"/>
          <w:szCs w:val="20"/>
          <w:color w:val="auto"/>
        </w:rPr>
      </w:pPr>
      <w:r>
        <w:rPr>
          <w:rFonts w:ascii="Arial" w:cs="Arial" w:eastAsia="Arial" w:hAnsi="Arial"/>
          <w:sz w:val="18"/>
          <w:szCs w:val="18"/>
          <w:color w:val="auto"/>
        </w:rPr>
        <w:t>“We are thrilled to have reached this milestone and look forward to successfully completing the proposed business combination with VIH,” said Gavin Michael, Chief Executive Officer of Bakkt. “I want to thank our team members for their dedication, as we would not be here without their tremendous efforts. Now more than ever, we remain excited about the unique growth opportunities ahead for our business, and are laser focused on furthering our vision of connecting the digital economy.”</w:t>
      </w:r>
    </w:p>
    <w:p>
      <w:pPr>
        <w:spacing w:after="0" w:line="187" w:lineRule="exact"/>
        <w:rPr>
          <w:sz w:val="24"/>
          <w:szCs w:val="24"/>
          <w:color w:val="auto"/>
        </w:rPr>
      </w:pPr>
    </w:p>
    <w:p>
      <w:pPr>
        <w:ind w:right="220"/>
        <w:spacing w:after="0" w:line="301" w:lineRule="auto"/>
        <w:rPr>
          <w:sz w:val="20"/>
          <w:szCs w:val="20"/>
          <w:color w:val="auto"/>
        </w:rPr>
      </w:pPr>
      <w:r>
        <w:rPr>
          <w:rFonts w:ascii="Arial" w:cs="Arial" w:eastAsia="Arial" w:hAnsi="Arial"/>
          <w:sz w:val="16"/>
          <w:szCs w:val="16"/>
          <w:color w:val="auto"/>
        </w:rPr>
        <w:t>“Bakkt has an incredibly unique business model and value proposition, and continues to unlock new ways for consumers, business and financial institutions to participate in the digital economy,” said John Martin, Chief Executive Officer of VPC Impact Acquisition Holdings. “The company is a leader in this rapidly growing market of digital assets and has continued to advance its platform and partnership universe. As Bakkt becomes a public company, we believe there are significant opportunities ahead and look forward to supporting the company in this next phase of growth.”</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 xml:space="preserve">Bakkt® is a trusted digital asset marketplace that enables institutions and consumers to buy, sell, store and spend digital assets. Bakkt’s retail platform, now available through the recently-released Bakkt App, amplifies consumer spending, reduces payment costs, and bolsters loyalty programs, adding value for all key stakeholders within the Bakkt payments and digital assets ecosystem. Launched in 2018 by </w:t>
      </w:r>
      <w:r>
        <w:rPr>
          <w:rFonts w:ascii="Arial" w:cs="Arial" w:eastAsia="Arial" w:hAnsi="Arial"/>
          <w:sz w:val="18"/>
          <w:szCs w:val="18"/>
          <w:u w:val="single" w:color="auto"/>
          <w:color w:val="auto"/>
        </w:rPr>
        <w:t>Intercontinental Exchange, Inc.</w:t>
      </w:r>
      <w:r>
        <w:rPr>
          <w:rFonts w:ascii="Arial" w:cs="Arial" w:eastAsia="Arial" w:hAnsi="Arial"/>
          <w:sz w:val="18"/>
          <w:szCs w:val="18"/>
          <w:color w:val="auto"/>
        </w:rPr>
        <w:t xml:space="preserve">, Bakkt is headquartered in Alpharetta, GA. For more information, visit: </w:t>
      </w:r>
      <w:r>
        <w:rPr>
          <w:rFonts w:ascii="Arial" w:cs="Arial" w:eastAsia="Arial" w:hAnsi="Arial"/>
          <w:sz w:val="18"/>
          <w:szCs w:val="18"/>
          <w:u w:val="single" w:color="auto"/>
          <w:color w:val="auto"/>
        </w:rPr>
        <w:t>http://www.bakkt.com/</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VPC Impact Acquisition Holdings</w:t>
      </w:r>
    </w:p>
    <w:p>
      <w:pPr>
        <w:spacing w:after="0" w:line="121" w:lineRule="exact"/>
        <w:rPr>
          <w:sz w:val="24"/>
          <w:szCs w:val="24"/>
          <w:color w:val="auto"/>
        </w:rPr>
      </w:pPr>
    </w:p>
    <w:p>
      <w:pPr>
        <w:jc w:val="both"/>
        <w:ind w:right="280"/>
        <w:spacing w:after="0" w:line="259" w:lineRule="auto"/>
        <w:rPr>
          <w:sz w:val="20"/>
          <w:szCs w:val="20"/>
          <w:color w:val="auto"/>
        </w:rPr>
      </w:pPr>
      <w:r>
        <w:rPr>
          <w:rFonts w:ascii="Arial" w:cs="Arial" w:eastAsia="Arial" w:hAnsi="Arial"/>
          <w:sz w:val="18"/>
          <w:szCs w:val="18"/>
          <w:color w:val="auto"/>
        </w:rPr>
        <w:t>VPC Impact Acquisition Holdings’ sponsor is an affiliate of Victory Park Capital, a global investment firm with a long track record of executing debt and equity financing transactions with some of the largest global Fintech companies. The firm was founded in 2007 and is headquartered in Chicago with additional resources in New York, Los Angeles and Austin. Victory Park Capital is privately held and a Registered Investment Advisor with the SEC.</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4"/>
          <w:szCs w:val="24"/>
          <w:color w:val="auto"/>
        </w:rPr>
      </w:pPr>
    </w:p>
    <w:p>
      <w:pPr>
        <w:jc w:val="both"/>
        <w:ind w:right="140"/>
        <w:spacing w:after="0" w:line="263" w:lineRule="auto"/>
        <w:rPr>
          <w:sz w:val="20"/>
          <w:szCs w:val="20"/>
          <w:color w:val="auto"/>
        </w:rPr>
      </w:pPr>
      <w:r>
        <w:rPr>
          <w:rFonts w:ascii="Arial" w:cs="Arial" w:eastAsia="Arial" w:hAnsi="Arial"/>
          <w:sz w:val="18"/>
          <w:szCs w:val="18"/>
          <w:color w:val="auto"/>
        </w:rPr>
        <w:t>This communication relates to the proposed transactions between VIH and Bakkt, is for informational purposes only and shall not constitute an offer to sell or exchange, or the solicitation of an offer to buy or exchange, any securities pursuant to the proposed business combination or otherwise, nor shall there be</w:t>
      </w:r>
    </w:p>
    <w:p>
      <w:pPr>
        <w:sectPr>
          <w:pgSz w:w="11900" w:h="16838" w:orient="portrait"/>
          <w:cols w:equalWidth="0" w:num="1">
            <w:col w:w="11020"/>
          </w:cols>
          <w:pgMar w:left="440" w:top="233" w:right="439" w:bottom="1440" w:gutter="0" w:footer="0" w:header="0"/>
        </w:sectPr>
      </w:pPr>
    </w:p>
    <w:bookmarkStart w:id="1" w:name="page2"/>
    <w:bookmarkEnd w:id="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sale of securities in any jurisdiction in which such offer, solicitation, sale or exchange would be unlawful prior to the registration or qualification under the securities laws of any such jurisdiction. In connection with the Business Combination, VIH has filed the prospectus with respect to changing VIH’s jurisdiction of incorporation from the Cayman Islands to the State of Delaware and proxy statement with respect to VIH’s shareholder meeting at which VIH shareholders will be asked to vote on the proposed Business Combination, which was included in the Registration Statement that the SEC has declared effective. VIH and Bakkt urge shareholders and other interested persons to read the proxy statement/prospectus, as well as other documents filed with the SEC, because these documents will contain important information about the Business Combination.</w:t>
      </w:r>
    </w:p>
    <w:p>
      <w:pPr>
        <w:spacing w:after="0" w:line="16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The definitive proxy statement/prospectus and other relevant materials for the Business Combination will be mailed to shareholders of VIH as of a record date to be established for voting on the Business Combination. VIH’s shareholders are also be able to obtain copies of the definitive proxy statement/prospectus and other documents filed with the SEC, without charge, once available,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These documents can also be obtained free of charge from VIH upon written request to VIH by emailing </w:t>
      </w:r>
      <w:r>
        <w:rPr>
          <w:rFonts w:ascii="Arial" w:cs="Arial" w:eastAsia="Arial" w:hAnsi="Arial"/>
          <w:sz w:val="17"/>
          <w:szCs w:val="17"/>
          <w:u w:val="single" w:color="auto"/>
          <w:color w:val="auto"/>
        </w:rPr>
        <w:t>vihinfo@victoryparkcapital.com</w:t>
      </w:r>
      <w:r>
        <w:rPr>
          <w:rFonts w:ascii="Arial" w:cs="Arial" w:eastAsia="Arial" w:hAnsi="Arial"/>
          <w:sz w:val="17"/>
          <w:szCs w:val="17"/>
          <w:color w:val="auto"/>
        </w:rPr>
        <w:t xml:space="preserve">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VIH, Bakkt and their respective directors, managers, executive officers and other members of their management and employees, under SEC rules, may be deemed to be participants in the solicitation of proxies of VIH shareholders in connection with the Business Combination. Information regarding the persons who may, under SEC rules, be deemed participants in the solicitation of proxies to VIH’s shareholders in connection with the Business Combination is set forth in the definitive proxy statement/prospectus for the Business Combination. Information concerning the interests of VIH and Bakkt’s participants in the solicitation, which may, in some cases, be different than those of VIH and Bakkt’s equity holders generally, is also set forth in the definitive proxy statement/prospectus for the Business Combination.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the timing of the closing of the Business Combination; our plans, objectives, expectations and intentions with respect to future operations;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Business Combination, including the implied enterprise value, the expected transaction and ownership structure and the likelihood and ability of the parties to successfully consummate the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 w:name="page3"/>
    <w:bookmarkEnd w:id="2"/>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Business Combination, including the occurrence of any event, change or other circumstances that could give rise to the termination of the definitive agreement; (ii) the inability to complete the Business Combination due to the failure to obtain approval of VIH’s shareholders, the failure to achieve the minimum amount of cash available following any redemptions by VIH’s shareholders or the failure to meet the national stock exchange’s listing standards in connection with the consummation of the Business Combination; (iii) costs related to the Business Combination; (iv) a delay or failure to realize the expected benefits from the Business Combination;</w:t>
      </w:r>
    </w:p>
    <w:p>
      <w:pPr>
        <w:spacing w:after="0" w:line="2" w:lineRule="exact"/>
        <w:rPr>
          <w:sz w:val="20"/>
          <w:szCs w:val="20"/>
          <w:color w:val="auto"/>
        </w:rPr>
      </w:pPr>
    </w:p>
    <w:p>
      <w:pPr>
        <w:ind w:left="4" w:right="120" w:hanging="4"/>
        <w:spacing w:after="0" w:line="288"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related to disruption of management time from ongoing business operations due to the Business Combination;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and (x) risks relating to data security. The foregoing list of factors is not exhaustive. You should carefully consider the foregoing factors and the other risks and uncertainties described in the “Risk Factors” section of the Registration Statement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68" w:lineRule="exact"/>
        <w:rPr>
          <w:sz w:val="20"/>
          <w:szCs w:val="20"/>
          <w:color w:val="auto"/>
        </w:rPr>
      </w:pPr>
    </w:p>
    <w:p>
      <w:pPr>
        <w:ind w:left="4" w:right="100"/>
        <w:spacing w:after="0" w:line="288" w:lineRule="auto"/>
        <w:rPr>
          <w:sz w:val="20"/>
          <w:szCs w:val="20"/>
          <w:color w:val="auto"/>
        </w:rPr>
      </w:pPr>
      <w:r>
        <w:rPr>
          <w:rFonts w:ascii="Arial" w:cs="Arial" w:eastAsia="Arial" w:hAnsi="Arial"/>
          <w:sz w:val="16"/>
          <w:szCs w:val="16"/>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VIH and Bakkt disclaim any intention or obligation to update any forward-looking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 Bakkt: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Ann DeVries, Head of Investor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ann.devries@bakkt.com</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BakkIR@edelman.com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Lauren Post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Lauren.Post@bakkt.com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 VIH: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vihinfo@victoryparkcapital.com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Julia Fisher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Julia.Fisher@edelman.com</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2021-09-20T05:11:16Z</dcterms:created>
  <dcterms:modified xsi:type="dcterms:W3CDTF">2021-09-20T05:11:16Z</dcterms:modified>
</cp:coreProperties>
</file>