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0"/>
          <w:szCs w:val="20"/>
          <w:b w:val="1"/>
          <w:bCs w:val="1"/>
          <w:color w:val="auto"/>
        </w:rPr>
        <w:t>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0" w:lineRule="exact"/>
        <w:rPr>
          <w:sz w:val="24"/>
          <w:szCs w:val="24"/>
          <w:color w:val="auto"/>
        </w:rPr>
      </w:pPr>
    </w:p>
    <w:p>
      <w:pPr>
        <w:ind w:left="4640"/>
        <w:spacing w:after="0"/>
        <w:rPr>
          <w:sz w:val="20"/>
          <w:szCs w:val="20"/>
          <w:color w:val="auto"/>
        </w:rPr>
      </w:pPr>
      <w:r>
        <w:rPr>
          <w:rFonts w:ascii="Arial" w:cs="Arial" w:eastAsia="Arial" w:hAnsi="Arial"/>
          <w:sz w:val="20"/>
          <w:szCs w:val="20"/>
          <w:b w:val="1"/>
          <w:bCs w:val="1"/>
          <w:color w:val="auto"/>
        </w:rPr>
        <w:t>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77"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9" w:lineRule="exact"/>
        <w:rPr>
          <w:sz w:val="24"/>
          <w:szCs w:val="24"/>
          <w:color w:val="auto"/>
        </w:rPr>
      </w:pPr>
    </w:p>
    <w:p>
      <w:pPr>
        <w:ind w:left="360" w:hanging="334"/>
        <w:spacing w:after="0"/>
        <w:tabs>
          <w:tab w:leader="none" w:pos="360" w:val="left"/>
        </w:tabs>
        <w:numPr>
          <w:ilvl w:val="0"/>
          <w:numId w:val="2"/>
        </w:numPr>
        <w:rPr>
          <w:rFonts w:ascii="Arial" w:cs="Arial" w:eastAsia="Arial" w:hAnsi="Arial"/>
          <w:sz w:val="29"/>
          <w:szCs w:val="29"/>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219"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For the transition period from _________________ to _______________________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001-39544</w:t>
      </w:r>
    </w:p>
    <w:p>
      <w:pPr>
        <w:spacing w:after="0" w:line="23" w:lineRule="exact"/>
        <w:rPr>
          <w:sz w:val="24"/>
          <w:szCs w:val="24"/>
          <w:color w:val="auto"/>
        </w:rPr>
      </w:pPr>
    </w:p>
    <w:p>
      <w:pPr>
        <w:ind w:left="4640"/>
        <w:spacing w:after="0"/>
        <w:rPr>
          <w:sz w:val="20"/>
          <w:szCs w:val="20"/>
          <w:color w:val="auto"/>
        </w:rPr>
      </w:pPr>
      <w:r>
        <w:rPr>
          <w:rFonts w:ascii="Arial" w:cs="Arial" w:eastAsia="Arial" w:hAnsi="Arial"/>
          <w:sz w:val="20"/>
          <w:szCs w:val="20"/>
          <w:b w:val="1"/>
          <w:bCs w:val="1"/>
          <w:color w:val="auto"/>
        </w:rPr>
        <w:t>____________________</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Bakkt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20"/>
          <w:szCs w:val="20"/>
          <w:b w:val="1"/>
          <w:bCs w:val="1"/>
          <w:color w:val="auto"/>
        </w:rPr>
        <w:t>____________________</w:t>
      </w:r>
    </w:p>
    <w:p>
      <w:pPr>
        <w:spacing w:after="0" w:line="151"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48"/>
              <w:spacing w:after="0"/>
              <w:rPr>
                <w:sz w:val="20"/>
                <w:szCs w:val="20"/>
                <w:color w:val="auto"/>
              </w:rPr>
            </w:pPr>
            <w:r>
              <w:rPr>
                <w:rFonts w:ascii="Arial" w:cs="Arial" w:eastAsia="Arial" w:hAnsi="Arial"/>
                <w:sz w:val="14"/>
                <w:szCs w:val="14"/>
                <w:b w:val="1"/>
                <w:bCs w:val="1"/>
                <w:color w:val="auto"/>
              </w:rPr>
              <w:t>98-1550750</w:t>
            </w:r>
          </w:p>
        </w:tc>
        <w:tc>
          <w:tcPr>
            <w:tcW w:w="0" w:type="dxa"/>
            <w:vAlign w:val="bottom"/>
          </w:tcPr>
          <w:p>
            <w:pPr>
              <w:spacing w:after="0"/>
              <w:rPr>
                <w:sz w:val="1"/>
                <w:szCs w:val="1"/>
                <w:color w:val="auto"/>
              </w:rPr>
            </w:pPr>
          </w:p>
        </w:tc>
      </w:tr>
      <w:tr>
        <w:trPr>
          <w:trHeight w:val="160"/>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51"/>
        </w:trPr>
        <w:tc>
          <w:tcPr>
            <w:tcW w:w="4320" w:type="dxa"/>
            <w:vAlign w:val="bottom"/>
          </w:tcPr>
          <w:p>
            <w:pPr>
              <w:jc w:val="center"/>
              <w:ind w:right="1848"/>
              <w:spacing w:after="0" w:line="151" w:lineRule="exact"/>
              <w:rPr>
                <w:sz w:val="20"/>
                <w:szCs w:val="20"/>
                <w:color w:val="auto"/>
              </w:rPr>
            </w:pPr>
            <w:r>
              <w:rPr>
                <w:rFonts w:ascii="Arial" w:cs="Arial" w:eastAsia="Arial" w:hAnsi="Arial"/>
                <w:sz w:val="14"/>
                <w:szCs w:val="14"/>
                <w:b w:val="1"/>
                <w:bCs w:val="1"/>
                <w:color w:val="auto"/>
                <w:w w:val="92"/>
              </w:rPr>
              <w:t>10000 Avalon Boulevard, Suite 1000</w:t>
            </w:r>
          </w:p>
        </w:tc>
        <w:tc>
          <w:tcPr>
            <w:tcW w:w="30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30009</w:t>
            </w:r>
          </w:p>
        </w:tc>
        <w:tc>
          <w:tcPr>
            <w:tcW w:w="0" w:type="dxa"/>
            <w:vAlign w:val="bottom"/>
          </w:tcPr>
          <w:p>
            <w:pPr>
              <w:spacing w:after="0"/>
              <w:rPr>
                <w:sz w:val="1"/>
                <w:szCs w:val="1"/>
                <w:color w:val="auto"/>
              </w:rPr>
            </w:pPr>
          </w:p>
        </w:tc>
      </w:tr>
      <w:tr>
        <w:trPr>
          <w:trHeight w:val="186"/>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5"/>
              </w:rPr>
              <w:t>Alpharetta, Georgia</w:t>
            </w: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(678) 534-5849</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5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480" w:type="dxa"/>
            <w:vAlign w:val="bottom"/>
            <w:vMerge w:val="restart"/>
          </w:tcPr>
          <w:p>
            <w:pPr>
              <w:jc w:val="center"/>
              <w:ind w:right="648"/>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jc w:val="center"/>
              <w:ind w:right="168"/>
              <w:spacing w:after="0"/>
              <w:rPr>
                <w:sz w:val="20"/>
                <w:szCs w:val="20"/>
                <w:color w:val="auto"/>
              </w:rPr>
            </w:pPr>
            <w:r>
              <w:rPr>
                <w:rFonts w:ascii="Arial" w:cs="Arial" w:eastAsia="Arial" w:hAnsi="Arial"/>
                <w:sz w:val="14"/>
                <w:szCs w:val="14"/>
                <w:b w:val="1"/>
                <w:bCs w:val="1"/>
                <w:color w:val="auto"/>
                <w:w w:val="97"/>
              </w:rPr>
              <w:t>Trading</w:t>
            </w:r>
          </w:p>
        </w:tc>
        <w:tc>
          <w:tcPr>
            <w:tcW w:w="42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1"/>
              </w:rPr>
              <w:t>Symbol(s)</w:t>
            </w: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8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Class A Common Stock, par value $0.0001 per share</w:t>
            </w:r>
          </w:p>
        </w:tc>
        <w:tc>
          <w:tcPr>
            <w:tcW w:w="2500" w:type="dxa"/>
            <w:vAlign w:val="bottom"/>
          </w:tcPr>
          <w:p>
            <w:pPr>
              <w:jc w:val="center"/>
              <w:ind w:right="168"/>
              <w:spacing w:after="0"/>
              <w:rPr>
                <w:sz w:val="20"/>
                <w:szCs w:val="20"/>
                <w:color w:val="auto"/>
              </w:rPr>
            </w:pPr>
            <w:r>
              <w:rPr>
                <w:rFonts w:ascii="Arial" w:cs="Arial" w:eastAsia="Arial" w:hAnsi="Arial"/>
                <w:sz w:val="14"/>
                <w:szCs w:val="14"/>
                <w:b w:val="1"/>
                <w:bCs w:val="1"/>
                <w:color w:val="auto"/>
              </w:rPr>
              <w:t>BKKT</w:t>
            </w:r>
          </w:p>
        </w:tc>
        <w:tc>
          <w:tcPr>
            <w:tcW w:w="426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93"/>
        </w:trPr>
        <w:tc>
          <w:tcPr>
            <w:tcW w:w="448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Warrants to purchase Class A Common Stock</w:t>
            </w:r>
          </w:p>
        </w:tc>
        <w:tc>
          <w:tcPr>
            <w:tcW w:w="2500" w:type="dxa"/>
            <w:vAlign w:val="bottom"/>
          </w:tcPr>
          <w:p>
            <w:pPr>
              <w:jc w:val="center"/>
              <w:ind w:right="168"/>
              <w:spacing w:after="0"/>
              <w:rPr>
                <w:sz w:val="20"/>
                <w:szCs w:val="20"/>
                <w:color w:val="auto"/>
              </w:rPr>
            </w:pPr>
            <w:r>
              <w:rPr>
                <w:rFonts w:ascii="Arial" w:cs="Arial" w:eastAsia="Arial" w:hAnsi="Arial"/>
                <w:sz w:val="14"/>
                <w:szCs w:val="14"/>
                <w:b w:val="1"/>
                <w:bCs w:val="1"/>
                <w:color w:val="auto"/>
              </w:rPr>
              <w:t>BKKT WS</w:t>
            </w:r>
          </w:p>
        </w:tc>
        <w:tc>
          <w:tcPr>
            <w:tcW w:w="426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391"/>
        </w:trPr>
        <w:tc>
          <w:tcPr>
            <w:tcW w:w="448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w:t>
      </w:r>
    </w:p>
    <w:p>
      <w:pPr>
        <w:spacing w:after="0" w:line="21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123" w:lineRule="exact"/>
        <w:rPr>
          <w:sz w:val="24"/>
          <w:szCs w:val="24"/>
          <w:color w:val="auto"/>
        </w:rPr>
      </w:pPr>
    </w:p>
    <w:p>
      <w:pPr>
        <w:jc w:val="both"/>
        <w:ind w:right="20" w:firstLine="324"/>
        <w:spacing w:after="0" w:line="40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both"/>
        <w:ind w:firstLine="324"/>
        <w:spacing w:after="0" w:line="40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ind w:firstLine="324"/>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1" w:right="339" w:bottom="0" w:gutter="0" w:footer="0" w:header="0"/>
        </w:sectPr>
      </w:pPr>
    </w:p>
    <w:p>
      <w:pPr>
        <w:spacing w:after="0" w:line="9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42"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20"/>
                <w:szCs w:val="20"/>
                <w:color w:val="auto"/>
              </w:rPr>
            </w:pPr>
            <w:r>
              <w:rPr>
                <w:rFonts w:ascii="Arial" w:cs="Arial" w:eastAsia="Arial" w:hAnsi="Arial"/>
                <w:sz w:val="14"/>
                <w:szCs w:val="14"/>
                <w:color w:val="auto"/>
              </w:rPr>
              <w:t>o</w:t>
            </w:r>
          </w:p>
        </w:tc>
        <w:tc>
          <w:tcPr>
            <w:tcW w:w="4620" w:type="dxa"/>
            <w:vAlign w:val="bottom"/>
          </w:tcPr>
          <w:p>
            <w:pPr>
              <w:jc w:val="right"/>
              <w:spacing w:after="0"/>
              <w:rPr>
                <w:sz w:val="20"/>
                <w:szCs w:val="20"/>
                <w:color w:val="auto"/>
              </w:rPr>
            </w:pPr>
            <w:r>
              <w:rPr>
                <w:rFonts w:ascii="Arial" w:cs="Arial" w:eastAsia="Arial" w:hAnsi="Arial"/>
                <w:sz w:val="14"/>
                <w:szCs w:val="14"/>
                <w:color w:val="auto"/>
              </w:rPr>
              <w:t>Accelerated filer o</w:t>
            </w:r>
          </w:p>
        </w:tc>
      </w:tr>
      <w:tr>
        <w:trPr>
          <w:trHeight w:val="203"/>
        </w:trPr>
        <w:tc>
          <w:tcPr>
            <w:tcW w:w="3000" w:type="dxa"/>
            <w:vAlign w:val="bottom"/>
          </w:tcPr>
          <w:p>
            <w:pPr>
              <w:spacing w:after="0"/>
              <w:rPr>
                <w:sz w:val="20"/>
                <w:szCs w:val="20"/>
                <w:color w:val="auto"/>
              </w:rPr>
            </w:pPr>
            <w:r>
              <w:rPr>
                <w:rFonts w:ascii="Arial" w:cs="Arial" w:eastAsia="Arial" w:hAnsi="Arial"/>
                <w:sz w:val="14"/>
                <w:szCs w:val="14"/>
                <w:color w:val="auto"/>
              </w:rPr>
              <w:t>x</w:t>
            </w:r>
          </w:p>
        </w:tc>
        <w:tc>
          <w:tcPr>
            <w:tcW w:w="4620" w:type="dxa"/>
            <w:vAlign w:val="bottom"/>
          </w:tcPr>
          <w:p>
            <w:pPr>
              <w:jc w:val="right"/>
              <w:spacing w:after="0"/>
              <w:rPr>
                <w:sz w:val="20"/>
                <w:szCs w:val="20"/>
                <w:color w:val="auto"/>
              </w:rPr>
            </w:pPr>
            <w:r>
              <w:rPr>
                <w:rFonts w:ascii="Arial" w:cs="Arial" w:eastAsia="Arial" w:hAnsi="Arial"/>
                <w:sz w:val="14"/>
                <w:szCs w:val="14"/>
                <w:color w:val="auto"/>
              </w:rPr>
              <w:t>Smaller reporting company x</w:t>
            </w:r>
          </w:p>
        </w:tc>
      </w:tr>
      <w:tr>
        <w:trPr>
          <w:trHeight w:val="203"/>
        </w:trPr>
        <w:tc>
          <w:tcPr>
            <w:tcW w:w="3000" w:type="dxa"/>
            <w:vAlign w:val="bottom"/>
          </w:tcPr>
          <w:p>
            <w:pPr>
              <w:spacing w:after="0"/>
              <w:rPr>
                <w:sz w:val="20"/>
                <w:szCs w:val="20"/>
                <w:color w:val="auto"/>
              </w:rPr>
            </w:pPr>
            <w:r>
              <w:rPr>
                <w:rFonts w:ascii="Arial" w:cs="Arial" w:eastAsia="Arial" w:hAnsi="Arial"/>
                <w:sz w:val="14"/>
                <w:szCs w:val="14"/>
                <w:color w:val="auto"/>
              </w:rPr>
              <w:t>x</w:t>
            </w:r>
          </w:p>
        </w:tc>
        <w:tc>
          <w:tcPr>
            <w:tcW w:w="4620" w:type="dxa"/>
            <w:vAlign w:val="bottom"/>
          </w:tcPr>
          <w:p>
            <w:pPr>
              <w:spacing w:after="0"/>
              <w:rPr>
                <w:sz w:val="17"/>
                <w:szCs w:val="17"/>
                <w:color w:val="auto"/>
              </w:rPr>
            </w:pPr>
          </w:p>
        </w:tc>
      </w:tr>
    </w:tbl>
    <w:p>
      <w:pPr>
        <w:spacing w:after="0" w:line="196" w:lineRule="exact"/>
        <w:rPr>
          <w:sz w:val="24"/>
          <w:szCs w:val="24"/>
          <w:color w:val="auto"/>
        </w:rPr>
      </w:pPr>
    </w:p>
    <w:p>
      <w:pPr>
        <w:sectPr>
          <w:pgSz w:w="11900" w:h="16838" w:orient="portrait"/>
          <w:cols w:equalWidth="0" w:num="2">
            <w:col w:w="2680" w:space="720"/>
            <w:col w:w="7840"/>
          </w:cols>
          <w:pgMar w:left="320" w:top="231" w:right="339" w:bottom="0" w:gutter="0" w:footer="0" w:header="0"/>
          <w:type w:val="continuous"/>
        </w:sectPr>
      </w:pPr>
    </w:p>
    <w:p>
      <w:pPr>
        <w:jc w:val="both"/>
        <w:ind w:firstLine="324"/>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jc w:val="both"/>
        <w:ind w:right="20"/>
        <w:spacing w:after="0" w:line="29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66" w:lineRule="exact"/>
        <w:rPr>
          <w:sz w:val="24"/>
          <w:szCs w:val="24"/>
          <w:color w:val="auto"/>
        </w:rPr>
      </w:pPr>
    </w:p>
    <w:p>
      <w:pPr>
        <w:ind w:right="260" w:firstLine="324"/>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6" w:lineRule="exact"/>
        <w:rPr>
          <w:sz w:val="24"/>
          <w:szCs w:val="24"/>
          <w:color w:val="auto"/>
        </w:rPr>
      </w:pPr>
    </w:p>
    <w:p>
      <w:pPr>
        <w:ind w:right="560" w:firstLine="324"/>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5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136" w:lineRule="exact"/>
        <w:rPr>
          <w:sz w:val="24"/>
          <w:szCs w:val="24"/>
          <w:color w:val="auto"/>
        </w:rPr>
      </w:pPr>
    </w:p>
    <w:p>
      <w:pPr>
        <w:jc w:val="both"/>
        <w:ind w:firstLine="324"/>
        <w:spacing w:after="0" w:line="267"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2022 was approximately $160.1 million. Shares of the registrant’s Class A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84" w:lineRule="exact"/>
        <w:rPr>
          <w:sz w:val="24"/>
          <w:szCs w:val="24"/>
          <w:color w:val="auto"/>
        </w:rPr>
      </w:pPr>
    </w:p>
    <w:p>
      <w:pPr>
        <w:ind w:right="320" w:firstLine="324"/>
        <w:spacing w:after="0" w:line="293" w:lineRule="auto"/>
        <w:rPr>
          <w:sz w:val="20"/>
          <w:szCs w:val="20"/>
          <w:color w:val="auto"/>
        </w:rPr>
      </w:pPr>
      <w:r>
        <w:rPr>
          <w:rFonts w:ascii="Arial" w:cs="Arial" w:eastAsia="Arial" w:hAnsi="Arial"/>
          <w:sz w:val="14"/>
          <w:szCs w:val="14"/>
          <w:color w:val="auto"/>
        </w:rPr>
        <w:t>As of March 20, 2023, there were 82,287,949 shares of the registrant’s Class A common stock, 183,279,887 shares of Class V common stock, and 7,140,808 public warrants issued and outstanding.</w:t>
      </w:r>
    </w:p>
    <w:p>
      <w:pPr>
        <w:sectPr>
          <w:pgSz w:w="11900" w:h="16838" w:orient="portrait"/>
          <w:cols w:equalWidth="0" w:num="1">
            <w:col w:w="11240"/>
          </w:cols>
          <w:pgMar w:left="320" w:top="231"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Documents Incorporated by Reference</w:t>
      </w:r>
    </w:p>
    <w:p>
      <w:pPr>
        <w:spacing w:after="0" w:line="107" w:lineRule="exact"/>
        <w:rPr>
          <w:sz w:val="20"/>
          <w:szCs w:val="20"/>
          <w:color w:val="auto"/>
        </w:rPr>
      </w:pPr>
    </w:p>
    <w:p>
      <w:pPr>
        <w:ind w:firstLine="324"/>
        <w:spacing w:after="0" w:line="293" w:lineRule="auto"/>
        <w:rPr>
          <w:sz w:val="20"/>
          <w:szCs w:val="20"/>
          <w:color w:val="auto"/>
        </w:rPr>
      </w:pPr>
      <w:r>
        <w:rPr>
          <w:rFonts w:ascii="Arial" w:cs="Arial" w:eastAsia="Arial" w:hAnsi="Arial"/>
          <w:sz w:val="14"/>
          <w:szCs w:val="14"/>
          <w:color w:val="auto"/>
        </w:rPr>
        <w:t>Portions of the registrant’s Proxy Statement relating to the 2023 Annual Meeting of Stockholders are incorporated by reference into Part III of this Annual Report on Form 10-K. The Proxy Statement will be filed with the Securities and Exchange Commission within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48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948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rPr>
              <w:t>PART I</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94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60" w:type="dxa"/>
            <w:vAlign w:val="bottom"/>
          </w:tcPr>
          <w:p>
            <w:pPr>
              <w:ind w:left="20"/>
              <w:spacing w:after="0"/>
              <w:rPr>
                <w:sz w:val="20"/>
                <w:szCs w:val="20"/>
                <w:color w:val="auto"/>
              </w:rPr>
            </w:pPr>
            <w:r>
              <w:rPr>
                <w:rFonts w:ascii="Arial" w:cs="Arial" w:eastAsia="Arial" w:hAnsi="Arial"/>
                <w:sz w:val="18"/>
                <w:szCs w:val="18"/>
                <w:color w:val="auto"/>
              </w:rPr>
              <w:t>Item 1.</w:t>
            </w:r>
          </w:p>
        </w:tc>
        <w:tc>
          <w:tcPr>
            <w:tcW w:w="9480" w:type="dxa"/>
            <w:vAlign w:val="bottom"/>
          </w:tcPr>
          <w:p>
            <w:pPr>
              <w:ind w:left="180"/>
              <w:spacing w:after="0"/>
              <w:rPr>
                <w:sz w:val="20"/>
                <w:szCs w:val="20"/>
                <w:color w:val="auto"/>
              </w:rPr>
            </w:pPr>
            <w:r>
              <w:rPr>
                <w:rFonts w:ascii="Arial" w:cs="Arial" w:eastAsia="Arial" w:hAnsi="Arial"/>
                <w:sz w:val="18"/>
                <w:szCs w:val="18"/>
                <w:color w:val="auto"/>
              </w:rPr>
              <w:t>Business</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1A.</w:t>
            </w:r>
          </w:p>
        </w:tc>
        <w:tc>
          <w:tcPr>
            <w:tcW w:w="94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1B.</w:t>
            </w:r>
          </w:p>
        </w:tc>
        <w:tc>
          <w:tcPr>
            <w:tcW w:w="9480" w:type="dxa"/>
            <w:vAlign w:val="bottom"/>
          </w:tcPr>
          <w:p>
            <w:pPr>
              <w:ind w:left="180"/>
              <w:spacing w:after="0"/>
              <w:rPr>
                <w:sz w:val="20"/>
                <w:szCs w:val="20"/>
                <w:color w:val="auto"/>
              </w:rPr>
            </w:pPr>
            <w:r>
              <w:rPr>
                <w:rFonts w:ascii="Arial" w:cs="Arial" w:eastAsia="Arial" w:hAnsi="Arial"/>
                <w:sz w:val="18"/>
                <w:szCs w:val="18"/>
                <w:color w:val="auto"/>
              </w:rPr>
              <w:t>Unresolved Staff Comments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948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3.</w:t>
            </w:r>
          </w:p>
        </w:tc>
        <w:tc>
          <w:tcPr>
            <w:tcW w:w="94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9480" w:type="dxa"/>
            <w:vAlign w:val="bottom"/>
          </w:tcPr>
          <w:p>
            <w:pPr>
              <w:ind w:left="180"/>
              <w:spacing w:after="0"/>
              <w:rPr>
                <w:sz w:val="20"/>
                <w:szCs w:val="20"/>
                <w:color w:val="auto"/>
              </w:rPr>
            </w:pPr>
            <w:r>
              <w:rPr>
                <w:rFonts w:ascii="Arial" w:cs="Arial" w:eastAsia="Arial" w:hAnsi="Arial"/>
                <w:sz w:val="18"/>
                <w:szCs w:val="18"/>
                <w:color w:val="auto"/>
              </w:rPr>
              <w:t>Mine Safety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45"/>
        </w:trPr>
        <w:tc>
          <w:tcPr>
            <w:tcW w:w="860" w:type="dxa"/>
            <w:vAlign w:val="bottom"/>
          </w:tcPr>
          <w:p>
            <w:pPr>
              <w:spacing w:after="0"/>
              <w:rPr>
                <w:sz w:val="24"/>
                <w:szCs w:val="24"/>
                <w:color w:val="auto"/>
              </w:rPr>
            </w:pPr>
          </w:p>
        </w:tc>
        <w:tc>
          <w:tcPr>
            <w:tcW w:w="94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 w:type="dxa"/>
            <w:vAlign w:val="bottom"/>
          </w:tcPr>
          <w:p>
            <w:pPr>
              <w:ind w:left="20"/>
              <w:spacing w:after="0"/>
              <w:rPr>
                <w:sz w:val="20"/>
                <w:szCs w:val="20"/>
                <w:color w:val="auto"/>
              </w:rPr>
            </w:pPr>
            <w:r>
              <w:rPr>
                <w:rFonts w:ascii="Arial" w:cs="Arial" w:eastAsia="Arial" w:hAnsi="Arial"/>
                <w:sz w:val="18"/>
                <w:szCs w:val="18"/>
                <w:color w:val="auto"/>
              </w:rPr>
              <w:t>Item 5.</w:t>
            </w:r>
          </w:p>
        </w:tc>
        <w:tc>
          <w:tcPr>
            <w:tcW w:w="9480" w:type="dxa"/>
            <w:vAlign w:val="bottom"/>
          </w:tcPr>
          <w:p>
            <w:pPr>
              <w:ind w:left="1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7.</w:t>
            </w:r>
          </w:p>
        </w:tc>
        <w:tc>
          <w:tcPr>
            <w:tcW w:w="94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7A.</w:t>
            </w:r>
          </w:p>
        </w:tc>
        <w:tc>
          <w:tcPr>
            <w:tcW w:w="9480" w:type="dxa"/>
            <w:vAlign w:val="bottom"/>
          </w:tcPr>
          <w:p>
            <w:pPr>
              <w:ind w:left="180"/>
              <w:spacing w:after="0"/>
              <w:rPr>
                <w:sz w:val="20"/>
                <w:szCs w:val="20"/>
                <w:color w:val="auto"/>
              </w:rPr>
            </w:pPr>
            <w:r>
              <w:rPr>
                <w:rFonts w:ascii="Arial" w:cs="Arial" w:eastAsia="Arial" w:hAnsi="Arial"/>
                <w:sz w:val="18"/>
                <w:szCs w:val="18"/>
                <w:color w:val="auto"/>
              </w:rPr>
              <w:t>Qualitative and Quantitative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8.</w:t>
            </w:r>
          </w:p>
        </w:tc>
        <w:tc>
          <w:tcPr>
            <w:tcW w:w="9480" w:type="dxa"/>
            <w:vAlign w:val="bottom"/>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9.</w:t>
            </w:r>
          </w:p>
        </w:tc>
        <w:tc>
          <w:tcPr>
            <w:tcW w:w="9480" w:type="dxa"/>
            <w:vAlign w:val="bottom"/>
          </w:tcPr>
          <w:p>
            <w:pPr>
              <w:ind w:left="1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9A.</w:t>
            </w:r>
          </w:p>
        </w:tc>
        <w:tc>
          <w:tcPr>
            <w:tcW w:w="94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9B.</w:t>
            </w:r>
          </w:p>
        </w:tc>
        <w:tc>
          <w:tcPr>
            <w:tcW w:w="948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9C.</w:t>
            </w:r>
          </w:p>
        </w:tc>
        <w:tc>
          <w:tcPr>
            <w:tcW w:w="9480" w:type="dxa"/>
            <w:vAlign w:val="bottom"/>
          </w:tcPr>
          <w:p>
            <w:pPr>
              <w:ind w:left="1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9480" w:type="dxa"/>
            <w:vAlign w:val="bottom"/>
          </w:tcPr>
          <w:p>
            <w:pPr>
              <w:jc w:val="center"/>
              <w:ind w:left="7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 w:type="dxa"/>
            <w:vAlign w:val="bottom"/>
          </w:tcPr>
          <w:p>
            <w:pPr>
              <w:ind w:left="20"/>
              <w:spacing w:after="0"/>
              <w:rPr>
                <w:sz w:val="20"/>
                <w:szCs w:val="20"/>
                <w:color w:val="auto"/>
              </w:rPr>
            </w:pPr>
            <w:r>
              <w:rPr>
                <w:rFonts w:ascii="Arial" w:cs="Arial" w:eastAsia="Arial" w:hAnsi="Arial"/>
                <w:sz w:val="18"/>
                <w:szCs w:val="18"/>
                <w:color w:val="auto"/>
              </w:rPr>
              <w:t>Item 10.</w:t>
            </w:r>
          </w:p>
        </w:tc>
        <w:tc>
          <w:tcPr>
            <w:tcW w:w="9480" w:type="dxa"/>
            <w:vAlign w:val="bottom"/>
          </w:tcPr>
          <w:p>
            <w:pPr>
              <w:ind w:left="180"/>
              <w:spacing w:after="0"/>
              <w:rPr>
                <w:sz w:val="20"/>
                <w:szCs w:val="20"/>
                <w:color w:val="auto"/>
              </w:rPr>
            </w:pPr>
            <w:r>
              <w:rPr>
                <w:rFonts w:ascii="Arial" w:cs="Arial" w:eastAsia="Arial" w:hAnsi="Arial"/>
                <w:sz w:val="18"/>
                <w:szCs w:val="18"/>
                <w:color w:val="auto"/>
              </w:rPr>
              <w:t>Directors, Executive Officers and Corporate Governance</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11.</w:t>
            </w:r>
          </w:p>
        </w:tc>
        <w:tc>
          <w:tcPr>
            <w:tcW w:w="948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12.</w:t>
            </w:r>
          </w:p>
        </w:tc>
        <w:tc>
          <w:tcPr>
            <w:tcW w:w="9480" w:type="dxa"/>
            <w:vAlign w:val="bottom"/>
          </w:tcPr>
          <w:p>
            <w:pPr>
              <w:ind w:left="1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sz w:val="20"/>
                <w:szCs w:val="20"/>
                <w:color w:val="auto"/>
              </w:rPr>
            </w:pPr>
            <w:r>
              <w:rPr>
                <w:rFonts w:ascii="Arial" w:cs="Arial" w:eastAsia="Arial" w:hAnsi="Arial"/>
                <w:sz w:val="18"/>
                <w:szCs w:val="18"/>
                <w:color w:val="auto"/>
              </w:rPr>
              <w:t>Item 13.</w:t>
            </w:r>
          </w:p>
        </w:tc>
        <w:tc>
          <w:tcPr>
            <w:tcW w:w="9480" w:type="dxa"/>
            <w:vAlign w:val="bottom"/>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14.</w:t>
            </w:r>
          </w:p>
        </w:tc>
        <w:tc>
          <w:tcPr>
            <w:tcW w:w="9480" w:type="dxa"/>
            <w:vAlign w:val="bottom"/>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45"/>
        </w:trPr>
        <w:tc>
          <w:tcPr>
            <w:tcW w:w="860" w:type="dxa"/>
            <w:vAlign w:val="bottom"/>
          </w:tcPr>
          <w:p>
            <w:pPr>
              <w:spacing w:after="0"/>
              <w:rPr>
                <w:sz w:val="24"/>
                <w:szCs w:val="24"/>
                <w:color w:val="auto"/>
              </w:rPr>
            </w:pPr>
          </w:p>
        </w:tc>
        <w:tc>
          <w:tcPr>
            <w:tcW w:w="9480" w:type="dxa"/>
            <w:vAlign w:val="bottom"/>
          </w:tcPr>
          <w:p>
            <w:pPr>
              <w:jc w:val="center"/>
              <w:ind w:left="7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 w:type="dxa"/>
            <w:vAlign w:val="bottom"/>
          </w:tcPr>
          <w:p>
            <w:pPr>
              <w:ind w:left="20"/>
              <w:spacing w:after="0"/>
              <w:rPr>
                <w:sz w:val="20"/>
                <w:szCs w:val="20"/>
                <w:color w:val="auto"/>
              </w:rPr>
            </w:pPr>
            <w:r>
              <w:rPr>
                <w:rFonts w:ascii="Arial" w:cs="Arial" w:eastAsia="Arial" w:hAnsi="Arial"/>
                <w:sz w:val="18"/>
                <w:szCs w:val="18"/>
                <w:color w:val="auto"/>
              </w:rPr>
              <w:t>Item 15.</w:t>
            </w:r>
          </w:p>
        </w:tc>
        <w:tc>
          <w:tcPr>
            <w:tcW w:w="9480" w:type="dxa"/>
            <w:vAlign w:val="bottom"/>
          </w:tcPr>
          <w:p>
            <w:pPr>
              <w:ind w:left="180"/>
              <w:spacing w:after="0"/>
              <w:rPr>
                <w:sz w:val="20"/>
                <w:szCs w:val="20"/>
                <w:color w:val="auto"/>
              </w:rPr>
            </w:pPr>
            <w:r>
              <w:rPr>
                <w:rFonts w:ascii="Arial" w:cs="Arial" w:eastAsia="Arial" w:hAnsi="Arial"/>
                <w:sz w:val="18"/>
                <w:szCs w:val="18"/>
                <w:color w:val="auto"/>
              </w:rPr>
              <w:t>Exhibit and Financial Statement Schedules</w:t>
            </w: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Item 16.</w:t>
            </w:r>
          </w:p>
        </w:tc>
        <w:tc>
          <w:tcPr>
            <w:tcW w:w="9480" w:type="dxa"/>
            <w:vAlign w:val="bottom"/>
          </w:tcPr>
          <w:p>
            <w:pPr>
              <w:ind w:left="180"/>
              <w:spacing w:after="0"/>
              <w:rPr>
                <w:sz w:val="20"/>
                <w:szCs w:val="20"/>
                <w:color w:val="auto"/>
              </w:rPr>
            </w:pPr>
            <w:r>
              <w:rPr>
                <w:rFonts w:ascii="Arial" w:cs="Arial" w:eastAsia="Arial" w:hAnsi="Arial"/>
                <w:sz w:val="18"/>
                <w:szCs w:val="18"/>
                <w:color w:val="auto"/>
              </w:rPr>
              <w:t>Form 10-K Summary</w:t>
            </w: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918"/>
        </w:trPr>
        <w:tc>
          <w:tcPr>
            <w:tcW w:w="860" w:type="dxa"/>
            <w:vAlign w:val="bottom"/>
          </w:tcPr>
          <w:p>
            <w:pPr>
              <w:spacing w:after="0"/>
              <w:rPr>
                <w:sz w:val="24"/>
                <w:szCs w:val="24"/>
                <w:color w:val="auto"/>
              </w:rPr>
            </w:pPr>
          </w:p>
        </w:tc>
        <w:tc>
          <w:tcPr>
            <w:tcW w:w="9480" w:type="dxa"/>
            <w:vAlign w:val="bottom"/>
          </w:tcPr>
          <w:p>
            <w:pPr>
              <w:ind w:left="466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60" w:type="dxa"/>
            <w:vAlign w:val="bottom"/>
            <w:tcBorders>
              <w:bottom w:val="single" w:sz="8" w:color="9A9A9A"/>
            </w:tcBorders>
          </w:tcPr>
          <w:p>
            <w:pPr>
              <w:spacing w:after="0"/>
              <w:rPr>
                <w:sz w:val="8"/>
                <w:szCs w:val="8"/>
                <w:color w:val="auto"/>
              </w:rPr>
            </w:pPr>
          </w:p>
        </w:tc>
        <w:tc>
          <w:tcPr>
            <w:tcW w:w="94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Annual Report on Form 10-K may include, for example, statements about:</w:t>
      </w:r>
    </w:p>
    <w:p>
      <w:pPr>
        <w:spacing w:after="0" w:line="15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market for our products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and impact of our acquisition of Apex (as defined below);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These forward-looking statements are based on information available as of the date of this Annual Report on Form 10-K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business strategy;</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in which we compete, including with respect to our competitive landscape, technology evolution or changes in applicable laws or regulations;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57" w:lineRule="exact"/>
        <w:rPr>
          <w:rFonts w:ascii="Arial" w:cs="Arial" w:eastAsia="Arial" w:hAnsi="Arial"/>
          <w:sz w:val="18"/>
          <w:szCs w:val="18"/>
          <w:color w:val="auto"/>
        </w:rPr>
      </w:pPr>
    </w:p>
    <w:p>
      <w:pPr>
        <w:ind w:left="660" w:right="2520" w:hanging="328"/>
        <w:spacing w:after="0" w:line="29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the crypto market that subject us to additional risks, including the risk that banks may not provide banking services to us;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launch new services and products or to profitably expand into new markets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execute our growth strategies, including identifying and executing acquisitions and our initiatives to add new clients;</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all the necessary approvals to close our acquisition of Apex, successfully integrate the Apex business and employees, and to achieve the expected benefits from the acquisition;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extensive government regulation, oversight, licensure and appraisals;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 regulatory regime governing blockchain technologies and crypto;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inability to develop and maintain effective internal controls and procedures;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exposure to any liability, protracted and costly litigation or reputational damage relating to our data security;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goodwill or other intangible assets impairments on our operating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pandemics or other public health emergencies;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risks and uncertainties indicated in this Annual Report on Form 10-K, including those set forth under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0C0C0C"/>
        </w:rPr>
        <w:t>In this section and elsewhere in this Annual Report on Form 10-K, we use the following terms, which are defined as follows:</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Client </w:t>
      </w:r>
      <w:r>
        <w:rPr>
          <w:rFonts w:ascii="Arial" w:cs="Arial" w:eastAsia="Arial" w:hAnsi="Arial"/>
          <w:sz w:val="16"/>
          <w:szCs w:val="16"/>
          <w:color w:val="auto"/>
        </w:rPr>
        <w:t>means businesses with whom we contract to provide services to customers on our platform, and includes financial institutions, hedge funds,</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merchants, retailers, and other businesses (except in the accompanying </w:t>
      </w:r>
      <w:r>
        <w:rPr>
          <w:rFonts w:ascii="Arial" w:cs="Arial" w:eastAsia="Arial" w:hAnsi="Arial"/>
          <w:sz w:val="18"/>
          <w:szCs w:val="18"/>
          <w:color w:val="231F20"/>
        </w:rPr>
        <w:t>notes to the consolidated financial statements, where we refer to revenue</w:t>
      </w:r>
      <w:r>
        <w:rPr>
          <w:rFonts w:ascii="Arial" w:cs="Arial" w:eastAsia="Arial" w:hAnsi="Arial"/>
          <w:sz w:val="18"/>
          <w:szCs w:val="18"/>
          <w:color w:val="auto"/>
        </w:rPr>
        <w:t xml:space="preserve"> </w:t>
      </w:r>
      <w:r>
        <w:rPr>
          <w:rFonts w:ascii="Arial" w:cs="Arial" w:eastAsia="Arial" w:hAnsi="Arial"/>
          <w:sz w:val="18"/>
          <w:szCs w:val="18"/>
          <w:color w:val="231F20"/>
        </w:rPr>
        <w:t xml:space="preserve">earned from customers, instead of clients. The term customers is </w:t>
      </w:r>
      <w:r>
        <w:rPr>
          <w:rFonts w:ascii="Arial" w:cs="Arial" w:eastAsia="Arial" w:hAnsi="Arial"/>
          <w:sz w:val="18"/>
          <w:szCs w:val="18"/>
          <w:color w:val="000000"/>
        </w:rPr>
        <w:t>in accordance with the Financial Accounting Standards Board (“FASB”)</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Standards Codification (“ASC”) Topic </w:t>
      </w:r>
      <w:r>
        <w:rPr>
          <w:rFonts w:ascii="Arial" w:cs="Arial" w:eastAsia="Arial" w:hAnsi="Arial"/>
          <w:sz w:val="18"/>
          <w:szCs w:val="18"/>
          <w:color w:val="231F20"/>
        </w:rPr>
        <w:t>606,</w:t>
      </w:r>
      <w:r>
        <w:rPr>
          <w:rFonts w:ascii="Arial" w:cs="Arial" w:eastAsia="Arial" w:hAnsi="Arial"/>
          <w:sz w:val="18"/>
          <w:szCs w:val="18"/>
          <w:color w:val="000000"/>
        </w:rPr>
        <w:t xml:space="preserve">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w:t>
      </w:r>
    </w:p>
    <w:p>
      <w:pPr>
        <w:spacing w:after="0" w:line="62" w:lineRule="exact"/>
        <w:rPr>
          <w:rFonts w:ascii="Arial" w:cs="Arial" w:eastAsia="Arial" w:hAnsi="Arial"/>
          <w:sz w:val="16"/>
          <w:szCs w:val="16"/>
          <w:color w:val="auto"/>
        </w:rPr>
      </w:pPr>
    </w:p>
    <w:p>
      <w:pPr>
        <w:ind w:left="660" w:hanging="328"/>
        <w:spacing w:after="0" w:line="32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Cryptoassets </w:t>
      </w:r>
      <w:r>
        <w:rPr>
          <w:rFonts w:ascii="Arial" w:cs="Arial" w:eastAsia="Arial" w:hAnsi="Arial"/>
          <w:sz w:val="18"/>
          <w:szCs w:val="18"/>
          <w:color w:val="auto"/>
        </w:rPr>
        <w:t>(or</w:t>
      </w:r>
      <w:r>
        <w:rPr>
          <w:rFonts w:ascii="Arial" w:cs="Arial" w:eastAsia="Arial" w:hAnsi="Arial"/>
          <w:sz w:val="18"/>
          <w:szCs w:val="18"/>
          <w:b w:val="1"/>
          <w:bCs w:val="1"/>
          <w:color w:val="auto"/>
        </w:rPr>
        <w:t xml:space="preserve"> crypto</w:t>
      </w:r>
      <w:r>
        <w:rPr>
          <w:rFonts w:ascii="Arial" w:cs="Arial" w:eastAsia="Arial" w:hAnsi="Arial"/>
          <w:sz w:val="18"/>
          <w:szCs w:val="18"/>
          <w:color w:val="auto"/>
        </w:rPr>
        <w:t>) means an asset that is built using blockchain technology, including cryptocurrencies, stablecoins, and other tokens.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transactions in certain supported cryptocurrencies.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Customer </w:t>
      </w:r>
      <w:r>
        <w:rPr>
          <w:rFonts w:ascii="Arial" w:cs="Arial" w:eastAsia="Arial" w:hAnsi="Arial"/>
          <w:sz w:val="17"/>
          <w:szCs w:val="17"/>
          <w:color w:val="auto"/>
        </w:rPr>
        <w:t>means an individual user of our platform. Customers include customers of our loyalty clients who use our platform to transact in</w:t>
      </w:r>
    </w:p>
    <w:p>
      <w:pPr>
        <w:spacing w:after="0" w:line="65"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8"/>
          <w:szCs w:val="18"/>
          <w:color w:val="auto"/>
        </w:rPr>
        <w:t>loyalty points, as well as customers of our clients who transact in crypto through, and have accounts on, our platform (except as defined for ASC 606 purposes above).</w:t>
      </w:r>
    </w:p>
    <w:p>
      <w:pPr>
        <w:spacing w:after="0" w:line="72"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Loyalty points </w:t>
      </w:r>
      <w:r>
        <w:rPr>
          <w:rFonts w:ascii="Arial" w:cs="Arial" w:eastAsia="Arial" w:hAnsi="Arial"/>
          <w:sz w:val="18"/>
          <w:szCs w:val="18"/>
          <w:color w:val="auto"/>
        </w:rPr>
        <w:t>means loyalty and/or reward points that are issued by clients to their customers.</w:t>
      </w:r>
    </w:p>
    <w:p>
      <w:pPr>
        <w:spacing w:after="0" w:line="25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151515"/>
        </w:rPr>
        <w:t xml:space="preserve">Founded in 2018, Bakkt operates technology that connects the digital economy by offering a platform for crypto and redeeming loyalty points. We enable our clients to deliver new opportunities to their customers through an interactive web experience or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Unless otherwise expressly stated or the context otherwise requires, references to “we,” “our,” “us,” the “Company,” or “Bakkt” refer (i) prior to the closing of our business combination with </w:t>
      </w:r>
      <w:r>
        <w:rPr>
          <w:rFonts w:ascii="Arial" w:cs="Arial" w:eastAsia="Arial" w:hAnsi="Arial"/>
          <w:sz w:val="17"/>
          <w:szCs w:val="17"/>
          <w:color w:val="0C0C0C"/>
        </w:rPr>
        <w:t>VPC Impact</w:t>
      </w:r>
      <w:r>
        <w:rPr>
          <w:rFonts w:ascii="Arial" w:cs="Arial" w:eastAsia="Arial" w:hAnsi="Arial"/>
          <w:sz w:val="17"/>
          <w:szCs w:val="17"/>
          <w:color w:val="151515"/>
        </w:rPr>
        <w:t xml:space="preserve"> </w:t>
      </w:r>
      <w:r>
        <w:rPr>
          <w:rFonts w:ascii="Arial" w:cs="Arial" w:eastAsia="Arial" w:hAnsi="Arial"/>
          <w:sz w:val="17"/>
          <w:szCs w:val="17"/>
          <w:color w:val="0C0C0C"/>
        </w:rPr>
        <w:t xml:space="preserve">Acquisition Holdings (“VIH”) </w:t>
      </w:r>
      <w:r>
        <w:rPr>
          <w:rFonts w:ascii="Arial" w:cs="Arial" w:eastAsia="Arial" w:hAnsi="Arial"/>
          <w:sz w:val="17"/>
          <w:szCs w:val="17"/>
          <w:color w:val="151515"/>
        </w:rPr>
        <w:t>(the “Closing”), to Bakkt Opco Holdings, LLC (f/k/a Bakkt Holdings LLC, “Opco”) and its subsidiaries and (ii) after the</w:t>
      </w:r>
      <w:r>
        <w:rPr>
          <w:rFonts w:ascii="Arial" w:cs="Arial" w:eastAsia="Arial" w:hAnsi="Arial"/>
          <w:sz w:val="17"/>
          <w:szCs w:val="17"/>
          <w:color w:val="0C0C0C"/>
        </w:rPr>
        <w:t xml:space="preserve"> </w:t>
      </w:r>
      <w:r>
        <w:rPr>
          <w:rFonts w:ascii="Arial" w:cs="Arial" w:eastAsia="Arial" w:hAnsi="Arial"/>
          <w:sz w:val="17"/>
          <w:szCs w:val="17"/>
          <w:color w:val="151515"/>
        </w:rPr>
        <w:t>Closing, to Bakkt Holdings, Inc. and its subsidiaries, including Opco.</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151515"/>
        </w:rPr>
        <w:t>Our institutional-grade technology platform is at the core of everything we do. It is secure and licensed, born out of our heritage with our former parent company, Intercontinental Exchange, Inc. (“ICE”) (NYSE: ICE). Through these elements, we provide, or are working to provide, simplified solutions focused in the following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Crypto</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0C0C0C"/>
        </w:rPr>
      </w:pPr>
      <w:r>
        <w:rPr>
          <w:rFonts w:ascii="Arial" w:cs="Arial" w:eastAsia="Arial" w:hAnsi="Arial"/>
          <w:sz w:val="17"/>
          <w:szCs w:val="17"/>
          <w:b w:val="1"/>
          <w:bCs w:val="1"/>
          <w:i w:val="1"/>
          <w:iCs w:val="1"/>
          <w:color w:val="0C0C0C"/>
        </w:rPr>
        <w:t xml:space="preserve">Custody. </w:t>
      </w:r>
      <w:r>
        <w:rPr>
          <w:rFonts w:ascii="Arial" w:cs="Arial" w:eastAsia="Arial" w:hAnsi="Arial"/>
          <w:sz w:val="17"/>
          <w:szCs w:val="17"/>
          <w:color w:val="0C0C0C"/>
        </w:rPr>
        <w:t>Our institutional-grade qualified custody solution caters to more experienced market participants. Institutions appreciate the highly</w:t>
      </w:r>
    </w:p>
    <w:p>
      <w:pPr>
        <w:spacing w:after="0" w:line="61" w:lineRule="exact"/>
        <w:rPr>
          <w:rFonts w:ascii="Arial" w:cs="Arial" w:eastAsia="Arial" w:hAnsi="Arial"/>
          <w:sz w:val="17"/>
          <w:szCs w:val="17"/>
          <w:color w:val="0C0C0C"/>
        </w:rPr>
      </w:pPr>
    </w:p>
    <w:p>
      <w:pPr>
        <w:jc w:val="both"/>
        <w:ind w:left="660"/>
        <w:spacing w:after="0" w:line="303" w:lineRule="auto"/>
        <w:rPr>
          <w:rFonts w:ascii="Arial" w:cs="Arial" w:eastAsia="Arial" w:hAnsi="Arial"/>
          <w:sz w:val="17"/>
          <w:szCs w:val="17"/>
          <w:color w:val="0C0C0C"/>
        </w:rPr>
      </w:pPr>
      <w:r>
        <w:rPr>
          <w:rFonts w:ascii="Arial" w:cs="Arial" w:eastAsia="Arial" w:hAnsi="Arial"/>
          <w:sz w:val="18"/>
          <w:szCs w:val="18"/>
          <w:color w:val="0C0C0C"/>
        </w:rPr>
        <w:t>secure and compliance-focused infrastructure we have built to store crypto. Crypto that we custody is held by our subsidiary, Bakkt Trust Company LLC (“Bakkt Trust”), a limited purpose trust company that is supervised by the New York State Department of Financial Services (“NYDFS”) and governed by an independent Board of Managers.</w:t>
      </w:r>
    </w:p>
    <w:p>
      <w:pPr>
        <w:spacing w:after="0" w:line="170" w:lineRule="exact"/>
        <w:rPr>
          <w:rFonts w:ascii="Arial" w:cs="Arial" w:eastAsia="Arial" w:hAnsi="Arial"/>
          <w:sz w:val="17"/>
          <w:szCs w:val="17"/>
          <w:color w:val="0C0C0C"/>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0C0C0C"/>
        </w:rPr>
        <w:t>Crypto Connect</w:t>
      </w:r>
      <w:r>
        <w:rPr>
          <w:rFonts w:ascii="Arial" w:cs="Arial" w:eastAsia="Arial" w:hAnsi="Arial"/>
          <w:sz w:val="16"/>
          <w:szCs w:val="16"/>
          <w:b w:val="1"/>
          <w:bCs w:val="1"/>
          <w:color w:val="0C0C0C"/>
        </w:rPr>
        <w: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Our platform provides consumers, businesses and institutions with the ability to buy, sell and store crypto in a simple, intuitive</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0C0C0C"/>
        </w:rPr>
        <w:t>digital experience accessed via application programming interfaces (“APIs”) or embedded web experience. We aim to enable businesses in various industries - such as fintechs, financial institutions and wallet providers - to provide their customers with the ability to transact in crypto directly in their trusted environments.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0C0C0C"/>
        </w:rPr>
      </w:pPr>
      <w:r>
        <w:rPr>
          <w:rFonts w:ascii="Arial" w:cs="Arial" w:eastAsia="Arial" w:hAnsi="Arial"/>
          <w:sz w:val="16"/>
          <w:szCs w:val="16"/>
          <w:b w:val="1"/>
          <w:bCs w:val="1"/>
          <w:i w:val="1"/>
          <w:iCs w:val="1"/>
          <w:color w:val="0C0C0C"/>
        </w:rPr>
        <w:t>Crypto Rewards</w:t>
      </w:r>
      <w:r>
        <w:rPr>
          <w:rFonts w:ascii="Arial" w:cs="Arial" w:eastAsia="Arial" w:hAnsi="Arial"/>
          <w:sz w:val="16"/>
          <w:szCs w:val="16"/>
          <w:b w:val="1"/>
          <w:bCs w:val="1"/>
          <w:color w:val="0C0C0C"/>
        </w:rPr>
        <w: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We are in the process of enabling clients of all sizes to offer loyalty and rewards to their customers in the form of crypto – either</w:t>
      </w:r>
    </w:p>
    <w:p>
      <w:pPr>
        <w:spacing w:after="0" w:line="76" w:lineRule="exact"/>
        <w:rPr>
          <w:rFonts w:ascii="Arial" w:cs="Arial" w:eastAsia="Arial" w:hAnsi="Arial"/>
          <w:sz w:val="16"/>
          <w:szCs w:val="16"/>
          <w:color w:val="0C0C0C"/>
        </w:rPr>
      </w:pPr>
    </w:p>
    <w:p>
      <w:pPr>
        <w:jc w:val="both"/>
        <w:ind w:left="660"/>
        <w:spacing w:after="0" w:line="303" w:lineRule="auto"/>
        <w:rPr>
          <w:rFonts w:ascii="Arial" w:cs="Arial" w:eastAsia="Arial" w:hAnsi="Arial"/>
          <w:sz w:val="16"/>
          <w:szCs w:val="16"/>
          <w:color w:val="0C0C0C"/>
        </w:rPr>
      </w:pPr>
      <w:r>
        <w:rPr>
          <w:rFonts w:ascii="Arial" w:cs="Arial" w:eastAsia="Arial" w:hAnsi="Arial"/>
          <w:sz w:val="18"/>
          <w:szCs w:val="18"/>
          <w:color w:val="0C0C0C"/>
        </w:rPr>
        <w:t>by earning crypto rewards, or by redeeming existing reward currencies, such as points or miles, into crypto. We believe this capability will enhance brands’ existing loyalty programs and attract younger, affluent, digital-native audiences and to increase loyalty with existing customers by offering the potential to increase the long-term value of their rewards.</w:t>
      </w:r>
    </w:p>
    <w:p>
      <w:pPr>
        <w:spacing w:after="0" w:line="174" w:lineRule="exact"/>
        <w:rPr>
          <w:rFonts w:ascii="Arial" w:cs="Arial" w:eastAsia="Arial" w:hAnsi="Arial"/>
          <w:sz w:val="16"/>
          <w:szCs w:val="16"/>
          <w:color w:val="0C0C0C"/>
        </w:rPr>
      </w:pPr>
    </w:p>
    <w:p>
      <w:pPr>
        <w:ind w:left="660" w:hanging="328"/>
        <w:spacing w:after="0"/>
        <w:tabs>
          <w:tab w:leader="none" w:pos="660" w:val="left"/>
        </w:tabs>
        <w:numPr>
          <w:ilvl w:val="0"/>
          <w:numId w:val="8"/>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Crypto Payouts. </w:t>
      </w:r>
      <w:r>
        <w:rPr>
          <w:rFonts w:ascii="Arial" w:cs="Arial" w:eastAsia="Arial" w:hAnsi="Arial"/>
          <w:sz w:val="16"/>
          <w:szCs w:val="16"/>
          <w:color w:val="0C0C0C"/>
        </w:rPr>
        <w:t>We are in the process of enabling consumers to automatically invest a portion of payments into crypto. Crypto payouts allow for</w:t>
      </w:r>
    </w:p>
    <w:p>
      <w:pPr>
        <w:spacing w:after="0" w:line="73"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0C0C0C"/>
        </w:rPr>
        <w:t>new cases (for instance, for gig economy or marketplace participants such as freelancers, content providers, and delivery workers to receive their wages in crypto).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Loyalty</w:t>
      </w:r>
    </w:p>
    <w:p>
      <w:pPr>
        <w:spacing w:after="0" w:line="266" w:lineRule="exact"/>
        <w:rPr>
          <w:sz w:val="20"/>
          <w:szCs w:val="20"/>
          <w:color w:val="auto"/>
        </w:rPr>
      </w:pPr>
    </w:p>
    <w:p>
      <w:pPr>
        <w:jc w:val="both"/>
        <w:ind w:left="660" w:hanging="328"/>
        <w:spacing w:after="0" w:line="306" w:lineRule="auto"/>
        <w:tabs>
          <w:tab w:leader="none" w:pos="648" w:val="left"/>
        </w:tabs>
        <w:numPr>
          <w:ilvl w:val="0"/>
          <w:numId w:val="9"/>
        </w:numPr>
        <w:rPr>
          <w:rFonts w:ascii="Arial" w:cs="Arial" w:eastAsia="Arial" w:hAnsi="Arial"/>
          <w:sz w:val="18"/>
          <w:szCs w:val="18"/>
          <w:color w:val="0C0C0C"/>
        </w:rPr>
      </w:pPr>
      <w:r>
        <w:rPr>
          <w:rFonts w:ascii="Arial" w:cs="Arial" w:eastAsia="Arial" w:hAnsi="Arial"/>
          <w:sz w:val="16"/>
          <w:szCs w:val="16"/>
          <w:color w:val="0C0C0C"/>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w:t>
      </w:r>
    </w:p>
    <w:p>
      <w:pPr>
        <w:spacing w:after="0" w:line="1" w:lineRule="exact"/>
        <w:rPr>
          <w:rFonts w:ascii="Arial" w:cs="Arial" w:eastAsia="Arial" w:hAnsi="Arial"/>
          <w:sz w:val="18"/>
          <w:szCs w:val="18"/>
          <w:color w:val="0C0C0C"/>
        </w:rPr>
      </w:pPr>
    </w:p>
    <w:p>
      <w:pPr>
        <w:jc w:val="both"/>
        <w:ind w:left="660"/>
        <w:spacing w:after="0" w:line="325" w:lineRule="auto"/>
        <w:rPr>
          <w:rFonts w:ascii="Arial" w:cs="Arial" w:eastAsia="Arial" w:hAnsi="Arial"/>
          <w:sz w:val="18"/>
          <w:szCs w:val="18"/>
          <w:color w:val="0C0C0C"/>
        </w:rPr>
      </w:pPr>
      <w:r>
        <w:rPr>
          <w:rFonts w:ascii="Arial" w:cs="Arial" w:eastAsia="Arial" w:hAnsi="Arial"/>
          <w:sz w:val="16"/>
          <w:szCs w:val="16"/>
          <w:color w:val="0C0C0C"/>
        </w:rPr>
        <w:t>services), gift cards and digital experiences. Our travel solution offers a retail e-commerce booking platform with a powerful search capability, as well as live-agent booking and servicing. Our platform provides a unified shopping experience that is configurable for companies and their</w:t>
      </w:r>
    </w:p>
    <w:p>
      <w:pPr>
        <w:spacing w:after="0" w:line="1" w:lineRule="exact"/>
        <w:rPr>
          <w:rFonts w:ascii="Arial" w:cs="Arial" w:eastAsia="Arial" w:hAnsi="Arial"/>
          <w:sz w:val="18"/>
          <w:szCs w:val="18"/>
          <w:color w:val="0C0C0C"/>
        </w:rPr>
      </w:pPr>
    </w:p>
    <w:p>
      <w:pPr>
        <w:jc w:val="both"/>
        <w:ind w:left="660"/>
        <w:spacing w:after="0" w:line="328" w:lineRule="auto"/>
        <w:rPr>
          <w:rFonts w:ascii="Arial" w:cs="Arial" w:eastAsia="Arial" w:hAnsi="Arial"/>
          <w:sz w:val="18"/>
          <w:szCs w:val="18"/>
          <w:color w:val="0C0C0C"/>
        </w:rPr>
      </w:pPr>
      <w:r>
        <w:rPr>
          <w:rFonts w:ascii="Arial" w:cs="Arial" w:eastAsia="Arial" w:hAnsi="Arial"/>
          <w:sz w:val="17"/>
          <w:szCs w:val="17"/>
          <w:color w:val="0C0C0C"/>
        </w:rPr>
        <w:t>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151515"/>
        </w:rPr>
        <w:t>We have thoughtfully built a unique and powerful platform, melding together institutional-grade loyalty services to complement our institutional-grade crypto capabilities. Our platform capabilities include end-to-end services, including easily digestible technology services, 24/7 customer support and marketing playbooks, for our clients. The power of these activities on our platform drives our vision – connecting the digital economy – for Bakkt and our clients.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Corporate Structure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own and consolidate entities formed during the year ended December 31, 2019, including Bakkt Trust and Bakkt Marketplace, LLC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also acquired the group of affiliates companies that operates under the name Bridge2 Solutions in February 2020.</w:t>
      </w:r>
    </w:p>
    <w:p>
      <w:pPr>
        <w:spacing w:after="0" w:line="19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Bakkt Trust is a New York limited-purpose trust company that is chartered by and subject to the supervision and oversight of NYDFS. In September 2019, Bakkt Trust, along with IFUS and ICUS, both of which are wholly-owned subsidiaries of ICE, brought to market an institutional-grade, regulated infrastructure for trading, clearing, and custody services for bitcoin futures. Bakkt Trust acts as a qualified custodian for bitcoin and ether, which enables Bakkt Trust to offer end-to-end regulated, physically-delivered bitcoin futures and options contracts to financial institutions and market makers. In addition, Bakkt Trust offers non-trading-related, standalone custody of bitcoin and ether to institutions and certain high net worth individuals in crypto.</w:t>
      </w:r>
    </w:p>
    <w:p>
      <w:pPr>
        <w:spacing w:after="0" w:line="15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 xml:space="preserve">Bakkt Marketplace operates an integrated platform that enables consumers and enterprises to transact in </w:t>
      </w:r>
      <w:r>
        <w:rPr>
          <w:rFonts w:ascii="Arial" w:cs="Arial" w:eastAsia="Arial" w:hAnsi="Arial"/>
          <w:sz w:val="18"/>
          <w:szCs w:val="18"/>
          <w:color w:val="000000"/>
        </w:rPr>
        <w:t>crypto</w:t>
      </w:r>
      <w:r>
        <w:rPr>
          <w:rFonts w:ascii="Arial" w:cs="Arial" w:eastAsia="Arial" w:hAnsi="Arial"/>
          <w:sz w:val="18"/>
          <w:szCs w:val="18"/>
          <w:color w:val="231F20"/>
        </w:rPr>
        <w:t xml:space="preserve">. Bakkt Marketplace users are able to purchase, sell, auto-invest or earn </w:t>
      </w:r>
      <w:r>
        <w:rPr>
          <w:rFonts w:ascii="Arial" w:cs="Arial" w:eastAsia="Arial" w:hAnsi="Arial"/>
          <w:sz w:val="18"/>
          <w:szCs w:val="18"/>
          <w:color w:val="000000"/>
        </w:rPr>
        <w:t>crypto</w:t>
      </w:r>
      <w:r>
        <w:rPr>
          <w:rFonts w:ascii="Arial" w:cs="Arial" w:eastAsia="Arial" w:hAnsi="Arial"/>
          <w:sz w:val="18"/>
          <w:szCs w:val="18"/>
          <w:color w:val="231F20"/>
        </w:rPr>
        <w:t>.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bitcoin and ether functionality.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Bakkt Clearing was registered as a futures commission merchant (“FCM”) with the Commodity Futures Trading Commission (“CFTC”) and a member of the National Futures Association (“NFA”). On May 20, 2022, Bakkt Clearing withdrew its registration with CFTC and membership in NFA, which was effective on June 20, 2022.</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Bakkt’s white label loyalty redemption platform is largely carried on by its subsidiary, Bridge2 Solutions, LLC, which, together with its related companies, Bakkt acquired in February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Our Clients</w:t>
      </w:r>
    </w:p>
    <w:p>
      <w:pPr>
        <w:spacing w:after="0" w:line="24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0C0C0C"/>
        </w:rPr>
        <w:t>Our clients include merchants, retailers, and financial institutions, and with the anticipated acquisition of Apex Crypto, as discussed below, will include fintechs, broker-dealers, neobanks and registered investment advisers. Our crypto-related capabilities will facilitate new asset acquisition and reward opportunities for their customers. Our loyalty-related capabilities deepen their relationships with their customers by increasing redemption opportunities as their customers take advantage of these opportunities, and makes their programs more current by adding crypto capabilities.</w:t>
      </w:r>
    </w:p>
    <w:p>
      <w:pPr>
        <w:spacing w:after="0" w:line="1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0C0C0C"/>
        </w:rPr>
        <w:t>We also enable institutional clients to trade crypto using our physically-delivered bitcoin futures contracts that are traded and cleared on ICE, and to store bitcoin and ether securely in our custody platform. Our platform uniquely leverages the technology and infrastructure products of ICE, providing regulatory clarity, better price discovery, and more effective risk management for financial institutions.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more information, please see our risk factors described in </w:t>
      </w:r>
      <w:r>
        <w:rPr>
          <w:rFonts w:ascii="Arial" w:cs="Arial" w:eastAsia="Arial" w:hAnsi="Arial"/>
          <w:sz w:val="18"/>
          <w:szCs w:val="18"/>
          <w:i w:val="1"/>
          <w:iCs w:val="1"/>
          <w:color w:val="0C0C0C"/>
        </w:rPr>
        <w:t>“Item 1A. Risk Factors - Related to Our Business, Finances and</w:t>
      </w:r>
      <w:r>
        <w:rPr>
          <w:rFonts w:ascii="Arial" w:cs="Arial" w:eastAsia="Arial" w:hAnsi="Arial"/>
          <w:sz w:val="18"/>
          <w:szCs w:val="18"/>
          <w:color w:val="0C0C0C"/>
        </w:rPr>
        <w:t xml:space="preserve"> </w:t>
      </w:r>
      <w:r>
        <w:rPr>
          <w:rFonts w:ascii="Arial" w:cs="Arial" w:eastAsia="Arial" w:hAnsi="Arial"/>
          <w:sz w:val="18"/>
          <w:szCs w:val="18"/>
          <w:i w:val="1"/>
          <w:iCs w:val="1"/>
          <w:color w:val="0C0C0C"/>
        </w:rPr>
        <w:t>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Revenue Model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151515"/>
        </w:rPr>
        <w:t>We generate revenue when consumers use our services to acquire or use crypto and loyalty points across our platform in the following key areas:</w:t>
      </w:r>
    </w:p>
    <w:p>
      <w:pPr>
        <w:spacing w:after="0" w:line="289" w:lineRule="exact"/>
        <w:rPr>
          <w:sz w:val="20"/>
          <w:szCs w:val="20"/>
          <w:color w:val="auto"/>
        </w:rPr>
      </w:pPr>
    </w:p>
    <w:p>
      <w:pPr>
        <w:ind w:left="660" w:hanging="328"/>
        <w:spacing w:after="0" w:line="308" w:lineRule="auto"/>
        <w:tabs>
          <w:tab w:leader="none" w:pos="655" w:val="left"/>
        </w:tabs>
        <w:numPr>
          <w:ilvl w:val="0"/>
          <w:numId w:val="10"/>
        </w:numPr>
        <w:rPr>
          <w:rFonts w:ascii="Arial" w:cs="Arial" w:eastAsia="Arial" w:hAnsi="Arial"/>
          <w:sz w:val="18"/>
          <w:szCs w:val="18"/>
          <w:color w:val="151515"/>
        </w:rPr>
      </w:pPr>
      <w:r>
        <w:rPr>
          <w:rFonts w:ascii="Arial" w:cs="Arial" w:eastAsia="Arial" w:hAnsi="Arial"/>
          <w:sz w:val="18"/>
          <w:szCs w:val="18"/>
          <w:b w:val="1"/>
          <w:bCs w:val="1"/>
          <w:i w:val="1"/>
          <w:iCs w:val="1"/>
          <w:color w:val="0C0C0C"/>
        </w:rPr>
        <w:t xml:space="preserve">Subscription and service revenue. </w:t>
      </w:r>
      <w:r>
        <w:rPr>
          <w:rFonts w:ascii="Arial" w:cs="Arial" w:eastAsia="Arial" w:hAnsi="Arial"/>
          <w:sz w:val="18"/>
          <w:szCs w:val="18"/>
          <w:color w:val="151515"/>
        </w:rPr>
        <w:t>We receive a recurring subscription revenue stream from client platform fees as well as service revenue from</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151515"/>
        </w:rPr>
        <w:t>software development fees and call center support</w:t>
      </w:r>
    </w:p>
    <w:p>
      <w:pPr>
        <w:spacing w:after="0" w:line="224" w:lineRule="exact"/>
        <w:rPr>
          <w:rFonts w:ascii="Arial" w:cs="Arial" w:eastAsia="Arial" w:hAnsi="Arial"/>
          <w:sz w:val="18"/>
          <w:szCs w:val="18"/>
          <w:color w:val="151515"/>
        </w:rPr>
      </w:pPr>
    </w:p>
    <w:p>
      <w:pPr>
        <w:ind w:left="660" w:hanging="328"/>
        <w:spacing w:after="0" w:line="27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0C0C0C"/>
        </w:rPr>
        <w:t xml:space="preserve">Transaction revenue. </w:t>
      </w:r>
      <w:r>
        <w:rPr>
          <w:rFonts w:ascii="Arial" w:cs="Arial" w:eastAsia="Arial" w:hAnsi="Arial"/>
          <w:sz w:val="18"/>
          <w:szCs w:val="18"/>
          <w:color w:val="151515"/>
        </w:rPr>
        <w:t>We generate transaction revenue though loyalty redemption volumes where we get a take rate on the volume and from</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151515"/>
        </w:rPr>
        <w:t>crypto buy/sell where we make a spread on both legs of the transaction.</w:t>
      </w:r>
    </w:p>
    <w:p>
      <w:pPr>
        <w:spacing w:after="0" w:line="19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8"/>
          <w:szCs w:val="18"/>
          <w:color w:val="151515"/>
        </w:rPr>
        <w:t>Our revenue has seasonality and is typically higher in the fourth quarter, driven by holiday spending and travel bookings.</w:t>
      </w:r>
    </w:p>
    <w:p>
      <w:pPr>
        <w:spacing w:after="0" w:line="2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151515"/>
        </w:rPr>
        <w:t>Revenue generated from our crypto service offerings has been immaterial to date. However, we expect that revenues from crypto trades and other transactions and subscription fees will be significant drivers of our business, and we expect those revenues to increase as we grow our client base and our users. As a result, over time, we expect loyalty revenue, which has been the source of substantially all of our revenue historically, to decrease as a percentage of overall revenue as the revenue from our crypto service offerings grows.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Growth Strategy</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131313"/>
        </w:rPr>
        <w:t>We go to market using a client-led strategy. We partner with leading brands and expect to grow customers on our platform through those relationships. We have already built an extensive network of clients across numerous industries including financial institutions, merchants and travel and entertainment. These clients include MasterCard, Visa, Global Payments, Fiserv, and Caesar’s. We believe that this strategy will enable us to add transacting accounts and volume more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131313"/>
        </w:rPr>
        <w:t>quickly and more efficiently than a direct-to-consumer model, especially as a relatively young company operating in a space like crypto that may be novel to some users.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131313"/>
        </w:rPr>
        <w:t>As part of this approach, we have developed our platform to be flexible and scalable to accommodate how different clients may want to implement our offerings. Depending on each client’s specific needs and objectives, that client can choose to add one, some or all of our capabilities, and can also choose the manner in which those capabilities are enabled. Clients can choose to fully or partially embed our capabilities within their digital environment, or they can leverage our capabilities in a “ready-to-go” storefront.</w:t>
      </w:r>
    </w:p>
    <w:p>
      <w:pPr>
        <w:spacing w:after="0" w:line="17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131313"/>
        </w:rPr>
        <w:t xml:space="preserve">We believe our growth will come from adding clients and correspondingly, their users, and increasing transaction activity as well as strategic acquisitions. On November 2, 2022, we entered into a definitive agreement with Apex Fintech Solutions, Inc. (“AFS”) pursuant to which we agreed to acquire all of the membership interests of Apex Crypto, LLC (“Apex”), a financial technology company with an integrated crypto trading platform, for consideration consisting of an initial purchase price of $55.0 million in cash, up to $45 million in shares of our Class A common stock that may be earned if Apex achieves certain profitability growth targets for the fourth quarter of 2022, and up to an additional $100.0 million in shares of our Class A common stock depending on Apex’s achievement of certain financial targets through 2025. </w:t>
      </w:r>
      <w:r>
        <w:rPr>
          <w:rFonts w:ascii="Arial" w:cs="Arial" w:eastAsia="Arial" w:hAnsi="Arial"/>
          <w:sz w:val="17"/>
          <w:szCs w:val="17"/>
          <w:color w:val="231F20"/>
        </w:rPr>
        <w:t>Apex’s profitability in the fourth quarter of 2022 results in Class A</w:t>
      </w:r>
      <w:r>
        <w:rPr>
          <w:rFonts w:ascii="Arial" w:cs="Arial" w:eastAsia="Arial" w:hAnsi="Arial"/>
          <w:sz w:val="17"/>
          <w:szCs w:val="17"/>
          <w:color w:val="131313"/>
        </w:rPr>
        <w:t xml:space="preserve"> </w:t>
      </w:r>
      <w:r>
        <w:rPr>
          <w:rFonts w:ascii="Arial" w:cs="Arial" w:eastAsia="Arial" w:hAnsi="Arial"/>
          <w:sz w:val="17"/>
          <w:szCs w:val="17"/>
          <w:color w:val="231F20"/>
        </w:rPr>
        <w:t xml:space="preserve">common stock consideration of $9.0 million based on the earn-out target mechanics. </w:t>
      </w:r>
      <w:r>
        <w:rPr>
          <w:rFonts w:ascii="Arial" w:cs="Arial" w:eastAsia="Arial" w:hAnsi="Arial"/>
          <w:sz w:val="17"/>
          <w:szCs w:val="17"/>
          <w:color w:val="131313"/>
        </w:rPr>
        <w:t>The transaction, which is subject to regulatory approvals, is expected</w:t>
      </w:r>
      <w:r>
        <w:rPr>
          <w:rFonts w:ascii="Arial" w:cs="Arial" w:eastAsia="Arial" w:hAnsi="Arial"/>
          <w:sz w:val="17"/>
          <w:szCs w:val="17"/>
          <w:color w:val="231F20"/>
        </w:rPr>
        <w:t xml:space="preserve"> </w:t>
      </w:r>
      <w:r>
        <w:rPr>
          <w:rFonts w:ascii="Arial" w:cs="Arial" w:eastAsia="Arial" w:hAnsi="Arial"/>
          <w:sz w:val="17"/>
          <w:szCs w:val="17"/>
          <w:color w:val="131313"/>
        </w:rPr>
        <w:t>to close in the first half of 2023. Under the terms of the transaction, Bakkt and AFS will, among other things, enter into a commercial agreement that memorializes the continued relationship and provision of Bakkt crypto solutions to AFS’s clients. The acquisition is expected to provide immediate scale and meaningful transaction volume from Apex’s active client base. We expect to leverage Apex’s proprietary trading platform and existing relationships with liquidity providers to provide a wider range of assets and competitive pricing to our clients.</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On February 8, 2023, we acquired 100% of the units of Bumped Financial, LLC (“Bumped”), a broker-dealer registered with the SEC and the Financial Industry Regulatory Authority, Inc. (“FINRA”), for cash consideration of $575,000. This acquisition required Bumped to file a Continuing Membership Application (“CMA”) with FINRA, and FINRA is currently reviewing the CMA to ensure that Bumped will continue to meet its regulatory obligations if the filing is approved. After FINRA’s assessment, the CMA will be approved, denied or approved with restrictions.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131313"/>
        </w:rPr>
        <w:t>Our growth strategies include the following:</w:t>
      </w:r>
    </w:p>
    <w:p>
      <w:pPr>
        <w:spacing w:after="0" w:line="23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0C0C0C"/>
        </w:rPr>
      </w:pPr>
      <w:r>
        <w:rPr>
          <w:rFonts w:ascii="Arial" w:cs="Arial" w:eastAsia="Arial" w:hAnsi="Arial"/>
          <w:sz w:val="17"/>
          <w:szCs w:val="17"/>
          <w:b w:val="1"/>
          <w:bCs w:val="1"/>
          <w:i w:val="1"/>
          <w:iCs w:val="1"/>
          <w:color w:val="0C0C0C"/>
        </w:rPr>
        <w:t xml:space="preserve">Adding clients. </w:t>
      </w:r>
      <w:r>
        <w:rPr>
          <w:rFonts w:ascii="Arial" w:cs="Arial" w:eastAsia="Arial" w:hAnsi="Arial"/>
          <w:sz w:val="17"/>
          <w:szCs w:val="17"/>
          <w:color w:val="0C0C0C"/>
        </w:rPr>
        <w:t>We are focused on continuing to build strong client relationships. Acquiring customers through our clients is an efficient and</w:t>
      </w:r>
    </w:p>
    <w:p>
      <w:pPr>
        <w:spacing w:after="0" w:line="61" w:lineRule="exact"/>
        <w:rPr>
          <w:rFonts w:ascii="Arial" w:cs="Arial" w:eastAsia="Arial" w:hAnsi="Arial"/>
          <w:sz w:val="17"/>
          <w:szCs w:val="17"/>
          <w:color w:val="0C0C0C"/>
        </w:rPr>
      </w:pPr>
    </w:p>
    <w:p>
      <w:pPr>
        <w:jc w:val="both"/>
        <w:ind w:left="660"/>
        <w:spacing w:after="0" w:line="303" w:lineRule="auto"/>
        <w:rPr>
          <w:rFonts w:ascii="Arial" w:cs="Arial" w:eastAsia="Arial" w:hAnsi="Arial"/>
          <w:sz w:val="17"/>
          <w:szCs w:val="17"/>
          <w:color w:val="0C0C0C"/>
        </w:rPr>
      </w:pPr>
      <w:r>
        <w:rPr>
          <w:rFonts w:ascii="Arial" w:cs="Arial" w:eastAsia="Arial" w:hAnsi="Arial"/>
          <w:sz w:val="18"/>
          <w:szCs w:val="18"/>
          <w:color w:val="0C0C0C"/>
        </w:rPr>
        <w:t xml:space="preserve">scalable way to grow our business. </w:t>
      </w:r>
      <w:r>
        <w:rPr>
          <w:rFonts w:ascii="Arial" w:cs="Arial" w:eastAsia="Arial" w:hAnsi="Arial"/>
          <w:sz w:val="18"/>
          <w:szCs w:val="18"/>
          <w:color w:val="131313"/>
        </w:rPr>
        <w:t>Our goal is to provide these clients opportunities to leverage our capabilities either through their existing</w:t>
      </w:r>
      <w:r>
        <w:rPr>
          <w:rFonts w:ascii="Arial" w:cs="Arial" w:eastAsia="Arial" w:hAnsi="Arial"/>
          <w:sz w:val="18"/>
          <w:szCs w:val="18"/>
          <w:color w:val="0C0C0C"/>
        </w:rPr>
        <w:t xml:space="preserve"> </w:t>
      </w:r>
      <w:r>
        <w:rPr>
          <w:rFonts w:ascii="Arial" w:cs="Arial" w:eastAsia="Arial" w:hAnsi="Arial"/>
          <w:sz w:val="18"/>
          <w:szCs w:val="18"/>
          <w:color w:val="131313"/>
        </w:rPr>
        <w:t>environment or by leveraging our platform. We believe that Apex will significantly expand our crypto client base into a number of new and rapidly growing client verticals, such as fintech, app trading platforms and neo-banks.</w:t>
      </w:r>
    </w:p>
    <w:p>
      <w:pPr>
        <w:spacing w:after="0" w:line="174" w:lineRule="exact"/>
        <w:rPr>
          <w:rFonts w:ascii="Arial" w:cs="Arial" w:eastAsia="Arial" w:hAnsi="Arial"/>
          <w:sz w:val="17"/>
          <w:szCs w:val="17"/>
          <w:color w:val="0C0C0C"/>
        </w:rPr>
      </w:pPr>
    </w:p>
    <w:p>
      <w:pPr>
        <w:ind w:left="660" w:hanging="328"/>
        <w:spacing w:after="0"/>
        <w:tabs>
          <w:tab w:leader="none" w:pos="660" w:val="left"/>
        </w:tabs>
        <w:numPr>
          <w:ilvl w:val="0"/>
          <w:numId w:val="11"/>
        </w:numPr>
        <w:rPr>
          <w:rFonts w:ascii="Arial" w:cs="Arial" w:eastAsia="Arial" w:hAnsi="Arial"/>
          <w:sz w:val="16"/>
          <w:szCs w:val="16"/>
          <w:color w:val="0C0C0C"/>
        </w:rPr>
      </w:pPr>
      <w:r>
        <w:rPr>
          <w:rFonts w:ascii="Arial" w:cs="Arial" w:eastAsia="Arial" w:hAnsi="Arial"/>
          <w:sz w:val="16"/>
          <w:szCs w:val="16"/>
          <w:b w:val="1"/>
          <w:bCs w:val="1"/>
          <w:i w:val="1"/>
          <w:iCs w:val="1"/>
          <w:color w:val="131313"/>
        </w:rPr>
        <w:t xml:space="preserve">Adding customers. </w:t>
      </w:r>
      <w:r>
        <w:rPr>
          <w:rFonts w:ascii="Arial" w:cs="Arial" w:eastAsia="Arial" w:hAnsi="Arial"/>
          <w:sz w:val="16"/>
          <w:szCs w:val="16"/>
          <w:color w:val="0C0C0C"/>
        </w:rPr>
        <w:t>We are focused on activating our existing clients and will launch joint marketing campaigns with our clients to engage with</w:t>
      </w:r>
    </w:p>
    <w:p>
      <w:pPr>
        <w:spacing w:after="0" w:line="72" w:lineRule="exact"/>
        <w:rPr>
          <w:rFonts w:ascii="Arial" w:cs="Arial" w:eastAsia="Arial" w:hAnsi="Arial"/>
          <w:sz w:val="16"/>
          <w:szCs w:val="16"/>
          <w:color w:val="0C0C0C"/>
        </w:rPr>
      </w:pPr>
    </w:p>
    <w:p>
      <w:pPr>
        <w:ind w:left="660"/>
        <w:spacing w:after="0" w:line="308" w:lineRule="auto"/>
        <w:rPr>
          <w:rFonts w:ascii="Arial" w:cs="Arial" w:eastAsia="Arial" w:hAnsi="Arial"/>
          <w:sz w:val="16"/>
          <w:szCs w:val="16"/>
          <w:color w:val="0C0C0C"/>
        </w:rPr>
      </w:pPr>
      <w:r>
        <w:rPr>
          <w:rFonts w:ascii="Arial" w:cs="Arial" w:eastAsia="Arial" w:hAnsi="Arial"/>
          <w:sz w:val="18"/>
          <w:szCs w:val="18"/>
          <w:color w:val="0C0C0C"/>
        </w:rPr>
        <w:t>their customers. Our existing clients provide us with an addressable market of well over 100 million users, who we will focus on bringing onto our platform.</w:t>
      </w:r>
    </w:p>
    <w:p>
      <w:pPr>
        <w:spacing w:after="0" w:line="184" w:lineRule="exact"/>
        <w:rPr>
          <w:rFonts w:ascii="Arial" w:cs="Arial" w:eastAsia="Arial" w:hAnsi="Arial"/>
          <w:sz w:val="16"/>
          <w:szCs w:val="16"/>
          <w:color w:val="0C0C0C"/>
        </w:rPr>
      </w:pPr>
    </w:p>
    <w:p>
      <w:pPr>
        <w:jc w:val="both"/>
        <w:ind w:left="660" w:hanging="328"/>
        <w:spacing w:after="0" w:line="325" w:lineRule="auto"/>
        <w:tabs>
          <w:tab w:leader="none" w:pos="655" w:val="left"/>
        </w:tabs>
        <w:numPr>
          <w:ilvl w:val="0"/>
          <w:numId w:val="11"/>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Expanding our offering. </w:t>
      </w:r>
      <w:r>
        <w:rPr>
          <w:rFonts w:ascii="Arial" w:cs="Arial" w:eastAsia="Arial" w:hAnsi="Arial"/>
          <w:sz w:val="16"/>
          <w:szCs w:val="16"/>
          <w:color w:val="0C0C0C"/>
        </w:rPr>
        <w:t>We aim to increase the breadth and depth of our product offering in order to increase its appeal to clients and customers.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We made numerous enhancements to our platform over the last year including the implementation of real-time funding, pay with points</w:t>
      </w:r>
    </w:p>
    <w:p>
      <w:pPr>
        <w:spacing w:after="0" w:line="1" w:lineRule="exact"/>
        <w:rPr>
          <w:rFonts w:ascii="Arial" w:cs="Arial" w:eastAsia="Arial" w:hAnsi="Arial"/>
          <w:sz w:val="16"/>
          <w:szCs w:val="16"/>
          <w:color w:val="0C0C0C"/>
        </w:rPr>
      </w:pPr>
    </w:p>
    <w:p>
      <w:pPr>
        <w:jc w:val="both"/>
        <w:ind w:left="660"/>
        <w:spacing w:after="0" w:line="303" w:lineRule="auto"/>
        <w:rPr>
          <w:rFonts w:ascii="Arial" w:cs="Arial" w:eastAsia="Arial" w:hAnsi="Arial"/>
          <w:sz w:val="16"/>
          <w:szCs w:val="16"/>
          <w:color w:val="0C0C0C"/>
        </w:rPr>
      </w:pPr>
      <w:r>
        <w:rPr>
          <w:rFonts w:ascii="Arial" w:cs="Arial" w:eastAsia="Arial" w:hAnsi="Arial"/>
          <w:sz w:val="18"/>
          <w:szCs w:val="18"/>
          <w:color w:val="0C0C0C"/>
        </w:rPr>
        <w:t>capabilities and increased points and rewards redemption options. We believe that Apex will accelerate our product road map by providing new capabilities to our platform including the addition of over 30 coins to our platform, deposit and withdrawal functionality for BTC, BCH and LTC and the ability to stake a limited number of coins. We believe that we will also be able to offer access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0C0C0C"/>
        </w:rPr>
        <w:t>NFTs through an order management system that accepts payment in fiat currency, removing friction from how NFTs transact today and enabling more widespread adoption and applicability to a broader range of consumers.</w:t>
      </w:r>
    </w:p>
    <w:p>
      <w:pPr>
        <w:spacing w:after="0" w:line="157"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0C0C0C"/>
        </w:rPr>
        <w:t>Over time, we will continue to invest in our business to provide best-in-class products and services. Some of those longer-term planned enhancements include:</w:t>
      </w:r>
    </w:p>
    <w:p>
      <w:pPr>
        <w:spacing w:after="0" w:line="184"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0C0C0C"/>
        </w:rPr>
      </w:pPr>
      <w:r>
        <w:rPr>
          <w:rFonts w:ascii="Arial" w:cs="Arial" w:eastAsia="Arial" w:hAnsi="Arial"/>
          <w:sz w:val="16"/>
          <w:szCs w:val="16"/>
          <w:b w:val="1"/>
          <w:bCs w:val="1"/>
          <w:i w:val="1"/>
          <w:iCs w:val="1"/>
          <w:color w:val="auto"/>
        </w:rPr>
        <w:t>Crypto enhancement</w:t>
      </w:r>
      <w:r>
        <w:rPr>
          <w:rFonts w:ascii="Arial" w:cs="Arial" w:eastAsia="Arial" w:hAnsi="Arial"/>
          <w:sz w:val="16"/>
          <w:szCs w:val="16"/>
          <w:b w:val="1"/>
          <w:bCs w:val="1"/>
          <w:i w:val="1"/>
          <w:iCs w:val="1"/>
          <w:color w:val="0C0C0C"/>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0C0C0C"/>
        </w:rPr>
        <w:t>We expect to expand our crypto capabilities to products and services that will appeal to both retail and institutional clients.</w:t>
      </w:r>
    </w:p>
    <w:p>
      <w:pPr>
        <w:spacing w:after="0" w:line="49" w:lineRule="exact"/>
        <w:rPr>
          <w:rFonts w:ascii="Arial" w:cs="Arial" w:eastAsia="Arial" w:hAnsi="Arial"/>
          <w:sz w:val="18"/>
          <w:szCs w:val="18"/>
          <w:color w:val="0C0C0C"/>
        </w:rPr>
      </w:pPr>
    </w:p>
    <w:p>
      <w:pPr>
        <w:jc w:val="both"/>
        <w:ind w:left="660"/>
        <w:spacing w:after="0" w:line="325" w:lineRule="auto"/>
        <w:rPr>
          <w:rFonts w:ascii="Arial" w:cs="Arial" w:eastAsia="Arial" w:hAnsi="Arial"/>
          <w:sz w:val="18"/>
          <w:szCs w:val="18"/>
          <w:color w:val="0C0C0C"/>
        </w:rPr>
      </w:pPr>
      <w:r>
        <w:rPr>
          <w:rFonts w:ascii="Arial" w:cs="Arial" w:eastAsia="Arial" w:hAnsi="Arial"/>
          <w:sz w:val="16"/>
          <w:szCs w:val="16"/>
          <w:color w:val="0C0C0C"/>
        </w:rPr>
        <w:t>Our institutional-grade cryptocurrency custody solution is our foundation. By increasing the acceptance of cryptocurrency investing in the institutional space, we believe that these additional products can further increase interest in cryptocurrency generally among consumers, benefiting</w:t>
      </w:r>
    </w:p>
    <w:p>
      <w:pPr>
        <w:spacing w:after="0" w:line="1" w:lineRule="exact"/>
        <w:rPr>
          <w:rFonts w:ascii="Arial" w:cs="Arial" w:eastAsia="Arial" w:hAnsi="Arial"/>
          <w:sz w:val="18"/>
          <w:szCs w:val="18"/>
          <w:color w:val="0C0C0C"/>
        </w:rPr>
      </w:pPr>
    </w:p>
    <w:p>
      <w:pPr>
        <w:ind w:left="660"/>
        <w:spacing w:after="0" w:line="308" w:lineRule="auto"/>
        <w:rPr>
          <w:rFonts w:ascii="Arial" w:cs="Arial" w:eastAsia="Arial" w:hAnsi="Arial"/>
          <w:sz w:val="18"/>
          <w:szCs w:val="18"/>
          <w:color w:val="0C0C0C"/>
        </w:rPr>
      </w:pPr>
      <w:r>
        <w:rPr>
          <w:rFonts w:ascii="Arial" w:cs="Arial" w:eastAsia="Arial" w:hAnsi="Arial"/>
          <w:sz w:val="18"/>
          <w:szCs w:val="18"/>
          <w:color w:val="0C0C0C"/>
        </w:rPr>
        <w:t>our platform. As the narrative for crypto shifts, we will look to enhance our crypto capabilities, including layer 2 protocols like Bitcoin’s Lightning Network and stablecoins, to drive increased utility in the crypto economy.</w:t>
      </w:r>
    </w:p>
    <w:p>
      <w:pPr>
        <w:spacing w:after="0" w:line="224" w:lineRule="exact"/>
        <w:rPr>
          <w:rFonts w:ascii="Arial" w:cs="Arial" w:eastAsia="Arial" w:hAnsi="Arial"/>
          <w:sz w:val="18"/>
          <w:szCs w:val="18"/>
          <w:color w:val="0C0C0C"/>
        </w:rPr>
      </w:pPr>
    </w:p>
    <w:p>
      <w:pPr>
        <w:jc w:val="both"/>
        <w:ind w:left="660" w:hanging="328"/>
        <w:spacing w:after="0" w:line="305" w:lineRule="auto"/>
        <w:tabs>
          <w:tab w:leader="none" w:pos="655" w:val="left"/>
        </w:tabs>
        <w:numPr>
          <w:ilvl w:val="0"/>
          <w:numId w:val="12"/>
        </w:numPr>
        <w:rPr>
          <w:rFonts w:ascii="Arial" w:cs="Arial" w:eastAsia="Arial" w:hAnsi="Arial"/>
          <w:sz w:val="19"/>
          <w:szCs w:val="19"/>
          <w:color w:val="auto"/>
        </w:rPr>
      </w:pPr>
      <w:r>
        <w:rPr>
          <w:rFonts w:ascii="Arial" w:cs="Arial" w:eastAsia="Arial" w:hAnsi="Arial"/>
          <w:sz w:val="16"/>
          <w:szCs w:val="16"/>
          <w:b w:val="1"/>
          <w:bCs w:val="1"/>
          <w:i w:val="1"/>
          <w:iCs w:val="1"/>
          <w:color w:val="0C0C0C"/>
        </w:rPr>
        <w:t xml:space="preserve">Market expansion. </w:t>
      </w:r>
      <w:r>
        <w:rPr>
          <w:rFonts w:ascii="Arial" w:cs="Arial" w:eastAsia="Arial" w:hAnsi="Arial"/>
          <w:sz w:val="16"/>
          <w:szCs w:val="16"/>
          <w:color w:val="0C0C0C"/>
        </w:rPr>
        <w:t>We expect to expand our platform into new markets. We believe that our Apex acquisition will enable us to accelerate our</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entry into new markets. While the exact sequence and identity of additional markets are yet to be determined, we presently also anticipate</w:t>
      </w:r>
    </w:p>
    <w:p>
      <w:pPr>
        <w:spacing w:after="0" w:line="1" w:lineRule="exact"/>
        <w:rPr>
          <w:rFonts w:ascii="Arial" w:cs="Arial" w:eastAsia="Arial" w:hAnsi="Arial"/>
          <w:sz w:val="19"/>
          <w:szCs w:val="19"/>
          <w:color w:val="auto"/>
        </w:rPr>
      </w:pPr>
    </w:p>
    <w:p>
      <w:pPr>
        <w:ind w:left="660"/>
        <w:spacing w:after="0" w:line="308" w:lineRule="auto"/>
        <w:rPr>
          <w:rFonts w:ascii="Arial" w:cs="Arial" w:eastAsia="Arial" w:hAnsi="Arial"/>
          <w:sz w:val="19"/>
          <w:szCs w:val="19"/>
          <w:color w:val="auto"/>
        </w:rPr>
      </w:pPr>
      <w:r>
        <w:rPr>
          <w:rFonts w:ascii="Arial" w:cs="Arial" w:eastAsia="Arial" w:hAnsi="Arial"/>
          <w:sz w:val="18"/>
          <w:szCs w:val="18"/>
          <w:color w:val="0C0C0C"/>
        </w:rPr>
        <w:t>expanding into Australia and the European Union. Ultimately, the decision as to when and where to expand will be driven by client and consumer demand and the regulatory environment in those markets.</w:t>
      </w:r>
    </w:p>
    <w:p>
      <w:pPr>
        <w:spacing w:after="0" w:line="211" w:lineRule="exact"/>
        <w:rPr>
          <w:rFonts w:ascii="Arial" w:cs="Arial" w:eastAsia="Arial" w:hAnsi="Arial"/>
          <w:sz w:val="19"/>
          <w:szCs w:val="19"/>
          <w:color w:val="auto"/>
        </w:rPr>
      </w:pPr>
    </w:p>
    <w:p>
      <w:pPr>
        <w:jc w:val="both"/>
        <w:ind w:left="660" w:hanging="328"/>
        <w:spacing w:after="0" w:line="280"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b w:val="1"/>
          <w:bCs w:val="1"/>
          <w:i w:val="1"/>
          <w:iCs w:val="1"/>
          <w:color w:val="0C0C0C"/>
        </w:rPr>
        <w:t xml:space="preserve">Evaluate additional strategic acquisitions. </w:t>
      </w:r>
      <w:r>
        <w:rPr>
          <w:rFonts w:ascii="Arial" w:cs="Arial" w:eastAsia="Arial" w:hAnsi="Arial"/>
          <w:sz w:val="18"/>
          <w:szCs w:val="18"/>
          <w:color w:val="0C0C0C"/>
        </w:rPr>
        <w:t>We believe that the pending Apex acquisition will accelerate our crypto strategy and bolster our path to</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profitability. The acquisition will enable us to offer new and expanded crypto capabilities to our existing clients and provide instant access into the fintech sector and transaction volume with more than 30 Apex clients. We will continue to be opportunistic and evaluate strategic acquisitions that have compelling benefits for our business.</w:t>
      </w:r>
    </w:p>
    <w:p>
      <w:pPr>
        <w:spacing w:after="0" w:line="249" w:lineRule="exact"/>
        <w:rPr>
          <w:rFonts w:ascii="Arial" w:cs="Arial" w:eastAsia="Arial" w:hAnsi="Arial"/>
          <w:sz w:val="20"/>
          <w:szCs w:val="20"/>
          <w:color w:val="auto"/>
        </w:rPr>
      </w:pPr>
    </w:p>
    <w:p>
      <w:pPr>
        <w:jc w:val="both"/>
        <w:ind w:left="660" w:hanging="328"/>
        <w:spacing w:after="0" w:line="293"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7"/>
          <w:szCs w:val="17"/>
          <w:b w:val="1"/>
          <w:bCs w:val="1"/>
          <w:i w:val="1"/>
          <w:iCs w:val="1"/>
          <w:color w:val="0C0C0C"/>
        </w:rPr>
        <w:t xml:space="preserve">Loyalty enhancements. </w:t>
      </w:r>
      <w:r>
        <w:rPr>
          <w:rFonts w:ascii="Arial" w:cs="Arial" w:eastAsia="Arial" w:hAnsi="Arial"/>
          <w:sz w:val="17"/>
          <w:szCs w:val="17"/>
          <w:color w:val="0C0C0C"/>
        </w:rPr>
        <w:t>As we serve existing loyalty clients with large active customer populations, we can create deeper relationships across</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merchants with Bakkt at the center of these loyalty networks. As loyalty programs seek new ways to leverage customer data and behaviors to deliver value, we believe our platform will enable clients to more effectively acquire, re-activate and engage customers.</w:t>
      </w:r>
    </w:p>
    <w:p>
      <w:pPr>
        <w:spacing w:after="0" w:line="20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0C0C0C"/>
        </w:rPr>
        <w:t xml:space="preserve">We expect to fund continued growth in our business using a portion of the net proceeds from our business combination with VIH, which closed on October 15, 2021. For more information, please see </w:t>
      </w:r>
      <w:r>
        <w:rPr>
          <w:rFonts w:ascii="Arial" w:cs="Arial" w:eastAsia="Arial" w:hAnsi="Arial"/>
          <w:sz w:val="18"/>
          <w:szCs w:val="18"/>
          <w:i w:val="1"/>
          <w:iCs w:val="1"/>
          <w:color w:val="0C0C0C"/>
        </w:rPr>
        <w:t>“Item 7. Management’s Discussion and Analysis of Financial Condition and Results of Operations –</w:t>
      </w:r>
      <w:r>
        <w:rPr>
          <w:rFonts w:ascii="Arial" w:cs="Arial" w:eastAsia="Arial" w:hAnsi="Arial"/>
          <w:sz w:val="18"/>
          <w:szCs w:val="18"/>
          <w:color w:val="0C0C0C"/>
        </w:rPr>
        <w:t xml:space="preserve"> </w:t>
      </w:r>
      <w:r>
        <w:rPr>
          <w:rFonts w:ascii="Arial" w:cs="Arial" w:eastAsia="Arial" w:hAnsi="Arial"/>
          <w:sz w:val="18"/>
          <w:szCs w:val="18"/>
          <w:i w:val="1"/>
          <w:iCs w:val="1"/>
          <w:color w:val="0C0C0C"/>
        </w:rPr>
        <w:t>Liquidity and Capital Resources.</w:t>
      </w:r>
      <w:r>
        <w:rPr>
          <w:rFonts w:ascii="Arial" w:cs="Arial" w:eastAsia="Arial" w:hAnsi="Arial"/>
          <w:sz w:val="18"/>
          <w:szCs w:val="18"/>
          <w:color w:val="0C0C0C"/>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How We Are Different</w:t>
      </w:r>
    </w:p>
    <w:p>
      <w:pPr>
        <w:spacing w:after="0" w:line="25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believe this provides a competitive differentiation that would be difficult to replicate. Although we do not believe that we have any single direct competitor for the full range of products we provide through our platform, we compete with a wide range of parties, including crypto exchanges, peer-to-peer payment systems, and loyalty program redemption solutions for similar services. This market is growing and changing rapidly, so we expect that we will continue to see increased competition with new entrants into the space or existing competitors expanding their product offerings.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0C0C0C"/>
        </w:rPr>
        <w:t>We believe that our business model provides us with significant competitive advantages, including:</w:t>
      </w:r>
    </w:p>
    <w:p>
      <w:pPr>
        <w:spacing w:after="0" w:line="306" w:lineRule="exact"/>
        <w:rPr>
          <w:sz w:val="20"/>
          <w:szCs w:val="20"/>
          <w:color w:val="auto"/>
        </w:rPr>
      </w:pPr>
    </w:p>
    <w:p>
      <w:pPr>
        <w:ind w:left="660" w:hanging="328"/>
        <w:spacing w:after="0" w:line="340" w:lineRule="auto"/>
        <w:tabs>
          <w:tab w:leader="none" w:pos="655" w:val="left"/>
        </w:tabs>
        <w:numPr>
          <w:ilvl w:val="0"/>
          <w:numId w:val="13"/>
        </w:numPr>
        <w:rPr>
          <w:rFonts w:ascii="Arial" w:cs="Arial" w:eastAsia="Arial" w:hAnsi="Arial"/>
          <w:sz w:val="18"/>
          <w:szCs w:val="18"/>
          <w:color w:val="0C0C0C"/>
        </w:rPr>
      </w:pPr>
      <w:r>
        <w:rPr>
          <w:rFonts w:ascii="Arial" w:cs="Arial" w:eastAsia="Arial" w:hAnsi="Arial"/>
          <w:sz w:val="18"/>
          <w:szCs w:val="18"/>
          <w:b w:val="1"/>
          <w:bCs w:val="1"/>
          <w:i w:val="1"/>
          <w:iCs w:val="1"/>
          <w:color w:val="0C0C0C"/>
        </w:rPr>
        <w:t xml:space="preserve">Multi-faceted approach to security and compliance. </w:t>
      </w:r>
      <w:r>
        <w:rPr>
          <w:rFonts w:ascii="Arial" w:cs="Arial" w:eastAsia="Arial" w:hAnsi="Arial"/>
          <w:sz w:val="18"/>
          <w:szCs w:val="18"/>
          <w:color w:val="0C0C0C"/>
        </w:rPr>
        <w:t>We enable responsible and secure access to crypto for our clients. Our compliance measures,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controls and rigorous risk management practices are at the core of how we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spacing w:after="0" w:line="338" w:lineRule="auto"/>
        <w:rPr>
          <w:sz w:val="20"/>
          <w:szCs w:val="20"/>
          <w:color w:val="auto"/>
        </w:rPr>
      </w:pPr>
      <w:r>
        <w:rPr>
          <w:rFonts w:ascii="Arial" w:cs="Arial" w:eastAsia="Arial" w:hAnsi="Arial"/>
          <w:sz w:val="17"/>
          <w:szCs w:val="17"/>
          <w:color w:val="0C0C0C"/>
        </w:rPr>
        <w:t>operate. Our infrastructure provides multiple layers of protection and provides heightened security and compliance. This includes a separate and independent board for Bakkt Trust and the separation of custody and exchange functions to minimize potential conflicts of interest. As a public company, we’re comprehensively regulated. We have taken the time and resources to obtain a BitLicense from the New York Department of Financial Services ("NYDFS"), a limited-purpose trust charter (also from NYDFS), state money trasmitter licenses, insurance policies, and to implement robust policies and programs that govern crypto-related activity, such as a cyber security program, information security policy, global anti-money laundering (“AML”) policy, and Bank Secrecy Act (“BSA”)/Office of Foreign Assets Control (“OFAC”) of the U.S. Department of the Treasury program. These measures are all designed to protect our clients and shareholders.</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Client-led strategy. </w:t>
      </w:r>
      <w:r>
        <w:rPr>
          <w:rFonts w:ascii="Arial" w:cs="Arial" w:eastAsia="Arial" w:hAnsi="Arial"/>
          <w:sz w:val="16"/>
          <w:szCs w:val="16"/>
          <w:color w:val="0C0C0C"/>
        </w:rPr>
        <w:t>We seek to leverage our existing and new client relationships with leading brands to add consumer users to our platform. By</w:t>
      </w:r>
    </w:p>
    <w:p>
      <w:pPr>
        <w:spacing w:after="0" w:line="72" w:lineRule="exact"/>
        <w:rPr>
          <w:rFonts w:ascii="Arial" w:cs="Arial" w:eastAsia="Arial" w:hAnsi="Arial"/>
          <w:sz w:val="16"/>
          <w:szCs w:val="16"/>
          <w:color w:val="0C0C0C"/>
        </w:rPr>
      </w:pPr>
    </w:p>
    <w:p>
      <w:pPr>
        <w:ind w:left="660" w:right="20"/>
        <w:spacing w:after="0" w:line="341" w:lineRule="auto"/>
        <w:rPr>
          <w:rFonts w:ascii="Arial" w:cs="Arial" w:eastAsia="Arial" w:hAnsi="Arial"/>
          <w:sz w:val="16"/>
          <w:szCs w:val="16"/>
          <w:color w:val="0C0C0C"/>
        </w:rPr>
      </w:pPr>
      <w:r>
        <w:rPr>
          <w:rFonts w:ascii="Arial" w:cs="Arial" w:eastAsia="Arial" w:hAnsi="Arial"/>
          <w:sz w:val="17"/>
          <w:szCs w:val="17"/>
          <w:color w:val="0C0C0C"/>
        </w:rPr>
        <w:t>partnering with these brands and their existing customer bases, we believe consumers are more likely to embrace the new asset classes offered on our platform. We also believe that, as a relatively new brand, this approach will allow us to scale users and revenue more quickly.</w:t>
      </w:r>
    </w:p>
    <w:p>
      <w:pPr>
        <w:spacing w:after="0" w:line="160" w:lineRule="exact"/>
        <w:rPr>
          <w:rFonts w:ascii="Arial" w:cs="Arial" w:eastAsia="Arial" w:hAnsi="Arial"/>
          <w:sz w:val="16"/>
          <w:szCs w:val="16"/>
          <w:color w:val="0C0C0C"/>
        </w:rPr>
      </w:pPr>
    </w:p>
    <w:p>
      <w:pPr>
        <w:jc w:val="both"/>
        <w:ind w:left="660" w:hanging="328"/>
        <w:spacing w:after="0" w:line="325" w:lineRule="auto"/>
        <w:tabs>
          <w:tab w:leader="none" w:pos="655" w:val="left"/>
        </w:tabs>
        <w:numPr>
          <w:ilvl w:val="0"/>
          <w:numId w:val="14"/>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Institutional-grade platform. </w:t>
      </w:r>
      <w:r>
        <w:rPr>
          <w:rFonts w:ascii="Arial" w:cs="Arial" w:eastAsia="Arial" w:hAnsi="Arial"/>
          <w:sz w:val="16"/>
          <w:szCs w:val="16"/>
          <w:color w:val="0C0C0C"/>
        </w:rPr>
        <w:t>Our platform architecture is engineered to natively support crypto across a wide range of classes, with scalability</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and strong regulatory and compliance controls. Our platform includes a custody platform that we designed and built in partnership with our</w:t>
      </w:r>
    </w:p>
    <w:p>
      <w:pPr>
        <w:spacing w:after="0" w:line="1" w:lineRule="exact"/>
        <w:rPr>
          <w:rFonts w:ascii="Arial" w:cs="Arial" w:eastAsia="Arial" w:hAnsi="Arial"/>
          <w:sz w:val="16"/>
          <w:szCs w:val="16"/>
          <w:color w:val="0C0C0C"/>
        </w:rPr>
      </w:pPr>
    </w:p>
    <w:p>
      <w:pPr>
        <w:ind w:left="660"/>
        <w:spacing w:after="0" w:line="308" w:lineRule="auto"/>
        <w:rPr>
          <w:rFonts w:ascii="Arial" w:cs="Arial" w:eastAsia="Arial" w:hAnsi="Arial"/>
          <w:sz w:val="16"/>
          <w:szCs w:val="16"/>
          <w:color w:val="0C0C0C"/>
        </w:rPr>
      </w:pPr>
      <w:r>
        <w:rPr>
          <w:rFonts w:ascii="Arial" w:cs="Arial" w:eastAsia="Arial" w:hAnsi="Arial"/>
          <w:sz w:val="18"/>
          <w:szCs w:val="18"/>
          <w:color w:val="0C0C0C"/>
        </w:rPr>
        <w:t>majority investor, ICE. Our platform was designed with these principles in mind to provide safe, reliable infrastructure for consumers in their everyday use.</w:t>
      </w:r>
    </w:p>
    <w:p>
      <w:pPr>
        <w:spacing w:after="0" w:line="184" w:lineRule="exact"/>
        <w:rPr>
          <w:rFonts w:ascii="Arial" w:cs="Arial" w:eastAsia="Arial" w:hAnsi="Arial"/>
          <w:sz w:val="16"/>
          <w:szCs w:val="16"/>
          <w:color w:val="0C0C0C"/>
        </w:rPr>
      </w:pPr>
    </w:p>
    <w:p>
      <w:pPr>
        <w:jc w:val="both"/>
        <w:ind w:left="660" w:hanging="328"/>
        <w:spacing w:after="0" w:line="325" w:lineRule="auto"/>
        <w:tabs>
          <w:tab w:leader="none" w:pos="655" w:val="left"/>
        </w:tabs>
        <w:numPr>
          <w:ilvl w:val="0"/>
          <w:numId w:val="14"/>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Trusted and scalable capabilities. </w:t>
      </w:r>
      <w:r>
        <w:rPr>
          <w:rFonts w:ascii="Arial" w:cs="Arial" w:eastAsia="Arial" w:hAnsi="Arial"/>
          <w:sz w:val="16"/>
          <w:szCs w:val="16"/>
          <w:color w:val="0C0C0C"/>
        </w:rPr>
        <w:t>Our approach, built to scale with technology, privacy, security and compliance at the core, is informed by our</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team's decades of collective experience. Our platform moves a significant amount of volume across asset classes every day, and we handle</w:t>
      </w:r>
    </w:p>
    <w:p>
      <w:pPr>
        <w:spacing w:after="0" w:line="1" w:lineRule="exact"/>
        <w:rPr>
          <w:rFonts w:ascii="Arial" w:cs="Arial" w:eastAsia="Arial" w:hAnsi="Arial"/>
          <w:sz w:val="16"/>
          <w:szCs w:val="16"/>
          <w:color w:val="0C0C0C"/>
        </w:rPr>
      </w:pPr>
    </w:p>
    <w:p>
      <w:pPr>
        <w:ind w:left="660"/>
        <w:spacing w:after="0" w:line="308" w:lineRule="auto"/>
        <w:rPr>
          <w:rFonts w:ascii="Arial" w:cs="Arial" w:eastAsia="Arial" w:hAnsi="Arial"/>
          <w:sz w:val="16"/>
          <w:szCs w:val="16"/>
          <w:color w:val="0C0C0C"/>
        </w:rPr>
      </w:pPr>
      <w:r>
        <w:rPr>
          <w:rFonts w:ascii="Arial" w:cs="Arial" w:eastAsia="Arial" w:hAnsi="Arial"/>
          <w:sz w:val="18"/>
          <w:szCs w:val="18"/>
          <w:color w:val="0C0C0C"/>
        </w:rPr>
        <w:t>customer service for many of the largest financial institutions in the country. We believe these pillars, when applied to the rapidly evolving crypto space, provide confidence to consumers, merchants, institutions and loyalty clients that participate in our ecosystem.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Sales and Marketing</w:t>
      </w:r>
    </w:p>
    <w:p>
      <w:pPr>
        <w:spacing w:after="0" w:line="252"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b w:val="1"/>
          <w:bCs w:val="1"/>
          <w:i w:val="1"/>
          <w:iCs w:val="1"/>
          <w:color w:val="0C0C0C"/>
        </w:rPr>
        <w:t>B2B2C Model</w:t>
      </w:r>
      <w:r>
        <w:rPr>
          <w:rFonts w:ascii="Arial" w:cs="Arial" w:eastAsia="Arial" w:hAnsi="Arial"/>
          <w:sz w:val="17"/>
          <w:szCs w:val="17"/>
          <w:b w:val="1"/>
          <w:bCs w:val="1"/>
          <w:color w:val="0C0C0C"/>
        </w:rPr>
        <w:t>.</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Our go-to-market strategy is “business-to-business-to-consumer”, or “B2B2C”, where we acquire customers primarily via client</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relationships. We believe our focused approach on building scalable partnerships will drive strong growth in end users. We also believe this approach is more efficient and scalable than a direct-to-consumer strategy, and we have seen early evidence that this belief is warranted. Our goal is to provide our clients with opportunities to leverage Bakkt’s capabilities through their existing customer digital experiences.</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0C0C0C"/>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financial technology entrants (“fintechs”).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tightly-integrated, low risk solution to offer crypto and loyalty services.</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b w:val="1"/>
          <w:bCs w:val="1"/>
          <w:i w:val="1"/>
          <w:iCs w:val="1"/>
          <w:color w:val="0C0C0C"/>
        </w:rPr>
        <w:t xml:space="preserve">Value of Partnerships. </w:t>
      </w:r>
      <w:r>
        <w:rPr>
          <w:rFonts w:ascii="Arial" w:cs="Arial" w:eastAsia="Arial" w:hAnsi="Arial"/>
          <w:sz w:val="18"/>
          <w:szCs w:val="18"/>
          <w:color w:val="0C0C0C"/>
        </w:rPr>
        <w:t>We believe our growing network of clients provides potential for increased scale and substantiates the viability of our</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business 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Customer Care</w:t>
      </w:r>
    </w:p>
    <w:p>
      <w:pPr>
        <w:spacing w:after="0" w:line="27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0C0C0C"/>
        </w:rPr>
        <w:t>Our customer service channels are at the core of our offerings to clients, providing seamless and easy-to-leverage support for the wide array of cryptoasset transactions on our platform. We have invested heavily in customer support to provide our clients and their customers with the best possible experience. Leveraging our staff of customer service representatives, we provide 24x7 support for our clients. Our customer service agents undergo a rigorous training program and are continually monitored and trained as new capabilities are added to the platform. New clients are able to leverage our deep expertise in customer support as they roll out new offerings, like crypto, to their consumer bases.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Technology</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151515"/>
        </w:rPr>
        <w:t>Our core platforms and infrastructure provide loyalty integrations, travel redemption, crypto buy/sell trading, and crypto custody. Additionally, our platform supports "know your customer" ("KYC"), AML, and other anti-fraud measures to combat financial crime.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0C0C0C"/>
        </w:rPr>
        <w:t>Our modern embedded web experiences and agile API-enabled platform allow us to partner and easily integrate with clients, including through the following:</w:t>
      </w:r>
    </w:p>
    <w:p>
      <w:pPr>
        <w:spacing w:after="0" w:line="225" w:lineRule="exact"/>
        <w:rPr>
          <w:sz w:val="20"/>
          <w:szCs w:val="20"/>
          <w:color w:val="auto"/>
        </w:rPr>
      </w:pPr>
    </w:p>
    <w:p>
      <w:pPr>
        <w:jc w:val="both"/>
        <w:ind w:left="660" w:hanging="328"/>
        <w:spacing w:after="0" w:line="279"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0C0C0C"/>
        </w:rPr>
        <w:t>Our loyalty redemption service is provided as SaaS and powers rewards redemption for leading loyalty programs. The service is built upon highly scalable proprietary technology and supports integration with dozens of suppliers and millions of items, both through a mobile-first responsive web app or integrated into clients’ apps or sites.</w:t>
      </w:r>
    </w:p>
    <w:p>
      <w:pPr>
        <w:spacing w:after="0" w:line="19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0C0C0C"/>
        </w:rPr>
        <w:t>Our crypto products operate in an institutional-grade cryptocurrency custody and trading platform, primarily comprised of our custody platform,</w:t>
      </w:r>
    </w:p>
    <w:p>
      <w:pPr>
        <w:spacing w:after="0" w:line="72" w:lineRule="exact"/>
        <w:rPr>
          <w:rFonts w:ascii="Arial" w:cs="Arial" w:eastAsia="Arial" w:hAnsi="Arial"/>
          <w:sz w:val="16"/>
          <w:szCs w:val="16"/>
          <w:color w:val="auto"/>
        </w:rPr>
      </w:pP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0C0C0C"/>
        </w:rPr>
        <w:t xml:space="preserve">Bakkt Trust, and our pricing execution engine. The custody platform is purpose-built to safeguard </w:t>
      </w:r>
      <w:r>
        <w:rPr>
          <w:rFonts w:ascii="Arial" w:cs="Arial" w:eastAsia="Arial" w:hAnsi="Arial"/>
          <w:sz w:val="16"/>
          <w:szCs w:val="16"/>
          <w:color w:val="000000"/>
        </w:rPr>
        <w:t>crypto</w:t>
      </w:r>
      <w:r>
        <w:rPr>
          <w:rFonts w:ascii="Arial" w:cs="Arial" w:eastAsia="Arial" w:hAnsi="Arial"/>
          <w:sz w:val="16"/>
          <w:szCs w:val="16"/>
          <w:color w:val="0C0C0C"/>
        </w:rPr>
        <w:t>, with multi-signature wallet policies, hardware security modules and offline storage of private key material, blockchain surveillance and AML/KYC compliance integrated into the core</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0C0C0C"/>
        </w:rPr>
        <w:t>of the platform. Our pricing execution engine is an automated trading system that facilitates the purchase and sale of cryptocurrencies by customers and is built to scale on demand leveraging the cloud.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Cybersecurity</w:t>
      </w:r>
    </w:p>
    <w:p>
      <w:pPr>
        <w:spacing w:after="0" w:line="25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0C0C0C"/>
        </w:rPr>
        <w:t>Each of our products is architected, deployed, and managed through controls designed to protect our customers' confidential information and manage in line with industry best practices and applicable law. We maintain a comprehensive cyber security program, managed by a dedicated team of security professionals, leveraging multiple layers of defenses to protect consumer data and crypto wallets, including cryptocurrency that is kept in custody. For example, we operate a combination of administrative, technical, and physical controls. Some of these controls include the use of biometrics, hardware security modules, advanced cryptographic algorithms, dedicated security monitoring, separation of duties and other controls to protect and restrict unauthorized movement of crypto assets to and from the custody operations conducted by Bakkt Trust. Additionally, we regularly utilize independent and reputable external parties to assess and provide added assurance that our products are appropriately secured and resilient against modern cyber threats. We currently maintain independent SSAE-18 SOC 1 and SOC 2 attestation reports for our crypto and loyalty platform. We also maintain controls aligned to the Payment Card Industry Data Security Standard ("PCI-DSS") for in-scope systems where cardholder data is stored or processed. We comply with NYDFS cybersecurity requirements which imposes strict rules related to establishing a detailed cybersecurity plan, enacting a comprehensive cybersecurity policy, and maintaining an ongoing reporting system for cybersecurity events. Finally, we maintain a privacy program designed to meet applicable privacy laws or regulations. This includes the capability to effectively respond to consumer data subject requests or regulatory requests.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Regulation</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0C0C0C"/>
        </w:rPr>
        <w:t>Federal and state laws and regulations apply to many key aspects of our business. Any actual or perceived failure to comply with these requirements may result in, among other things, revocation of required licenses or registrations,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0C0C0C"/>
        </w:rPr>
        <w:t xml:space="preserve">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 products and services, or that could require costly, time-consuming, or otherwise burdensome compliance measures. Further, additional laws and regulations may apply to our businesses as we expand outside of the United States in the future. For more information, please see our risk factors described in </w:t>
      </w:r>
      <w:r>
        <w:rPr>
          <w:rFonts w:ascii="Arial" w:cs="Arial" w:eastAsia="Arial" w:hAnsi="Arial"/>
          <w:sz w:val="17"/>
          <w:szCs w:val="17"/>
          <w:i w:val="1"/>
          <w:iCs w:val="1"/>
          <w:color w:val="0C0C0C"/>
        </w:rPr>
        <w:t>“Item 1A. Risk Factors - Risks Related to Regulation, Taxation and Laws”.</w:t>
      </w:r>
    </w:p>
    <w:p>
      <w:pPr>
        <w:spacing w:after="0" w:line="17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b w:val="1"/>
          <w:bCs w:val="1"/>
          <w:i w:val="1"/>
          <w:iCs w:val="1"/>
          <w:color w:val="0C0C0C"/>
        </w:rPr>
        <w:t xml:space="preserve">Regulation of Our Payments Business. </w:t>
      </w:r>
      <w:r>
        <w:rPr>
          <w:rFonts w:ascii="Arial" w:cs="Arial" w:eastAsia="Arial" w:hAnsi="Arial"/>
          <w:sz w:val="16"/>
          <w:szCs w:val="16"/>
          <w:color w:val="0C0C0C"/>
        </w:rPr>
        <w:t>Bakkt Marketplace, LLC (“Bakkt Marketplace”), our subsidiary, maintains a money transmitter license in</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each jurisdiction in which we operate that requires such a license for our activities. In all other jurisdictions where Bakkt Marketplace operates, we have established with the applicable licensing body that a money transmitter license is not required at this time. We will comply with new license requirements as they arise. Bakkt Marketplace is also registered as a "Money Services Business" with the U.S. Department of Treasury’s Financial Crimes Enforcement Network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 In connection with our payments business and card product, we are subject to compliance with certain industry rules, including those promulgated by the National Automated Clearing House Association (“NACHA”), as well as card network rules and guidelines. Additional new products and services that we offer may impose additional obligations on us to comply with NACHA and card network obligations related to preventing fraud and security breaches.</w:t>
      </w:r>
    </w:p>
    <w:p>
      <w:pPr>
        <w:spacing w:after="0" w:line="17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b w:val="1"/>
          <w:bCs w:val="1"/>
          <w:i w:val="1"/>
          <w:iCs w:val="1"/>
          <w:color w:val="0C0C0C"/>
        </w:rPr>
        <w:t xml:space="preserve">Regulation of Our Virtual Currency Business. </w:t>
      </w:r>
      <w:r>
        <w:rPr>
          <w:rFonts w:ascii="Arial" w:cs="Arial" w:eastAsia="Arial" w:hAnsi="Arial"/>
          <w:sz w:val="17"/>
          <w:szCs w:val="17"/>
          <w:color w:val="0C0C0C"/>
        </w:rPr>
        <w:t>We provide cryptocurrency custody services through Bakkt Trust, a limited purpose trust company</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that is chartered under the New York Banking Law and subject to the supervision and oversight of the NYDFS. Consequently, we must comply with laws, rules and regulations promulgated pursuant to the New York Banking Law with respect to the cryptocurrency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spacing w:after="0" w:line="16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0C0C0C"/>
        </w:rPr>
        <w:t>We are subject in certain jurisdictions to licensing and regulatory requirements as a result of offering our clients the ability to aggregate, buy, sell, convert, spend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has a virtual currency license (“BitLicense”) from the NYDFS, which subjects it to NYDFS's oversight with respect to business activities conducted in New York State and with New York residents.</w:t>
      </w:r>
    </w:p>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0C0C0C"/>
        </w:rPr>
        <w:t>The laws and regulations applicable to crypto are rapidly evolving and subject to interpretation and change. For instance, the Securities and Exchange Commission (the “SEC”) has indicated that it considers certain cryptocurrencies to possibly constitute securities. The SEC has yet to issue any formal regulation on this point, though it has put forth some guidance on overarching frameworks and relevant factors to consider in this analysis. Therefore, our crypto services offered through our platform or our limited purpose trust company may become subject to regulation by other authorities and/or may subject us to additional requirements.</w:t>
      </w:r>
    </w:p>
    <w:p>
      <w:pPr>
        <w:spacing w:after="0" w:line="22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b w:val="1"/>
          <w:bCs w:val="1"/>
          <w:i w:val="1"/>
          <w:iCs w:val="1"/>
          <w:color w:val="auto"/>
        </w:rPr>
        <w:t xml:space="preserve">Broker-Dealer Regulation. </w:t>
      </w:r>
      <w:r>
        <w:rPr>
          <w:rFonts w:ascii="Arial" w:cs="Arial" w:eastAsia="Arial" w:hAnsi="Arial"/>
          <w:sz w:val="17"/>
          <w:szCs w:val="17"/>
          <w:color w:val="auto"/>
        </w:rPr>
        <w:t>The Exchange Act requires that any person who is a broker or a dealer and effects or induces securities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register with the SEC. A broker is defined as “any person engaged in the business of effecting transactions in securities for the account of others,” while a dealer is defined as “any person engaged in the business of buying and selling securities for such person’s own account,” in each case, subject to exceptions. In order to be able to act as a broker and advise clients interested in transactions that involve securities, we acquired a registered broker-dealer, Bumped. This acquisition is currently under review by FINRA and remains subject to receiving FINRA’s approval.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Broker-dealers are subject to regulation, examination, investigation, and disciplinary action by the SEC, FINRA, and state securities regulators, as well as other governmental authorities and self-regulatory organizations with which they are registered or licensed or of which they are a member. Bumped is registered as a broker-dealer in 52 U.S. states and territories. The regulation of broker-dealers covers all aspects of the broker-dealer business and operations, including, depending the scope of its activities,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 Broker-dealers are also subject to anti-money laundering rules and requirements issued by FinCEN under the U.S. Bank Secrecy Act.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b w:val="1"/>
          <w:bCs w:val="1"/>
          <w:i w:val="1"/>
          <w:iCs w:val="1"/>
          <w:color w:val="0C0C0C"/>
        </w:rPr>
        <w:t xml:space="preserve">Privacy and Information Cybersecurity Regulations. </w:t>
      </w:r>
      <w:r>
        <w:rPr>
          <w:rFonts w:ascii="Arial" w:cs="Arial" w:eastAsia="Arial" w:hAnsi="Arial"/>
          <w:sz w:val="18"/>
          <w:szCs w:val="18"/>
          <w:color w:val="0C0C0C"/>
        </w:rPr>
        <w:t>Aspects of our operations or business are subject to laws and regulation in the United States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potentially beyond, and as laws and regulations continue to be passed and their interpretations continue to evolve in numerous jurisdictions, additional laws and regulations may become relevant to us.</w:t>
      </w:r>
    </w:p>
    <w:p>
      <w:pPr>
        <w:spacing w:after="0" w:line="19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Arial" w:cs="Arial" w:eastAsia="Arial" w:hAnsi="Arial"/>
          <w:sz w:val="16"/>
          <w:szCs w:val="16"/>
          <w:i w:val="1"/>
          <w:iCs w:val="1"/>
          <w:color w:val="0C0C0C"/>
        </w:rPr>
        <w:t>Risk Factors – Risks Related to Regulation, Taxation, and Laws –</w:t>
      </w:r>
      <w:r>
        <w:rPr>
          <w:rFonts w:ascii="Arial" w:cs="Arial" w:eastAsia="Arial" w:hAnsi="Arial"/>
          <w:sz w:val="16"/>
          <w:szCs w:val="16"/>
          <w:color w:val="0C0C0C"/>
        </w:rPr>
        <w:t xml:space="preserve"> </w:t>
      </w:r>
      <w:r>
        <w:rPr>
          <w:rFonts w:ascii="Arial" w:cs="Arial" w:eastAsia="Arial" w:hAnsi="Arial"/>
          <w:sz w:val="16"/>
          <w:szCs w:val="16"/>
          <w:i w:val="1"/>
          <w:iCs w:val="1"/>
          <w:color w:val="0C0C0C"/>
        </w:rPr>
        <w:t xml:space="preserve">Complying with evolving laws and requirements relating to privacy, </w:t>
      </w:r>
      <w:r>
        <w:rPr>
          <w:rFonts w:ascii="Arial" w:cs="Arial" w:eastAsia="Arial" w:hAnsi="Arial"/>
          <w:sz w:val="16"/>
          <w:szCs w:val="16"/>
          <w:i w:val="1"/>
          <w:iCs w:val="1"/>
          <w:color w:val="000000"/>
        </w:rPr>
        <w:t>and other data related laws and requirements</w:t>
      </w:r>
      <w:r>
        <w:rPr>
          <w:rFonts w:ascii="Arial" w:cs="Arial" w:eastAsia="Arial" w:hAnsi="Arial"/>
          <w:sz w:val="16"/>
          <w:szCs w:val="16"/>
          <w:i w:val="1"/>
          <w:iCs w:val="1"/>
          <w:color w:val="0C0C0C"/>
        </w:rPr>
        <w:t xml:space="preserve"> may be expensive and force us to make changes to our business, and failure to comply with such laws and requirements could result in substantial harm to our business.</w:t>
      </w:r>
      <w:r>
        <w:rPr>
          <w:rFonts w:ascii="Arial" w:cs="Arial" w:eastAsia="Arial" w:hAnsi="Arial"/>
          <w:sz w:val="16"/>
          <w:szCs w:val="16"/>
          <w:color w:val="0C0C0C"/>
        </w:rPr>
        <w:t>”</w:t>
      </w:r>
    </w:p>
    <w:p>
      <w:pPr>
        <w:spacing w:after="0" w:line="15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b w:val="1"/>
          <w:bCs w:val="1"/>
          <w:i w:val="1"/>
          <w:iCs w:val="1"/>
          <w:color w:val="0C0C0C"/>
        </w:rPr>
        <w:t xml:space="preserve">Consumer Protection Regulation. </w:t>
      </w:r>
      <w:r>
        <w:rPr>
          <w:rFonts w:ascii="Arial" w:cs="Arial" w:eastAsia="Arial" w:hAnsi="Arial"/>
          <w:sz w:val="17"/>
          <w:szCs w:val="17"/>
          <w:color w:val="0C0C0C"/>
        </w:rPr>
        <w:t>The Consumer Financial Protection Bureau and other federal and state regulatory agencies, including the</w:t>
      </w:r>
      <w:r>
        <w:rPr>
          <w:rFonts w:ascii="Arial" w:cs="Arial" w:eastAsia="Arial" w:hAnsi="Arial"/>
          <w:sz w:val="17"/>
          <w:szCs w:val="17"/>
          <w:b w:val="1"/>
          <w:bCs w:val="1"/>
          <w:i w:val="1"/>
          <w:iCs w:val="1"/>
          <w:color w:val="0C0C0C"/>
        </w:rPr>
        <w:t xml:space="preserve"> </w:t>
      </w:r>
      <w:r>
        <w:rPr>
          <w:rFonts w:ascii="Arial" w:cs="Arial" w:eastAsia="Arial" w:hAnsi="Arial"/>
          <w:sz w:val="17"/>
          <w:szCs w:val="17"/>
          <w:color w:val="0C0C0C"/>
        </w:rPr>
        <w:t>Federal 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that may impact or apply to our business.</w:t>
      </w:r>
    </w:p>
    <w:p>
      <w:pPr>
        <w:spacing w:after="0" w:line="16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 We are further required to extend error resolution and limited liability protections to customers who use our card product.</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i w:val="1"/>
          <w:iCs w:val="1"/>
          <w:color w:val="0C0C0C"/>
        </w:rPr>
        <w:t xml:space="preserve">Anti-Money Laundering and Counter-Terrorism Regulation. </w:t>
      </w:r>
      <w:r>
        <w:rPr>
          <w:rFonts w:ascii="Arial" w:cs="Arial" w:eastAsia="Arial" w:hAnsi="Arial"/>
          <w:sz w:val="18"/>
          <w:szCs w:val="18"/>
          <w:color w:val="0C0C0C"/>
        </w:rPr>
        <w:t>We are subject to AML laws and regulations in the United States, including the</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BSA, as amended, and its implemented regulations enforced by 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0C0C0C"/>
        </w:rPr>
        <w:t>program. It is designed to address applicable legal and regulatory requirements and to assist in managing risk associated with money laundering and terrorist financing.</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b w:val="1"/>
          <w:bCs w:val="1"/>
          <w:i w:val="1"/>
          <w:iCs w:val="1"/>
          <w:color w:val="0C0C0C"/>
        </w:rPr>
        <w:t xml:space="preserve">Indirect Regulatory Requirements. </w:t>
      </w:r>
      <w:r>
        <w:rPr>
          <w:rFonts w:ascii="Arial" w:cs="Arial" w:eastAsia="Arial" w:hAnsi="Arial"/>
          <w:sz w:val="18"/>
          <w:szCs w:val="18"/>
          <w:color w:val="0C0C0C"/>
        </w:rPr>
        <w:t>We maintain relationships with certain clients, including banks and other financial institutions in the United</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States, that are regulated by state, local and federal agencies. Because of these relationships, we may be subject to indirect regulation or examination by these institutions' regulators. We generally seek to account for these types of indirect regulatory requirements in our commercial agreements. We also have clients that are investments advisors. The SEC has recently proposed changes to its investment adviser custody rule, which could affect the terms upon which we can offer custody services to those clients.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b w:val="1"/>
          <w:bCs w:val="1"/>
          <w:i w:val="1"/>
          <w:iCs w:val="1"/>
          <w:color w:val="0C0C0C"/>
        </w:rPr>
        <w:t xml:space="preserve">Escheatment and Unclaimed Property Regulations. </w:t>
      </w:r>
      <w:r>
        <w:rPr>
          <w:rFonts w:ascii="Arial" w:cs="Arial" w:eastAsia="Arial" w:hAnsi="Arial"/>
          <w:sz w:val="18"/>
          <w:szCs w:val="18"/>
          <w:color w:val="0C0C0C"/>
        </w:rPr>
        <w:t>There is regulatory uncertainty regarding how states and jurisdictions treat virtual currencies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and 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Intellectual Property</w:t>
      </w:r>
    </w:p>
    <w:p>
      <w:pPr>
        <w:spacing w:after="0" w:line="25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Human Capital</w:t>
      </w:r>
    </w:p>
    <w:p>
      <w:pPr>
        <w:spacing w:after="0" w:line="25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0C0C0C"/>
        </w:rPr>
        <w:t>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 strive to challenge the status quo with new ideas, have open and honest communications, appreciate our diversity of thought, take ownership and accountability for delivering valuable results and act with integrity, respect and reliability.</w:t>
      </w:r>
    </w:p>
    <w:p>
      <w:pPr>
        <w:spacing w:after="0" w:line="148"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In a complex industry, it is critical for employees to act ethically. We provide regular trainings to help our employees understand and comply with the many regulations in our industry and with our company policies. We expect managers to set the tone for their teams and to lead by example, including by embracing ethical behavior and sharing its importance with their team. Managers are expected to help their teams understand our company policies and encourage them to report any violations of policy or law. As a company, we help ensure Bakkt’s non-retaliation policy is strictly followed.</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0C0C0C"/>
        </w:rPr>
        <w:t>At Bakkt, we understand that our success is built by operating as a unified company – one culture and team across the crypto landscape, with a focus on growth and innovation. We are committed to diversity throughout our company. It 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0C0C0C"/>
        </w:rPr>
        <w:t>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topics. Our employees come from a wide variety of backgrounds to work toward a common vision for the Company. Our CEO brings our teams together in bi-weekly all hands calls and sends weekly email updates for transparency regarding our company strategy and goals.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We strive to hold employees accountable for their work performance while providing incentives for excellence in their contributions to the Company. We encourage open collaboration to put out the best ideas and solutions to better adapt to changing markets and other challenges Bakkt faces. </w:t>
      </w:r>
      <w:r>
        <w:rPr>
          <w:rFonts w:ascii="Arial" w:cs="Arial" w:eastAsia="Arial" w:hAnsi="Arial"/>
          <w:sz w:val="18"/>
          <w:szCs w:val="18"/>
          <w:color w:val="0C0C0C"/>
        </w:rPr>
        <w:t>Our commitment to our employees is reflected in our ability to attract high-caliber talent, continuously innovate, and provide exceptional service and solutions to our clients.</w:t>
      </w:r>
    </w:p>
    <w:p>
      <w:pPr>
        <w:spacing w:after="0" w:line="19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0C0C0C"/>
        </w:rPr>
        <w:t>As of December 31, 2022, we had a total of 1,037 employees, all of whom were full-time employees, and all of whom are located in the United States. We also engage temporary employees and consultants as needed to support our operations. Collectively, approximately 18% of our workforce is dedicated to engineering, design, or product roles. Our core locations are Alpharetta, GA, Scottsdale, AZ, New York City, NY and San Francisco, CA. None of our employees are represented by a labor union or covered by a collective bargaining agreement. We have not experienced any work stoppages, and we consider our relations with our employees to be good. We believe our positive culture strengthens our company and enables our business success.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COVID-19 Impacts</w:t>
      </w:r>
    </w:p>
    <w:p>
      <w:pPr>
        <w:spacing w:after="0" w:line="2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March 2020, the World Health Organization declared the COVID-19 outbreak a global pandemic. The COVID-19 pandemic has adversely affected global economic activity and, in 2020, contributed to significant declines and volatility in financial markets. During the year ended December 31, 2022, our business operations continued to recover from the impacts of the pandemic, and revenue from loyalty and travel business also continued to recover.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Available Information</w:t>
      </w:r>
    </w:p>
    <w:p>
      <w:pPr>
        <w:spacing w:after="0" w:line="27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Our website is http://www.bakkt.com, and our investor relations website is located at https://investors.bakkt.com, where we make available, free of charge, our Annual Reports on Form 10-K, Quarterly Reports on Form 10-Q and Current Reports on Form 8-K and amendments to those reports filed or furnished pursuant to Section 13(a) or 15(d) of the Exchange Act, as well as proxy statements, as soon as reasonably practicable after we electronically file such material with, or furnish it to, the SEC.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The information on our website is not incorporated by reference into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4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Finances and Operations</w:t>
      </w:r>
    </w:p>
    <w:p>
      <w:pPr>
        <w:spacing w:after="0" w:line="1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model is newly developed and may encounter additional risks and challenges as it grows.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platform is still in the early stages of its release and is largely untested.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add additional functionalities and cryptoassets to our platform may adversely affect future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limited operating history and a history of operating losses.</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attract, retain or grow our relationships with our existing clients, our business, financial condition, results of operations and future prospects would be materially and adversely affected.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Some of our current and prospective clients require the approval of their own regulators in order to deploy our solutions, especially our crypto</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solutions, and if they are unable to obtain those approvals on a timely basis, or at all, our results of operations and future prospects would be materially and adversely affected.</w:t>
      </w:r>
    </w:p>
    <w:p>
      <w:pPr>
        <w:spacing w:after="0" w:line="76" w:lineRule="exact"/>
        <w:rPr>
          <w:rFonts w:ascii="Arial" w:cs="Arial" w:eastAsia="Arial" w:hAnsi="Arial"/>
          <w:sz w:val="16"/>
          <w:szCs w:val="16"/>
          <w:color w:val="auto"/>
        </w:rPr>
      </w:pPr>
    </w:p>
    <w:p>
      <w:pPr>
        <w:jc w:val="both"/>
        <w:ind w:left="660" w:hanging="328"/>
        <w:spacing w:after="0" w:line="325"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w:t>
      </w:r>
    </w:p>
    <w:p>
      <w:pPr>
        <w:spacing w:after="0" w:line="1" w:lineRule="exact"/>
        <w:rPr>
          <w:rFonts w:ascii="Arial" w:cs="Arial" w:eastAsia="Arial" w:hAnsi="Arial"/>
          <w:sz w:val="16"/>
          <w:szCs w:val="16"/>
          <w:color w:val="auto"/>
        </w:rPr>
      </w:pPr>
    </w:p>
    <w:p>
      <w:pPr>
        <w:ind w:left="660" w:right="20"/>
        <w:spacing w:after="0" w:line="308" w:lineRule="auto"/>
        <w:rPr>
          <w:rFonts w:ascii="Arial" w:cs="Arial" w:eastAsia="Arial" w:hAnsi="Arial"/>
          <w:sz w:val="16"/>
          <w:szCs w:val="16"/>
          <w:color w:val="auto"/>
        </w:rPr>
      </w:pPr>
      <w:r>
        <w:rPr>
          <w:rFonts w:ascii="Arial" w:cs="Arial" w:eastAsia="Arial" w:hAnsi="Arial"/>
          <w:sz w:val="18"/>
          <w:szCs w:val="18"/>
          <w:color w:val="auto"/>
        </w:rPr>
        <w:t>client – regardless of the reason – increases the risk that the customers that originally emanated from that client will transition to another provider or stop doing business with us, which would harm our business.</w:t>
      </w:r>
    </w:p>
    <w:p>
      <w:pPr>
        <w:spacing w:after="0" w:line="76" w:lineRule="exact"/>
        <w:rPr>
          <w:rFonts w:ascii="Arial" w:cs="Arial" w:eastAsia="Arial" w:hAnsi="Arial"/>
          <w:sz w:val="16"/>
          <w:szCs w:val="16"/>
          <w:color w:val="auto"/>
        </w:rPr>
      </w:pPr>
    </w:p>
    <w:p>
      <w:pPr>
        <w:ind w:left="660" w:hanging="328"/>
        <w:spacing w:after="0" w:line="32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realize the anticipated benefits of past or future investments, strategic transactions, or acquisitions – including the pending acquisition of Apex Crypto LLC – and integration of these acquisitions may disrupt our business and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Crypto</w:t>
      </w:r>
    </w:p>
    <w:p>
      <w:pPr>
        <w:spacing w:after="0" w:line="1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in the crypto market subject us to additional risks, including the risk that banks may not provide banking services to us.</w:t>
      </w:r>
    </w:p>
    <w:p>
      <w:pPr>
        <w:spacing w:after="0" w:line="15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a general perception among regulators and others that crypto is used to facilitate illegal activity such as fraud, money laundering, tax evasion and ransomware scams.</w:t>
      </w:r>
    </w:p>
    <w:p>
      <w:pPr>
        <w:spacing w:after="0" w:line="7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failure to safeguard and manage our customers’ crypto could adversely impact our business, operating results, and financial condition.</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Crypto does not have extensive historical precedent and distributed ledger technology continues to rapidly evolve.</w:t>
      </w:r>
    </w:p>
    <w:p>
      <w:pPr>
        <w:spacing w:after="0" w:line="15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technical issues in connection with the integration of supported cryptoassets and changes and upgrades to their underlying networks, which could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Taxation and Laws</w:t>
      </w:r>
    </w:p>
    <w:p>
      <w:pPr>
        <w:spacing w:after="0" w:line="131" w:lineRule="exact"/>
        <w:rPr>
          <w:sz w:val="20"/>
          <w:szCs w:val="20"/>
          <w:color w:val="auto"/>
        </w:rPr>
      </w:pPr>
    </w:p>
    <w:p>
      <w:pPr>
        <w:ind w:left="66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extensive government regulation, oversight, licensure and appraisals and our failure to comply could materially harm our business.</w:t>
      </w:r>
    </w:p>
    <w:p>
      <w:pPr>
        <w:spacing w:after="0" w:line="7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regime governing blockchain technologies and crypto is uncertain, and new regulations or policies may alter or significantly adversely affect our business practices with respect to crypto.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cryptoasset’s status as a “security” in any relevant jurisdiction is subject to a high degree of uncertainty, and if cryptoassets on our platform are</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later determined to be securities, we may be subject to regulatory scrutiny, investigations, fines, and other penalties, which may adversely affect our business, operating results, and financial condition.</w:t>
      </w:r>
    </w:p>
    <w:p>
      <w:pPr>
        <w:spacing w:after="0" w:line="76" w:lineRule="exact"/>
        <w:rPr>
          <w:rFonts w:ascii="Arial" w:cs="Arial" w:eastAsia="Arial" w:hAnsi="Arial"/>
          <w:sz w:val="16"/>
          <w:szCs w:val="16"/>
          <w:color w:val="auto"/>
        </w:rPr>
      </w:pPr>
    </w:p>
    <w:p>
      <w:pPr>
        <w:ind w:left="660" w:hanging="328"/>
        <w:spacing w:after="0" w:line="30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subject to significant litigation risk and risk of regulatory liability and penalties. Any current or future litigation against us could be costly and time-consuming to defend.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Information Technology and Data</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perceived cyberattacks, security incidents, or breaches could result in serious harm to our reputation, business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Risk Management and Financial Reporting</w:t>
      </w:r>
    </w:p>
    <w:p>
      <w:pPr>
        <w:spacing w:after="0" w:line="131" w:lineRule="exact"/>
        <w:rPr>
          <w:sz w:val="20"/>
          <w:szCs w:val="20"/>
          <w:color w:val="auto"/>
        </w:rPr>
      </w:pPr>
    </w:p>
    <w:p>
      <w:pPr>
        <w:ind w:left="660" w:hanging="328"/>
        <w:spacing w:after="0" w:line="32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Securities</w:t>
      </w:r>
    </w:p>
    <w:p>
      <w:pPr>
        <w:spacing w:after="0" w:line="1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trading market for our securities has in the past been and could in the future be impacted by market volatility. Stock run-ups, divergences in</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valuation ratios relative to those seen during traditional markets, high short interest or short squeezes, and strong and atypical retail investor interest in the markets may impact the demand for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Finances and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model is newly developed and may encounter additional risks and challenges as it grows.</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Our vision is that our clients will utilize our platform as the go-to solution enabling customers to transact in crypto and loyalty points.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Because some of the cryptoassets that are anticipated to be available on our platform have not previously been available for the uses our platform is intended to cover, it is difficult to predict the preferences and requirements of clients or customers, and our platform, design and technology may not appeal to such clients or customers, or may be incompatible with new or emerging forms of crypto or related technologies. Failure to achieve acceptance would impede our ability to develop and sustain a commercial business.</w:t>
      </w:r>
    </w:p>
    <w:p>
      <w:pPr>
        <w:spacing w:after="0" w:line="19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We primarily generate revenue when customers transact in crypto and loyalty points on our platform. Our success depends on bringing on clients and on the transaction volume from these customers. If we are not able to bring new clients onto the platform, many of whom will pay us subscription fees for our platform services, our revenue and business concern could be negatively impacted. Additionally, much of our future revenue depends on transaction fees earned from customers transacting in crypto and loyalty points and the margin we charge in connection with those transactions. If we are not able to continue to grow our base of clients, we will not be able to continue to grow our customer base, our revenues or our business, which could negatively impact our business, financial condition and results of operations and may cause us to be unable to continue as a going concern.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attractiveness of our platform depends upon, among other things:</w:t>
      </w:r>
    </w:p>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variety of assets and other capabilities in which customers can transact through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as well as clients’ and customers’ experience and satisfaction with, and trust and perception of, our platform;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compliance and data security;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services and products offered by competitors.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Moreover, clients may choose to contract with other providers of services that are competitive with ours. If we fail to retain existing clients, attract new clients, or continually expand usage and transaction volume on our platform, our business, financial condition, results of operations and prospects will be materially and adversely affected.</w:t>
      </w:r>
    </w:p>
    <w:p>
      <w:pPr>
        <w:spacing w:after="0" w:line="17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require regulatory approvals, including, for example, to add new cryptoassets, products, and functionalities to our platform, and may require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our business model entails numerous risks, including risks relating to our ability to:</w:t>
      </w:r>
    </w:p>
    <w:p>
      <w:pPr>
        <w:spacing w:after="0" w:line="1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the complexity of our business model to stay current with the industry and new technologies;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enter new categories, markets and jurisdictions in which we may have limited or no prior experience;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integrate into multiple distributed ledger technologies as they currently exist and as they evolve;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develop and integrate products, systems and personnel into our business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and maintain required licenses and regulatory approvals for our business;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and comply with the evolving regulatory landscape for crypto and crypto platforms.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spacing w:after="0" w:line="16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offering crypto rewards.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that we encounter with the development or operation of our platform, including technical, legal and regulatory problems, could have a material adverse effect on our business, financial condition and results of operations.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a history of operating losses, which make it difficult to forecast our future results of operations. Further, we expect to reduce our operating expenses in the foreseeable future, and we may not achieve or sustain profitability to absorb our targeted expense base.</w:t>
      </w:r>
    </w:p>
    <w:p>
      <w:pPr>
        <w:spacing w:after="0" w:line="19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were founded in 2018 and have experienced net losses in the periods from inception through December 31, 2022. For example, our revenue was $54.6 million, $11.5 million and $28.0 million in the year ended December 31, 2022 and the periods of October 15, 2021 through December 31, 2021 (Successor) and January 1, 2021 through October 14, 2021 (Predecessor), respectively, and we generated net losses of $1,989.9 million, $164.8 million, and $139.2 million in the year ended December 31, 2022 and the periods of October 15, 2021 through December 31, 2021 (Successor) and January 1, 2021 through October 14, 2021 (Predecessor), respectively. You should not rely on the revenue growth of 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Our historical revenue was achieved largely as the result of our white-labeled loyalty redemption product, which reflects little revenue from the launch of our broader crypto platform, and therefore should not be considered indicative of our future performance.</w:t>
      </w:r>
    </w:p>
    <w:p>
      <w:pPr>
        <w:spacing w:after="0" w:line="17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Because of our limited operating history and the fact that our current and historical revenue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After increasing our operating costs and expenses in 2022 to complete our product road map and build public company infrastructure, we expect to reduce our operating expenses in the foreseeable future. In particular, we intend to continue to invest significant resources to further develop our platform. We have incurred increased general and administrative expenses associated with our growth, including legal and accounting expenses and costs related to internal systems and operating as a public company. We may not be able to achieve the operating expense reductions we are targeting to align with our revenue growth assumptions. Our efforts to operate our business may be costlier than we expect, or our revenue growth rate may be slower than we expect, and we may not be able to increase our revenue enough to offset our operating expenses resulting from these investments. If we are unable to achieve the revenue growth that we expect from these investments, reduce our operating expenses, or achieve profitability, it would have an adverse effect on our business, financial condition and results of operations, and the value of our business and our securities may significantly decrease.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8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factors that may cause fluctuations in our quarterly results include:</w:t>
      </w:r>
    </w:p>
    <w:p>
      <w:pPr>
        <w:spacing w:after="0" w:line="15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clients and customers;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 volume and mix;</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repeat transaction and fluctuations in usage of our platform, including seasonality;</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our expenses related to acquiring clients and customers and the maintenance and expansion of our business, operations and infrastructure;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our relationships with our clients;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dynamics in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stock-based compensation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network outages, cyberattacks, or other actual or perceived security incidents or breaches or data privacy violations;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outcomes of existing or potential claims or litigation; and</w:t>
      </w:r>
    </w:p>
    <w:p>
      <w:pPr>
        <w:spacing w:after="0" w:line="144"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technologies or businesses.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9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clients,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0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6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agreements with our clients have terms that range from approximately three to five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Additionally, certain of our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19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Some of our current and prospective clients themselves are regulated entities that may be restricted from engaging with us. For instance, several banks to whom we seek to provide our crypto solutions are regulated by the Federal Reserve, the Office of the Comptroller of the Currency, and/or the Federal Deposit Insurance Corporation. Pursuant to statements made by these regulators in the last several months, banks they regulate are required to consult with, and potentially obtain the approval of, their relevant regulator before “engaging in crypto-related activities.” If these banks, or other current or prospective clients that are regulated entities, are unable to obtain the approval of their regulators, or the timing of such approvals is delayed, that failure or delay would materially and adversely affect our results of operations and future prospects.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substantial and increasingly intense competition worldwide in the industries in which we operate.</w:t>
      </w:r>
    </w:p>
    <w:p>
      <w:pPr>
        <w:spacing w:after="0" w:line="23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crypto and loyalty and rewards industries are highly competitive, rapidly changing, highly innovative, and increasingly subject to regulatory scrutiny and oversight. Although we do not believe that we have any single direct competitor for the full range of products we provide through our platform, we compete against a wide range of businesses in the crypto and loyalty industries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compete primarily on the basis of the following:</w:t>
      </w:r>
    </w:p>
    <w:p>
      <w:pPr>
        <w:spacing w:after="0" w:line="15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attract, retain and engage clients (and in turn, customers) on our platform;</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demonstrate to clients that they may achieve incremental revenue and attract new customers by using and offering our services to their customers;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confidence in the safety, security, privacy and control of customer information on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develop products and services across multiple commerce channels, including crypto and loyalty points;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system reliability, regulatory compliance and data security.</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regulatory requirements. They may devote greater resources to the development, promotion and sale of products and services, and offer lower prices or more effectively offer their own innovative programs, products and services.</w:t>
      </w:r>
    </w:p>
    <w:p>
      <w:pPr>
        <w:spacing w:after="0" w:line="15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We also compete against a large number of decentralized and noncustodial platforms. On these platforms, customers can interact directly with a market-making smart contract or on-chain trading mechanism to exchange one type of crypto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17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platform does not meet our service level commitments, our revenue and reputation may be negatively impacted.</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1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fail to successfully transition certain services provided to us by ICE in the past, our business could be harmed.</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historically relied on ICE, a significant stockholder, to provide services with respect to certain aspects of our business, including the following:</w:t>
      </w:r>
    </w:p>
    <w:p>
      <w:pPr>
        <w:spacing w:after="0" w:line="4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credibility, regulatory and industry expertise and infrastructure support;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critical infrastructure for custody of our crypto;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institutional-grade services to support our custody arrangements, which leverage ICE’s robust platform of security protocols.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Pursuant to a transition services agreement (the “Transition Services Agreement”) we signed with ICE on November 10, 2021, we have agreed to transition certain services, including technology and data center services, away from ICE that had previously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 We may also be unable to provide the services at the level that they have historically been provided by ICE, or at all.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customers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customers,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operational, legal and other risks related to our reliance on third party vendors, over which we have no control.</w:t>
      </w:r>
    </w:p>
    <w:p>
      <w:pPr>
        <w:spacing w:after="0" w:line="23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9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Rapid, significant and disruptive technological changes impact the industries in which we operate, including developments in crypto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concentration of a significant portion of our business and transaction volume with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Any such loss could make our platform less appealing to existing and potential customers. Accordingly, the loss of any significant client relationship could materially and adversely affect our business, results of operations, financial condition and future prospects.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pending acquisition of Apex Crypto LLC, and integration of these acquisitions may pose integration challenges, divert the attention of management, disrupt our business, dilute stockholder value or otherwise adversely affect our business, financial condition and results of operations.</w:t>
      </w:r>
    </w:p>
    <w:p>
      <w:pPr>
        <w:spacing w:after="0" w:line="20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 For example, on November 2, 2022, we entered into an agreement to acquire all of the membership interests of Apex Crypto LLC (“Apex”).</w:t>
      </w:r>
    </w:p>
    <w:p>
      <w:pPr>
        <w:spacing w:after="0" w:line="175"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We may not realize the anticipated benefits of past or future investments, strategic transactions, or acquisitions, including the pending acquisition of Apex, and these transactions involve numerous risks that are not within our control. These risks include the following, among others:</w:t>
      </w:r>
    </w:p>
    <w:p>
      <w:pPr>
        <w:spacing w:after="0" w:line="26" w:lineRule="exact"/>
        <w:rPr>
          <w:sz w:val="20"/>
          <w:szCs w:val="20"/>
          <w:color w:val="auto"/>
        </w:rPr>
      </w:pPr>
    </w:p>
    <w:p>
      <w:pPr>
        <w:ind w:left="660" w:hanging="328"/>
        <w:spacing w:after="0" w:line="32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the requisite regulatory approvals necessary to consummate the transaction the acquisition, or to integrate the acquired business with our own;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assimilating the operations, systems, and personnel of the acquired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effectively integrating the acquired technologies or products with our current products and technologies;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controls, procedures and policies during the transition and integration;</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of our ongoing business and distraction of our management and employees from other opportunities and challenges due to integration issues;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integrating the acquired business’s accounting, management information and other administrative systems;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key technical and managerial personnel of the acquired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key customers, vendors and other business clients of the acquired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achieve the financial and strategic goals for the acquired and combined businesses;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incurring acquisition-related costs or amortization costs for acquired intangible assets that could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0" w:hanging="328"/>
        <w:spacing w:after="0" w:line="32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post-acquisition investments which may lower the actual benefits realized through the acquisition;</w:t>
      </w:r>
    </w:p>
    <w:p>
      <w:pPr>
        <w:spacing w:after="0" w:line="15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issues with product quality, legal, and financial liabilities among other things;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inability to assert that internal controls over financial reporting are effective.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the pending acquisition of Apex presents risks to our business, including because:</w:t>
      </w:r>
    </w:p>
    <w:p>
      <w:pPr>
        <w:spacing w:after="0" w:line="158" w:lineRule="exact"/>
        <w:rPr>
          <w:sz w:val="20"/>
          <w:szCs w:val="20"/>
          <w:color w:val="auto"/>
        </w:rPr>
      </w:pPr>
    </w:p>
    <w:p>
      <w:pPr>
        <w:jc w:val="both"/>
        <w:ind w:left="660" w:hanging="328"/>
        <w:spacing w:after="0" w:line="30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consummate the Apex acquisition is subject to regulatory approval, and there can be no assurance as to whether we will obtain that regulatory approval. Further, even if we do obtain the required approvals, the timing of those approvals may be later than we project, which would have a material adverse effect on our revenue projections;</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the existing clients of Apex, and expand those relationships, is a key growth driver for us;</w:t>
      </w:r>
    </w:p>
    <w:p>
      <w:pPr>
        <w:spacing w:after="0" w:line="15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plan to replace and/or augment many of our existing systems and relationships (e.g. agreements with crypto liquidity providers) with those presently used by Apex;</w:t>
      </w:r>
    </w:p>
    <w:p>
      <w:pPr>
        <w:spacing w:after="0" w:line="7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Apex’s platform currently processes significantly more volume than our platform, and we need to be able to accommodate this significant increase in volume;</w:t>
      </w:r>
    </w:p>
    <w:p>
      <w:pPr>
        <w:spacing w:after="0" w:line="76"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Apex currently lists more cryptoassets on its platform than we do on ours, and there can be no assurance that some or all of those additional cryptoassets will not be deemed to be “securities” or otherwise restricted from trading by regulators; and</w:t>
      </w:r>
    </w:p>
    <w:p>
      <w:pPr>
        <w:spacing w:after="0" w:line="48"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commercial relationship with Apex Clearing that is a part of the pending acquisition is a key growth driver for us, but that relationship may not produce the benefits that we envision.</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we agreed to issue cash consideration of $55.0 million, up to $45 million in shares of our Class A common stock depending on Apex's achievement of certain profitability targets for the fourth quarter of 2022 (</w:t>
      </w:r>
      <w:r>
        <w:rPr>
          <w:rFonts w:ascii="Arial" w:cs="Arial" w:eastAsia="Arial" w:hAnsi="Arial"/>
          <w:sz w:val="17"/>
          <w:szCs w:val="17"/>
          <w:color w:val="231F20"/>
        </w:rPr>
        <w:t>Apex’s profitability in the fourth quarter of 2022 results in Class A common stock consideration of $9.0 million based on the</w:t>
      </w:r>
      <w:r>
        <w:rPr>
          <w:rFonts w:ascii="Arial" w:cs="Arial" w:eastAsia="Arial" w:hAnsi="Arial"/>
          <w:sz w:val="17"/>
          <w:szCs w:val="17"/>
          <w:color w:val="auto"/>
        </w:rPr>
        <w:t xml:space="preserve"> </w:t>
      </w:r>
      <w:r>
        <w:rPr>
          <w:rFonts w:ascii="Arial" w:cs="Arial" w:eastAsia="Arial" w:hAnsi="Arial"/>
          <w:sz w:val="17"/>
          <w:szCs w:val="17"/>
          <w:color w:val="231F20"/>
        </w:rPr>
        <w:t>earn-out target mechanics)</w:t>
      </w:r>
      <w:r>
        <w:rPr>
          <w:rFonts w:ascii="Arial" w:cs="Arial" w:eastAsia="Arial" w:hAnsi="Arial"/>
          <w:sz w:val="17"/>
          <w:szCs w:val="17"/>
          <w:color w:val="000000"/>
        </w:rPr>
        <w:t>, and up to an additional $100.0 million in shares of our Class A common stock depending on Apex's achievement of certain</w:t>
      </w:r>
      <w:r>
        <w:rPr>
          <w:rFonts w:ascii="Arial" w:cs="Arial" w:eastAsia="Arial" w:hAnsi="Arial"/>
          <w:sz w:val="17"/>
          <w:szCs w:val="17"/>
          <w:color w:val="231F20"/>
        </w:rPr>
        <w:t xml:space="preserve"> </w:t>
      </w:r>
      <w:r>
        <w:rPr>
          <w:rFonts w:ascii="Arial" w:cs="Arial" w:eastAsia="Arial" w:hAnsi="Arial"/>
          <w:sz w:val="17"/>
          <w:szCs w:val="17"/>
          <w:color w:val="000000"/>
        </w:rPr>
        <w:t>financial targets through 2025.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such capital might not be available on acceptable terms, if at all.</w:t>
      </w:r>
    </w:p>
    <w:p>
      <w:pPr>
        <w:spacing w:after="0" w:line="27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Other than the proceeds received from the VIH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22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19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loss of the services of our senior management could adversely affect our business.</w:t>
      </w:r>
    </w:p>
    <w:p>
      <w:pPr>
        <w:spacing w:after="0" w:line="239"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will suffer if we fail to attract and retain highly skilled employees.</w:t>
      </w:r>
    </w:p>
    <w:p>
      <w:pPr>
        <w:spacing w:after="0" w:line="23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if we suffer attrition and shortages with respect to certain of our customer service personnel, such as our call centers, our ability to maintain compliance with our service level commitments to clients may be impacted, resulting in financial penalties and, potentially, damage to or loss of those client relationships. In addition, in response to the difficult macroeconomic environment and in an effort to reduce our operating expenses, we recently implemented two separate reductions in force, or RIFs, that collectively impacted approximately 95 full-time employees. These RIFs may impact the morale of our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current employees, may impact our ability to retain them and to attract new employees in the future, which would have a negative effect on the implementation of our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revenue is impacted, to a significant extent, by the general economy.</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Our business and our clients’ businesses are sensitive to macroeconomic conditions. Economic factors such as interest rates, inflation, changes in monetary and related policies, market volatility (including as a result of geopolitical issues, such as the war in Ukraine),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crypto and loyalty points or otherwise transact in such assets, which would have an adverse effect on our business, results of operations, financial condition, and future prospects. In particular, the high levels of, and increases in, inflation currently experienced in the United States could negatively impact our business by increasing our costs and reducing consumer activities necessarily to our revenue generation.</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i w:val="1"/>
          <w:iCs w:val="1"/>
          <w:color w:val="auto"/>
        </w:rPr>
        <w:t>If we experience rapid growth, it may place significant demands on our operational, administrative and financial resources and it may be difficult to sustain such growth.</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experience rapid growth, we could face significant challenges in:</w:t>
      </w:r>
    </w:p>
    <w:p>
      <w:pPr>
        <w:spacing w:after="0" w:line="15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and developing relationships with existing and new clients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securing funding to maintain our operations and future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risk controls and procedures;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of qualified, skilled employees;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training, managing and appropriately sizing our workforce and other components of our business on a timely and cost-effective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within existing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entering new markets and introducing new solutions;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develop, maintain, protect and scale our platform;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line="32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the security of our platform and the confidentiality of the information, including personally identifiable information, provided and utilized across our platform.</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material impairments in the value of our long-lived assets, including goodwill, have in the past negatively affected, and could in the future negatively affect, our operating results.</w:t>
      </w:r>
    </w:p>
    <w:p>
      <w:pPr>
        <w:spacing w:after="0" w:line="18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16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For example, during the fiscal year ended December 31, 2022, we recognized $1.8 billion of goodwill and intangible assets impairments relating to the elongated timing for expected crypto product activations and the decline in our market capitalization as of December 31, 2022. Further adverse changes to the timing for expected crypto product activations and declines in market capitalization could lead to additional goodwill or intangible asset impairment charges in future periods, which could be material to our results of operations. For more information on the valuation and impairment of long-lived assets, see “Critical Accounting Policies” in Item 7 of this Annual Report.</w:t>
      </w:r>
    </w:p>
    <w:p>
      <w:pPr>
        <w:spacing w:after="0" w:line="195"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b w:val="1"/>
          <w:bCs w:val="1"/>
          <w:i w:val="1"/>
          <w:iCs w:val="1"/>
          <w:color w:val="auto"/>
        </w:rPr>
        <w:t>We may not be successful in achieving expected operating efficiencies and sustaining or improving operating expense reductions, and might experience business disruptions and adverse tax consequences associated with restructuring, realignment and cost reduction activities.</w:t>
      </w:r>
    </w:p>
    <w:p>
      <w:pPr>
        <w:spacing w:after="0" w:line="11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Portions of our business have been, and may in the future be, the subject of restructuring, realignment or cost reduction initiatives. For example, in the fourth quarter of 2022 and first quarter of 2023, we launched a restructuring plan in order to simplify and focus on our core capabilities. The streamlining effects of the plan could result in reduced revenue, which may adversely impact our business operations. In addition, we may not be successful in achieving the full efficiencies and cost reduction benefits we expect or such benefits might be realized later than expected, and the ongoing costs of implementing these measures might be greater than anticipated. If these measures are not successful or sustainable, we might undertake additional restructuring efforts, which could result in future charges. Moreover, our ability to achieve our other strategic goals and business plans might be adversely affected, and we could experience business disruptions, if our restructuring and realignment efforts and our cost reduction activities prove ineffective.</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i w:val="1"/>
          <w:iCs w:val="1"/>
          <w:color w:val="auto"/>
        </w:rPr>
        <w:t>Stakeholders’ expectations of our performance relating to environmental, social and governance factors may impose additional costs and expose us to new risks.</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There is an increasing focus from stakeholders concerning corporate responsibility, specifically related to environmental, social and governance matters, or ESG. Some stakeholders may use these non-financial performance factors to guide their investment strategies and, in some cases, may choose not to invest in us if they believe our policies and actions relating to corporate responsibility are inadequate. In particular, increasing concerns over climate change have resulted and may continue to result in new regulatory requirements relating to climate change, including regulating greenhouse gas emissions (and the establishment of enhanced internal processes or systems to track them) and sustainability initiatives, which may impose more stringent restrictions and requirements than our current legal or regulatory obligations and could increase our compliance costs. We may also face reputational damage in the event that we do not meet the ESG standards set by various constituencies.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stakeholders or our initiatives are not executed as planned, our reputation and business, operating results and financial condition could be adversely impacted.</w:t>
      </w:r>
    </w:p>
    <w:p>
      <w:pPr>
        <w:spacing w:after="0" w:line="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b w:val="1"/>
          <w:bCs w:val="1"/>
          <w:i w:val="1"/>
          <w:iCs w:val="1"/>
          <w:color w:val="auto"/>
        </w:rPr>
        <w:t>Pandemics and other public health emergencies, including the COVID-19 pandemic, or fear thereof, could adversely impact our business, operations and financial condition.</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including any resurgence or new variants of COVID-19. Pandemics and other public health emergencies, or fear thereof, have in the past caused and are likely in the future to cause substantial changes in consumer behavior and restrictions on business and individual activities, which have led, and are likely to lead to reduced economic activity. These effects could be exacerbated or prolonged by the emergence of variants. Extraordinary actions taken by international, federal, state and local public health and governmental authorities to contain and combat pandemics in regions throughout the world, including travel bans, quarantines, “stay-at-home” orders and similar mandates for many individuals and businesses to substantially restrict daily activities have had and could in the future have an adverse effect on our financial condition and results of operations. The willingness of clients to expend resources to integrate into our platform may be hampered by the uncertainty resulting from any pandemic or other public health emergency. Additionally, existing clients could seek financial relief from obligations to us, or choose to cancel contracts with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Crypto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Disruptions in the crypto market subject us to additional risks.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Recent financial distress in the crypto market, such as bankruptcies filed by certain market participants including providers of banking services to crypto companies, has increased uncertainty in the macroeconomic environment. There is no certainty that the measures we have taken will be sufficient to address the risks posed by the downstream effects of continued financial distress in the crypto market, and we may experience material and adverse impacts to our business as a result of the global economic impacts of such financial distress, including the loss of customer trust in crypto, including bitcoin, and any recession or economic downturn that has occurred or may occur in the future.</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ultimate impact of the financial distress in the crypto market will depend on future developments, including, but not limited to, the downstream effects of the bankruptcies filed by certain crypto market participants, their severity, and the actions taken by regulators to address its impact. Any further deterioration in the crypto markets may have an adverse effect on our reputation, and any negative perception by our clients of crypto may lead to a loss of client demand for our products and services, any of which could have an adverse impact on our business and financial condition. We may also suffer a decline in the market price of our Class A common stock due to any negative perception by our clients, investors, or the general public, of crypto or the crypto market.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Due to unfamiliarity and some negative publicity associated with crypto platforms, existing and potential customers may lose confidence in crypto platforms, which could have an adverse impact on our business.</w:t>
      </w:r>
    </w:p>
    <w:p>
      <w:pPr>
        <w:spacing w:after="0" w:line="18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Numerous crypto platforms have been sued, investigated, or shut down due to fraud, manipulative practices, business failure and security breaches. In many of these instances, customers of these platforms were not compensated or made whole for their losses. For example, in May 2019, Binance, one of the world’s largest platforms, was hacked, resulting in losses of approximately $40 million, and in February 2021, Bitfinex settled a long-running legal dispute with the State of New York related to Bitfinex’s alleged misuse of over $800 million of customer assets. Further, in 2022, each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of Celsius Networks, Voyager, Three Arrows Capital and FTX declared bankruptcy, resulting in a loss of confidence in participants of the crypto economy and negative publicity surrounding crypto more broadly.</w:t>
      </w:r>
    </w:p>
    <w:p>
      <w:pPr>
        <w:spacing w:after="0" w:line="157"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In response to these events, the crypto markets have experienced extreme price volatility, certain markets experienced issues with liquidity and several other entities in the crypto industry have been, and may continue to be, negatively affected, further undermining confidence in the crypto markets and in bitcoin. If the liquidity of the crypto markets continues to be negatively impacted by these events, crypto prices (including the price of bitcoin) may continue to experience significant volatility and confidence in the crypto markets may be further undermined. These events are continuing to develop and it is not possible to predict at this time all of the risks that they may pose to us, our service providers or on the crypto industry as a whole.</w:t>
      </w:r>
    </w:p>
    <w:p>
      <w:pPr>
        <w:spacing w:after="0" w:line="16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In addition, there have been reports that a significant amount of crypto trading volume on crypto platforms is fabricated and false in nature, with a specific focus on unregulated platforms located outside the United States. Such reports may indicate that the market for crypto platform activities is significantly smaller than otherwise understood. Negative perception, a lack of stability and standardized regulation in the crypto industry, and the closure or temporary shutdown of crypto platforms due to fraud, business failure, hackers or malware, or government mandated regulation, and associated losses suffered by customers may reduce confidence in the crypto economy and demand for crypto products and services, and result in greater volatility of the prices of crypto, including significant depreciation in value. Any of these events could reduce customer demand for our products and services and have an adverse impact on our business.</w:t>
      </w:r>
    </w:p>
    <w:p>
      <w:pPr>
        <w:spacing w:after="0" w:line="1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There may be a general perception among regulators and others that crypto is used to facilitate illegal activity such as fraud, money laundering, tax evasion and scams. Because we provide the ability to transact in crypto, any negative perceptions associated with crypto could harm our reputation.</w:t>
      </w:r>
    </w:p>
    <w:p>
      <w:pPr>
        <w:spacing w:after="0" w:line="197"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Crypto is perceived by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 crypto goods), bank fraud, child pornography, human trafficking, prohibited sales of alcoholic beverages or tobacco products, securities fraud, pyramid or ponzi schemes, or to facilitate other illegal activity. Because our platform allows certain customers of Bakkt Trust to deposit and withdraw crypto, and our platform allows customers to transact in crypto, this perception may harm our reputation because we could be viewed as facilitating, or could otherwise become associated with, these illegal activities. Any such negative perception of our reputation could harm our business.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addition, because we use a B2B2C go-to-market strategy, our ability to attract customers (and in turn, transaction volume that generates revenue) depends on our ability to attract and enter into relationships with clients. To the extent that these clients perceive crypto as a risky sector, or one that these clients do not wish to associate with (or allow their customers to associate with through that client’s brand), that would have a material adverse effect on our business.</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Further, banks may not provide banking services, or may cut off banking services, to businesses that provide crypto-related services, which could dampen liquidity in the market and damage the public perception of crypto generally or any one cryptoasset in particular, which could decrease the trading volume of crypto.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Crypto custodial solutions and related technology, including our systems and custodial arrangements, are subject to risks related to a loss of funds due to theft of crypto, employee or vendor sabotage, security and cybersecurity risks, system failures and other operational issues, the loss, destruction or other compromise of our private keys and a lack of sufficient insurance.</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systems and custodial solutions involve the processing, storage and transmission of crypto and data. Contractual limits on our exposure in the event that crypto is stolen or misappropriated may not be sufficient to protect us from liability or other harm. The theft or misappropriation of crypto held in custody by us would likely result in financial loss, reputational damage, potential lack of trust from our customers, negative press coverage, and diversion of our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management’s time and focus. The secure storage and transmission of crypto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Crypto transactions are generally irrevocable, and stolen or incorrectly transferred crypto may be irretrievable. Once a transaction has been verified and recorded in a block that is added to the distributed ledger, an incorrect transfer of a crypto generally will not be reversible, and we may not be able to obtain compensation for any such transfer or theft. It is possible that, through computer or human error, or through theft or criminal action, the crypto could be transferred in incorrect amounts or to unauthorized third parties, or to uncontrolled accounts. Such events would have a material adverse effect on our ability to continue as a going concern.</w:t>
      </w:r>
    </w:p>
    <w:p>
      <w:pPr>
        <w:spacing w:after="0" w:line="18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Crypto is controllable only by the possessor of private keys relating to the distributed ledger through which the crypto is held. While the distributed ledgers require a public key relating to a cryptoasset to be published when used in a transaction, private keys must be safeguarded and kept private in order to prevent a third party from accessing the cryptoasset. To the extent our private keys are lost, destroyed, or otherwise compromised and no backups of the private keys are accessible, we will be unable to access the crypto held through the distributed ledger. Any loss of private keys relating to, or hack or other compromise of, our crypto could adversely affect our consumers’ ability to access or sell their crypto and could harm consumers’ trust in us and our products. Additionally, any loss of private keys relating to, or hack or other compromise of, the distributed ledger through which third parties store crypto could have negative reputational effects on us and harm consumers’ trust in us and our products.</w:t>
      </w:r>
    </w:p>
    <w:p>
      <w:pPr>
        <w:spacing w:after="0" w:line="18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Our insurance policies may not be adequate to reimburse us for losses caused by security breaches or incidents, and we may lose crypto valued in excess of the insurance policy without any recourse. Unlike bank accounts or accounts at some other financial institutions, in the event of loss or loss of utility value, there is no public insurer to offer recourse to us or to any consumer and the misappropriated crypto may not be easily traced to the bad actor.</w:t>
      </w:r>
    </w:p>
    <w:p>
      <w:pPr>
        <w:spacing w:after="0" w:line="15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Further, when crypto custodial solutions or transfer venues, whether involving our systems or others, experience system failures or other operational issues, such events could result in a reduction in crypto prices or confidence and impact our success and have a material adverse effect on our ability to continue as a going concern.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failure to safeguard and manage our customers’ crypto could adversely impact our business, operating results, and financial condition.</w:t>
      </w:r>
    </w:p>
    <w:p>
      <w:pPr>
        <w:spacing w:after="0" w:line="27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In our capacity as a crypto custodian, our platform holds crypto for individual and institutional customers, and buys, sells, sends and receives crypto to fulfill buy and sell orders of such customers, which it then holds on behalf of the customers through the Bakkt Warehouse. On March 31, 2022, the SEC issued Staff Accounting Bulletin No. 121, which represents a significant change regarding how a company safeguarding crypto held for its platform users reports such crypto on its balance sheet. Applicable insolvency law is not fully developed with respect to the holding of crypto in custodial arrangements and, if our custodially held crypto were, in the event of our bankruptcy, considered to be the property of our bankruptcy estate, the crypto we custodially hold could be subject to bankruptcy proceedings and our customers could be treated as our general unsecured creditors. This prospect may result in customers finding our custodial services more risky and less attractive and this, and any failure to increase our customer base, discontinuation or reduction in use of our platform and products by existing customers as a result, could adversely impact our business, operating results, and financial condition. Further,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16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Risks Related to Risk Management and Financial Reporting – Future changes in financial accounting standards may significantly change</w:t>
      </w:r>
      <w:r>
        <w:rPr>
          <w:rFonts w:ascii="Arial" w:cs="Arial" w:eastAsia="Arial" w:hAnsi="Arial"/>
          <w:sz w:val="18"/>
          <w:szCs w:val="18"/>
          <w:color w:val="auto"/>
        </w:rPr>
        <w:t xml:space="preserve"> </w:t>
      </w:r>
      <w:r>
        <w:rPr>
          <w:rFonts w:ascii="Arial" w:cs="Arial" w:eastAsia="Arial" w:hAnsi="Arial"/>
          <w:sz w:val="18"/>
          <w:szCs w:val="18"/>
          <w:i w:val="1"/>
          <w:iCs w:val="1"/>
          <w:color w:val="auto"/>
        </w:rPr>
        <w:t>our reported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Crypto does not have extensive historical precedent and distributed ledger technology continues to rapidly evolve. The unique characteristics of crypto presents risks and challenges to us that could have a material adverse effect on our business.</w:t>
      </w:r>
    </w:p>
    <w:p>
      <w:pPr>
        <w:spacing w:after="0" w:line="18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Crypto does not have extensive historical precedent and distributed ledger technology continues to rapidly evolve. Given the infancy of the development of crypto networks, parties may be unwilling to transact in crypto, which would dampen the growth, if any, of crypto networks. In our capacity as a crypto custodian, our platform holds crypto for individual and institutional customers, and buys, sells, sends and receives crypto to fulfill buy and sell orders of such consumers, which it then holds on behalf of the customers through Bakkt Trust. The rate of change of crypto networks can present technological challenges and require us to expend significant time and expenditures to adapt to new crypto network technologies. Acceptance of software patches or upgrades by a significant, but not overwhelming, percentage of the users and miners in a crypto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 networks are dependent upon the internet, a disruption of the internet or a crypto network, such as the Bitcoin Network, would affect the ability to transfer crypto, including bitcoin. The realization of one or more of the foregoing risks may have a material adverse effect on our crypto trading and custody business. Moreover, because crypto, including bitcoin, has been in existence for a short period of time and is continuing to develop and evolve, there may be additional risks in the future that are impossible to predict and which could have a material adverse effect on our crypto and custody business.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may encounter technical issues in connection with the integration of supported cryptoassets and changes and upgrades to their underlying networks, which could adversely affect our business.</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order to support any particular cryptoasset, a variety of front and back-end technical and development work is required to integrate such supported cryptoasset with our existing technical infrastructure. For certain cryptoassets, a significant amount of development work is required and there is no guarantee that we will be able to integrate successfully with any existing or future cryptoasset.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cryptoassets, our customers’ assets may be frozen or lost, the security of our hot, warm, or cold wallets may be compromised, and our platform and technical infrastructure may be affected, all of which could adversely impact our business.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The blockchains on which ownership of crypto is recorded are dependent on the efforts of third parties acting in their capacity as the blockchain transaction miners or validators, and if these third parties fail to successfully perform these functions, the operation of the blockchains that record ownership of crypto could be compromised.</w:t>
      </w:r>
    </w:p>
    <w:p>
      <w:pPr>
        <w:spacing w:after="0" w:line="19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Blockchain miners or validators maintain the record of ownership of crypto.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cryptoasset is recorded and the valuation based may be jeopardized. Any such interruption could result in loss of crypto and/or its value.</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In addition, over the past several years, crypto mining operations have evolved from individual users mining with computer processors, graphics processing units and first-generation application specific integrated circuit (“ASIC”)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machines to “professionalized” mining operations using proprietary hardware or sophisticated machines. If the profit margins of crypto mining operations are not sufficiently high, crypto miners are more likely to immediately sell tokens earned by mining, resulting in an increase in liquid supply of that crypto, which would generally tend to reduce that crypto’s market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Taxation and Laws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3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Our business is subject to laws, rules, regulations, policies and legal interpretations in the markets in which we operate, including, but not limited to, those governing money transmission, virtual currency business activity, consumer protection, anti-money laundering, counter-terrorist financing, privacy and data protection, cybersecurity, economic and trade sanctions, commodities, derivatives, and securities.</w:t>
      </w:r>
    </w:p>
    <w:p>
      <w:pPr>
        <w:spacing w:after="0" w:line="15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Bakkt Marketplace is subject to reporting requirements, restrictions with respect to the investment of consumer funds, bonding requirements and inspection by state regulatory agencies.</w:t>
      </w:r>
    </w:p>
    <w:p>
      <w:pPr>
        <w:spacing w:after="0" w:line="17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As we expand our business activities, both as to the products and services offered and into jurisdictions beyond the United States, including as a result of the Apex acquisition, if consummated, we will become increasingly obligated to comply with new laws and regulations, including those of any additional countries or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59"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U.S. state and federal regulatory regime governing blockchain technologies and crypto is uncertain, and new regulations or policies may require us to alter our business practices.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while in some jurisdictions, such as in the United States, subject the ownership and exchange of crypto to extensive, and in some cases overlapping, unclear and evolving regulatory requirements.</w:t>
      </w:r>
    </w:p>
    <w:p>
      <w:pPr>
        <w:spacing w:after="0" w:line="177"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Many U.S. regulators, including the SEC, FinCEN, the IRS and certain state regulators, have made official pronouncements or issued guidance or rules regarding the treatment of crypto.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 businesses, there remain some uncertainties about the application of this guidance to certain crypto businesses. Changes to FinCEN’s rules, regulations and guidance could subject us to increased scrutiny and/or require updates to our policies and procedures and compliance programs. The IRS released guidance treating crypto as property that is not currency for U.S. federal income tax purposes, although there is no indication yet whether other courts or federal or state regulators will follow this classification. In May 2022, the Chair of the U.S. Commodity Futures Trading Commission (the “CFTC”), Rostin Behnam, stated that bitcoin and ether are commodities. In April 2022, SEC Chairman Gary Gensler announced that he had asked SEC staff to work: (i) to register and regulate crypto platforms like securities exchanges; (ii) with the CFTC on how to jointly address crypto platforms that trade both securities and non-securities; (iii) on segregating out crypto platforms’ custody of customer assets, if appropriate; and (iv) on segregating out the market-making functions of crypto platforms, if appropriate. On July 21, 2022, the SEC announced insider trading charges against individuals transacting in crypto and, as part of the complaint, the SEC alleged certain cryptoassets were securities. Mr. Gensler also indicated in an October 2022 speech that he believed the “vast majority” of crypto tokens are securities and thus, that many crypto intermediaries are transacting in securities and have to register with the SEC. The SEC has also indicated that governance tokens, staking services and stablecoins as securities. In January 2023, the Federal Reserve, Office of the Comptroller of the Currency, and Federal Deposit Insurance Corporation issued a joint statement, highlighting key risks of the crypto sector in light of its significant volatility in 2022 and stating that (i) issuing or holding as principal cryptoassets that are issued, stored or transferred on an open, public, and/or decentralized network or similar system is “highly likely to be inconsistent with safe and sound banking practices,” and (ii) they have “significant safety and soundness concerns” associated with business models that are concentrated in crypto-asset-related activities or have concentrated exposures to the crypto-asset sector.</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 industry. For example, following the failure of several prominent crypto trading venues and lending platforms, such as FTX, Celsius Networks, Voyager and Three Arrows Capital in 2022, the U.S. Congress expressed the need for both greater federal oversight of the crypto industry and comprehensive cryptocurrency legislation. In the near future, various governmental and regulatory bodies, including in the United States, may introduce new policies, laws, and regulations relating to crypto and the crypto industry generally, and crypto platforms in particular. The failures of risk management and other control functions at other companies that played a role in the 2022 events could accelerate an existing regulatory trend toward stricter oversight of crypto platforms and the crypto industry. Furthermore, new interpretations of existing laws and regulations may be issued by such bodies or the judiciary, which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crypto transactions, as has occurred in certain jurisdictions in the past.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Meanwhile, certain state regulators, such as the NYDFS, have created or are in the process of creating new regulatory frameworks with respect to crypto. For example, in 2015, the NYDFS adopted the first U.S. regulatory framework for licensing participants in crypto business activity. The regulation, known informally as the “BitLicense,” regulates the conduct of businesses that are involved in crypto in New York or with New York customers and prohibits any person or entity involved in such activity from conducting such activities without a license. Bakkt Marketplace currently operates under a BitLicense. On January 25, 2023, the NYDFS released guidance regarding crypto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Other states have adopted or are considering proposing similar statutes and regulations that will require us or our subsidiaries to obtain a license to conduct crypto activities. For example, Louisiana’s virtual currency regulation became effective on January 1, 2023. It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9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Both federal and state agencies have instituted enforcement actions against those violating their interpretation of existing laws. For example, in January 2023, Coinbase settled an NYDFS compliance investigation for a monetary penalty of $50 million and a separate commitment to make $50 million in compliance program investments by the end of 2024. Other U.S. and many state agencies have offered little official guidance and issued no definitive rules regarding the treatment of crypto. The CFTC staff has publicly taken the position that certain cryptoassets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(“CEA”), we may be subject to additional regulation under the CEA and CFTC regulations. Although the CFTC has suggested it is not particularly focused on pursuing such enforcement at this time, if the CFTC pursues such enforcement and ultimately shuts down an exchange on which our bitcoin futures contract is traded, it may have a significant adverse impact on our business and plan of operations.</w:t>
      </w:r>
    </w:p>
    <w:p>
      <w:pPr>
        <w:spacing w:after="0" w:line="19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As blockchain technologies and crypto business activities grow in popularity and market size, and as new crypto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17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technologies underlying crypto are novel technologies and relatively untested, and the application of U.S. federal and state securities and other financial laws to aspects of these technologies and crypto is unclear in certain respects. Because of the novelty of crypto and their underlying blockchain technologies, it is possible that securities regulators may interpret laws in a manner that adversely affects the value of crypto and our business. Various legislative and executive bodies in the United States and in other countries may, in the future, adopt laws, regulations, or guidance, or take other actions that could severely or materially impact the permissibility of the operation of the blockchain networks underlying crypto. It is difficult to predict how or whether regulatory agencies may apply existing or new regulation with respect to this technology and its applications. In addition, self-regulatory bodies may be established that set guidelines regarding crypto which could have similar effects to new policies adopted by government bodies.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Any future regulatory actions applicable to crypto, the blockchain networks underlying them, our business, and our related activities could severely impact us. It could also result in negative publicity. Regulatory change could even potentially result in certain of our operations being viewed as impermissible, which could negatively affect the value of crypto and our business. The interpretation and application of various federal and states laws to crypto is also uncertain and/or evolving. For instance, U.S. bankruptcy courts are now faced with a number of questions of first impression that may determine the status of crypto in bankruptcy, and the rights and obligations of platforms that custody crypto for their customers.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Crypto networks, blockchain technologies, and coin and token offerings also face an uncertain regulatory landscape in many foreign jurisdictions, including (among others) the European Union, China and Russia. Various foreign jurisdictions may, in the future, adopt laws, regulations or directives that affect crypto and our business. The effect of any future regulatory change is impossible to predict, but any change could be substantial and materially adverse to the adoption and value of crypto and our business.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New or changing laws and regulations or interpretations of existing laws and regulations, in the United States and other jurisdictions, may materially and adversely impact crypto and our business, including with respect to their value, their liquidity, the ability to access marketplaces or exchanges on which to trade crypto, and the structure, rights and transferability of crypto, and the treatment of crypto and holders of crypto in insolvency proceedings.</w:t>
      </w:r>
    </w:p>
    <w:p>
      <w:pPr>
        <w:spacing w:after="0" w:line="19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i w:val="1"/>
          <w:iCs w:val="1"/>
          <w:color w:val="auto"/>
        </w:rPr>
        <w:t>A crypto’s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18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The SEC and its staff have taken the position that certain cryptoassets fall within the definition of a “security” under the U.S. federal securities laws, and it is possible the SEC may take this position with respect to other assets that may be transacted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it is difficult to predict the direction or timing of any continuing evolution of the SEC’s views with regard to crypto.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In July 2022, the SEC announced insider trading charges against individuals transacting in crypto and, as part of the complaint, the SEC alleged certain cryptoassets were securities, and the current SEC Chairman, Gary Gensler, has repeatedly indicated in remarks to various forums, including the U.S. Congress, that many cryptoassets and related products and services may qualify as securities and accordingly be subject to SEC oversight and regulation. The SEC, as well as other regulators, seem increasingly focused on the regulation of crypto, which may impact our business. There also remains a significant lack of clarity over whether individual cryptoassets backed by local currencies, known as “stablecoins,” will be deemed to be “securities.”</w:t>
      </w:r>
    </w:p>
    <w:p>
      <w:pPr>
        <w:spacing w:after="0" w:line="18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While we currently operate only in the United States, we intend to expand internationally and will be required to comply with the securities (and other) laws of those jurisdictions as we do so. Foreign jurisdictions have varying approaches to classifying crypto as “securities,” and certain cryptoassets and other assets may be deemed to be a “security”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under the laws of some jurisdictions, but not others. Various non-U.S. jurisdictions may, in the future, adopt additional laws, regulations, or directives that affect the characterization of crypto as “securities.”</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cryptoassets on our platform, we currently only permit transactions in cryptoassets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w:t>
      </w:r>
    </w:p>
    <w:p>
      <w:pPr>
        <w:spacing w:after="0" w:line="157"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However, the application of securities laws to the specific facts and circumstances of crypto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cryptoasset, which had been in the public domain since 2012. In July 2022, the SEC filed securities fraud charges against a former employee of Coinbase related to misuse of confidential Coinbase information. These SEC charges allege that nine cryptoassets involved in this matter are securities under federal securities laws. In February 2023, the SEC entered into a settlement agreement with Kraken after alleging its staking-as-a-service program constituted an offering and sale of securities. Pursuant to the settlement agreement, Kraken committed to cease offering or selling securities through its crypto staking services or staking programs in the United States. Additionally, in February 2023, the SEC issued a Wells notice to the Paxos Trust Company, LLC (“Paxos”), which Paxos claims pertains to a potential SEC action alleging BUSD, a stablecoin, is a security. As a result, it is unclear if the SEC would take a similar view or action with respect to other cryptoassets. We expect our risk assessment policies and procedures to regularly evolve to take into account developments in case law, facts and developments in technology, regulatory clarity and changes in market acceptance and adoption of these cryptoassets. Actions may also be brought by private individuals or entities alleging illegal transactions involving cryptoassets that they claim are securities, and seeking recission of those transactions, and/or other legal and equitable relief under federal or state securities laws.</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There can be no assurances that we will properly characterize any given cryptoasset as a security or non-security for purposes of determining if that cryptoasset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to be offered, sold, or traded on our platform in the future is a security, we would not be able to offer such cryptoasset for trading until we are able to do so in a compliant manner, such as through an alternative trading system approved to trade cryptoassets that constitute securities, and such determination may have adverse consequences for such supported cryptoassets.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significant litigation risk and risk of regulatory liability and penalties. Any current or future litigation against us could be costly and time-consuming to defend.</w:t>
      </w:r>
    </w:p>
    <w:p>
      <w:pPr>
        <w:spacing w:after="0" w:line="18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We are from time to time subject to legal proceedings and claims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and expect to complete a stipulation of settlement on or before April 10, 2023. We expect the settlement will be covered by our insurance, less our contractual retention. On February 20, 2023, a derivative action related to the foregoing class action was filed against Bakkt Holdings, Inc. and all of its directors in the U.S. District Court for the Eastern District of New York.</w:t>
      </w:r>
    </w:p>
    <w:p>
      <w:pPr>
        <w:spacing w:after="0" w:line="17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Many aspects of our business also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6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5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Bakkt Holdings, Inc. is a holding company, its only material asset is its interest in Opco, and it is accordingly dependent upon distributions made by its subsidiaries to pay taxes and expenses, make payments under the Tax Receivable Agreement and pay dividends.</w:t>
      </w:r>
    </w:p>
    <w:p>
      <w:pPr>
        <w:spacing w:after="0" w:line="1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Bakkt Holdings, Inc. is a holding company with no material assets other than our ownership of Opco Common Units and our managing member interest in Opco. As a result, it have no independent means of generating revenue or cash flow. Its ability to pay taxes and operating expenses, make payments under the Tax Receivable Agreement (the “Tax Receivable Agreement”) and pay dividends (if any) will depend on the financial results and cash flows of Opco and its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subsidiaries and the distributions it receives from Opco. Deterioration in the financial condition, earnings or cash flow of Opco and its subsidiaries for any reason could limit or impair Opco’s ability to pay such distributions. Additionally, to the extent it needs funds and Opco and/or any of its subsidiaries are restricted from making such distributions under applicable law or regulation or under the terms of any financing arrangements, or Opco is otherwise unable to provide such funds, it could materially adversely affect Bakkt Holdings’ liquidity and financial condition.</w:t>
      </w:r>
    </w:p>
    <w:p>
      <w:pPr>
        <w:spacing w:after="0" w:line="163"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Arial" w:cs="Arial" w:eastAsia="Arial" w:hAnsi="Arial"/>
          <w:sz w:val="16"/>
          <w:szCs w:val="16"/>
          <w:i w:val="1"/>
          <w:iCs w:val="1"/>
          <w:color w:val="auto"/>
        </w:rPr>
        <w:t>pro rata</w:t>
      </w:r>
      <w:r>
        <w:rPr>
          <w:rFonts w:ascii="Arial" w:cs="Arial" w:eastAsia="Arial" w:hAnsi="Arial"/>
          <w:sz w:val="16"/>
          <w:szCs w:val="16"/>
          <w:color w:val="auto"/>
        </w:rPr>
        <w:t>, in aggregate amounts sufficient to cover all of our applicable income taxes, payments required to be made by us under the Tax Receivable Agreement and dividends, if any, declared us. However,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74"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4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8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exceed the actual tax benefits we realize or such payments may be accelerated.</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have to constrain our business activities to avoid being deemed an investment company under the Investment Company Act.</w:t>
      </w:r>
    </w:p>
    <w:p>
      <w:pPr>
        <w:spacing w:after="0" w:line="26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 would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86" w:lineRule="exact"/>
        <w:rPr>
          <w:sz w:val="20"/>
          <w:szCs w:val="20"/>
          <w:color w:val="auto"/>
        </w:rPr>
      </w:pPr>
    </w:p>
    <w:p>
      <w:pPr>
        <w:ind w:right="360" w:firstLine="648"/>
        <w:spacing w:after="0" w:line="395" w:lineRule="auto"/>
        <w:rPr>
          <w:sz w:val="20"/>
          <w:szCs w:val="20"/>
          <w:color w:val="auto"/>
        </w:rPr>
      </w:pPr>
      <w:r>
        <w:rPr>
          <w:rFonts w:ascii="Arial" w:cs="Arial" w:eastAsia="Arial" w:hAnsi="Arial"/>
          <w:sz w:val="16"/>
          <w:szCs w:val="16"/>
          <w:b w:val="1"/>
          <w:bCs w:val="1"/>
          <w:i w:val="1"/>
          <w:iCs w:val="1"/>
          <w:color w:val="auto"/>
        </w:rPr>
        <w:t>Broker-dealers are subject to extensive state and federal government regulation in the United States, and our failure or inability to comply with these regulations or regulatory action against us could adversely affect our results of operations, financial condition, or business.</w:t>
      </w:r>
    </w:p>
    <w:p>
      <w:pPr>
        <w:spacing w:after="0" w:line="137" w:lineRule="exact"/>
        <w:rPr>
          <w:sz w:val="20"/>
          <w:szCs w:val="20"/>
          <w:color w:val="auto"/>
        </w:rPr>
      </w:pPr>
    </w:p>
    <w:p>
      <w:pPr>
        <w:ind w:right="20" w:firstLine="648"/>
        <w:spacing w:after="0" w:line="340" w:lineRule="auto"/>
        <w:rPr>
          <w:sz w:val="20"/>
          <w:szCs w:val="20"/>
          <w:color w:val="auto"/>
        </w:rPr>
      </w:pPr>
      <w:r>
        <w:rPr>
          <w:rFonts w:ascii="Arial" w:cs="Arial" w:eastAsia="Arial" w:hAnsi="Arial"/>
          <w:sz w:val="16"/>
          <w:szCs w:val="16"/>
          <w:color w:val="auto"/>
        </w:rPr>
        <w:t>We have recently acquired Bumped, a broker-dealer registered with FINRA, subject to FINRA approval of a CMA filed by Bumped. Bumped is registered as a broker-dealer in 52 U.S. states and territories. As such, if the CMA is approved by FINRA completing the acquisition, we will be subject to regulation, examination, investigation, and disciplinary action by the SEC, FINRA, and state securities regulators, as well as other governmental authorities and self-regulatory organizations with which Bumped is registered or licensed or of which Bumped is a member. Our failure or inability to comply with these any of these regulations or any regulatory action against us could adversely affect our results of operations, financial condition, or business.</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for Virtual Assets and Virtual Asset Service Providers (“FATF Guidance”) which provides additional details regarding expectations for crypto businesses, including those related to due diligence, transmission of transaction data and reporting.</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that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Failure to comply with anti-bribery and anti-corruption laws and similar laws could subject us to penalties and other adverse consequences.</w:t>
      </w:r>
    </w:p>
    <w:p>
      <w:pPr>
        <w:spacing w:after="0" w:line="27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intermediaries will not take actions in violation of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3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have implemented certain changes to comply with the CFPB’s rule on prepaid accounts, which requires, among other things, the disclosure of fees and other information to the consumer prior to the creation of a prepaid account,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1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8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are subject to a number of laws, rules, directives and regulations (“privacy laws”) relating to the collection, use, retention, security, processing and transfer of personally identifiable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 regulated by multiple privacy laws. In many cases, these laws apply not only to third-party transactions, but also to transfers of information between or among us, our subsidiaries and other parties with which we have commercial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relationships. Regulatory scrutiny of privacy, data protection and the collection, storage, use and sharing of personal data is increasing across multiple jurisdictions.</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80" w:lineRule="exact"/>
        <w:rPr>
          <w:sz w:val="20"/>
          <w:szCs w:val="20"/>
          <w:color w:val="auto"/>
        </w:rPr>
      </w:pPr>
    </w:p>
    <w:p>
      <w:pPr>
        <w:jc w:val="both"/>
        <w:ind w:left="660" w:hanging="328"/>
        <w:spacing w:after="0" w:line="356"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California Consumer Privacy Act (“CCPA”), as amended by the California Privacy Rights (“CPRA”) provide California residents increased privacy rights and protections with respect to certain sensitive personal information, including the ability to opt out of sales of their personal information. The CPRA also creates a new state agency that will be vested with authority to implement and enforce the CCPA and the CPRA.</w:t>
      </w:r>
    </w:p>
    <w:p>
      <w:pPr>
        <w:spacing w:after="0" w:line="31" w:lineRule="exact"/>
        <w:rPr>
          <w:rFonts w:ascii="Arial" w:cs="Arial" w:eastAsia="Arial" w:hAnsi="Arial"/>
          <w:sz w:val="16"/>
          <w:szCs w:val="16"/>
          <w:color w:val="auto"/>
        </w:rPr>
      </w:pPr>
    </w:p>
    <w:p>
      <w:pPr>
        <w:ind w:left="660" w:hanging="328"/>
        <w:spacing w:after="0" w:line="357"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March 2021, the Governor of Virginia signed into law the Virginia Consumer Data Protection Act (“VCDPA”) (effective January 1, 2023). The VCDPA creates consumer rights similar to the CCPA, but also imposes security and assessment requirements for businesses.</w:t>
      </w:r>
    </w:p>
    <w:p>
      <w:pPr>
        <w:spacing w:after="0" w:line="25" w:lineRule="exact"/>
        <w:rPr>
          <w:rFonts w:ascii="Arial" w:cs="Arial" w:eastAsia="Arial" w:hAnsi="Arial"/>
          <w:sz w:val="17"/>
          <w:szCs w:val="17"/>
          <w:color w:val="auto"/>
        </w:rPr>
      </w:pPr>
    </w:p>
    <w:p>
      <w:pPr>
        <w:ind w:left="660" w:hanging="328"/>
        <w:spacing w:after="0" w:line="32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July 2021, Colorado enacted the Colorado Privacy Act, which closely resembles the VCDPA, and, like the VCDPA, will be enforced by the state Attorney General and district attorney.</w:t>
      </w:r>
    </w:p>
    <w:p>
      <w:pPr>
        <w:spacing w:after="0" w:line="4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U.S. states are considering adopting similar laws. The enactment of such laws could have potentially conflicting requirements that would make compliance challenging.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United States government is considering regulating artificial intelligence and machine learning.</w:t>
      </w:r>
    </w:p>
    <w:p>
      <w:pPr>
        <w:spacing w:after="0" w:line="157"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we maintain and the standards we comply with, including the Payment Card Industry Data Security Standard, among others, are becoming more stringent.</w:t>
      </w:r>
    </w:p>
    <w:p>
      <w:pPr>
        <w:spacing w:after="0" w:line="15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clients relating to their own compliance with applicable laws and regulations, and to establish and maintain internal policies, self-certifications and third-party certifications supporting our compliance programs. Our clients may delegate their obligations relating to these or other laws or regulations to us via contract, and we may otherwise be required to expend resources to assist our clients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clients, or others, leading to reputational harm, significant fines, litigation costs and damages. Furthermore, many foreign countries and governmental bodies have laws and regulations concerning the collection, use, processing, storage, and deletion of personal information obtained from their residents or by businesses operating within their jurisdiction. These laws and regulations often are more restrictive than those in the United States. As we expand our business activities into jurisdictions beyond the United States, including as a result of the Apex acquisition, if consummated, our practices, offerings, or platform could fail, or be alleged to fail to meet applicable requirements in the jurisdictions we operate. All of these impacts could have a material adverse effect on our business, financial condition and results of operations.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may at times fail to comply with our privacy policies regarding the collection, processing, use and disclosure of personal data, including credit card information, and certain other information or may be perceived to have failed to do so. We may also not be successful in achieving 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9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unable to sufficiently protect our proprietary rights and may encounter disputes from time to time relating to our use of the intellectual property of third parties.</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88"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7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8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6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tax information reporting obligations with respect to transactions involving loyalty points or other incentives are subject to change.</w:t>
      </w:r>
    </w:p>
    <w:p>
      <w:pPr>
        <w:spacing w:after="0" w:line="26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Under the current law, we do not believe that we are required to file any information returns with taxing authorities with respect to the issuance by our clients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customers.</w:t>
      </w:r>
    </w:p>
    <w:p>
      <w:pPr>
        <w:spacing w:after="0" w:line="163"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It is unclear whether the conversion to cash or crypto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Infrastructure Investment and Jobs Act of 2021 (Pub. L. 117-58), we may be treated as a “broker” with respect to crypto transactions we facilitate. As a result, we may be required to file certain information reports, including customer’s names and addresses, gross proceeds from sales, and any capital gains or losses to the IRS. The IRS has not yet provided any administrative guidance with respect to the application of this new legislation to companies like ours. Such changes in our tax information reporting obligations may have a negative effect on the experience of our customers and may significantly increase our compliance costs. As a result of the foregoing, our planned business model may be adversely affected or it may incur additional costs in connection therewith.</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1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b w:val="1"/>
          <w:bCs w:val="1"/>
          <w:i w:val="1"/>
          <w:iCs w:val="1"/>
          <w:color w:val="auto"/>
        </w:rPr>
        <w:t>Because there is limited guidance for tax reporting or accounting of bitcoin and other crypto transactions, the determination that we have made for how to account for or report the tax treatment of crypto transactions may be subject to change and challenge by relevant tax authorities in various countries, including the United States. Failure to properly report activity related to crypto for tax or accounting purposes may have negative regulatory or legal outcomes and harm our reputation.</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Because there has been limited guidance for the tax reporting or accounting of crypto and limited guidance has been provided by the IRS, it is unclear how crypto transactions or other actions related to crypto (such as forks, provision of staking rewards and other crypto incentives and rewards products or other similar items) and related tax consequences should be accounted for or reported for tax purposes. In 2014, the IRS released Notice 2014-21, IRB 2014-16, or IRS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However, the IRS Notice and the Revenue Ruling &amp; FAQs do not address other significant aspects of the U.S. federal income tax treatment of crypto and related transactions. Moreover, although the Revenue Ruling &amp; FAQs address the treatment of forks, there continues to be uncertainty with respect to the timing and amount of income inclusions for various crypto transactions including, but not limited to, staking rewards and other crypto products. Furthermore, the accounting treatment for revenues from cryptocurrency transactions is currently under review and subject to change. Failure to properly account for and report the transactions and other items related to the crypto held by our consumers to relevant tax authorities, such as the IRS, could have negative outcomes for us and harm our reputation with consumers and others.</w:t>
      </w:r>
    </w:p>
    <w:p>
      <w:pPr>
        <w:spacing w:after="0" w:line="17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There can be no assurance that the IRS or other foreign tax authority will not alter its existing positions with respect to crypto in the future or that a court would uphold the treatment set forth in the existing IRS guidance. It is also unclear what additional guidance may be issued in the future on the treatment of existing crypto transactions and future crypto innovations for purposes of U.S. federal income tax or other foreign tax regulations. Any such alteration of existing IRS and foreign tax authority positions or additional guidance regarding crypto products and transactions could result in adverse tax consequences for holders of crypto and could have an adverse effect on the value of crypto and the broader crypto markets. Future technological and operational developments that may arise with respect to crypto currencies may increase the uncertainty with respect to the treatment of crypto currencies for U.S. federal income and foreign tax purposes. The uncertainty regarding tax treatment of crypto transactions impacts our customers, and could impact our business, both domestically and abroad.</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transactions, we may be exposed to significant penalties, which could adversely affect our financial position. We anticipate additional guidance from the IRS regarding tax reporting and withholding obligations with respect to customer crypto transactions that will likely require us to invest substantially in new compliance measures and may require significant retroactive compliance efforts, which could adversely affect our financial position. Similarly, it is likely that new rules for reporting crypto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certain limitations under U.S. or foreign tax law.</w:t>
      </w:r>
    </w:p>
    <w:p>
      <w:pPr>
        <w:spacing w:after="0" w:line="2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We may be required to pay federal income taxes in future years despite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generating a loss for federal income tax purposes. There is also a risk that due to statutory or regulatory changes, such as suspensions on the use of NOLs, or other unforeseen reasons, our future NOLs could expire or otherwise be unavailable to offset future income tax liabilities. Based on state conformity or the lack thereof to the provisions in the Tax Act, as amended by the CARES Act, there is the potential that the Company may also be required to pay state income taxes despite generating a loss for state income tax purposes. For these reasons, we may not be able to realize a tax benefit from the use of any future NOLs we generate, whether or not we attain profitability.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8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7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Actual or perceived cyberattacks, security incidents or breaches could result in serious harm to our reputation, business and financial condition.</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Our business involves the collection, storage, processing and transmission of confidential information and customers’ personal data, including financial information and information about how customers interact with our platform. We have built our reputation on the premise that we offer customers a secure and convenient way to manage their crypto.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8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techniques used to obtain unauthorized, improper, or illegal access to systems and information (including customers’ personal data),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into disclosing customer names, passwords, payment card information, or other sensitive information, which may in turn be used to access our information technology systems, or to steal crypto stored by our customers. Threats can come from 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denial-of-service attacks, spear phishing and 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 in particular, as the frequency and sophistication of cyberattacks increases.</w:t>
      </w:r>
    </w:p>
    <w:p>
      <w:pPr>
        <w:spacing w:after="0" w:line="19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information technology and infrastructure and those of our vendors (including data center and cloud computing providers) may be vulnerable to cyberattacks, security incidents and breaches and third parties may be able to access our customers’ personal data and/or proprietary information, banking, crypto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4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 our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our systems or services being unavailable or degraded;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improper disclosure of information (including consumers’ personal data) and violations of applicable privacy and other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materially harm our reputation;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 in significant liability claims, litigation, regulatory scrutiny, investigations, fines, penalties and other legal and financial exposure;</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incur significant remediation costs;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lead to loss or theft of customer crypto or loyalty points;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lead to loss of customer confidence in, or decreased use of, our products and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divert the attention of management from the operation of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 in significant compensation or contractual penalties from us to our customers as a result of losses to them or claims by them; and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our business and results of operations.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We have expended and expect to continue to invest in resources to protect against privacy and security incidents and breaches and may be required to redress problems caused by privacy and security incidents or breaches. We have implemented remote and hybrid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continue to increase in frequency and magnitude, and we cannot provide assurances that our preventative efforts will be successful.</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Systems failures and resulting interruptions in the availability of our websites, applications, products or services could harm our business.</w:t>
      </w:r>
    </w:p>
    <w:p>
      <w:pPr>
        <w:spacing w:after="0" w:line="27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(including ongoing geopolitical tensions related to Russia’s actions in Ukraine, resulting sanctions imposed by the U.S. and other countries, and retaliatory actions taken by Russia or its allies in response to such sanctions), terrorist attacks, computer viruses or other malware, or other events. We have experienced from time to time, and may experience in the future, disruptions in our systems. In addition, as a provider of payments solutions and crypto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5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under the caption “</w:t>
      </w:r>
      <w:r>
        <w:rPr>
          <w:rFonts w:ascii="Arial" w:cs="Arial" w:eastAsia="Arial" w:hAnsi="Arial"/>
          <w:sz w:val="16"/>
          <w:szCs w:val="16"/>
          <w:i w:val="1"/>
          <w:iCs w:val="1"/>
          <w:color w:val="auto"/>
        </w:rPr>
        <w:t>Actual or perceived cyberattacks, security incidents, or breaches could result in</w:t>
      </w:r>
      <w:r>
        <w:rPr>
          <w:rFonts w:ascii="Arial" w:cs="Arial" w:eastAsia="Arial" w:hAnsi="Arial"/>
          <w:sz w:val="16"/>
          <w:szCs w:val="16"/>
          <w:color w:val="auto"/>
        </w:rPr>
        <w:t xml:space="preserve"> </w:t>
      </w:r>
      <w:r>
        <w:rPr>
          <w:rFonts w:ascii="Arial" w:cs="Arial" w:eastAsia="Arial" w:hAnsi="Arial"/>
          <w:sz w:val="16"/>
          <w:szCs w:val="16"/>
          <w:i w:val="1"/>
          <w:iCs w:val="1"/>
          <w:color w:val="auto"/>
        </w:rPr>
        <w:t>serious harm to our reputation, business and financial condition</w:t>
      </w:r>
      <w:r>
        <w:rPr>
          <w:rFonts w:ascii="Arial" w:cs="Arial" w:eastAsia="Arial" w:hAnsi="Arial"/>
          <w:sz w:val="16"/>
          <w:szCs w:val="16"/>
          <w:color w:val="auto"/>
        </w:rPr>
        <w:t>.” Further, frequent or persistent site interruptions could lead to regulatory scrutiny,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We also rely on facilities, components, applications and services supplied by third parties, including data center facilities and cloud storage services, which subjects us to risks in the nature of those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under the caption “</w:t>
      </w:r>
      <w:r>
        <w:rPr>
          <w:rFonts w:ascii="Arial" w:cs="Arial" w:eastAsia="Arial" w:hAnsi="Arial"/>
          <w:sz w:val="18"/>
          <w:szCs w:val="18"/>
          <w:i w:val="1"/>
          <w:iCs w:val="1"/>
          <w:color w:val="auto"/>
        </w:rPr>
        <w:t>We face operational, legal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reliance on third party vendors, over which we have no control.</w:t>
      </w:r>
      <w:r>
        <w:rPr>
          <w:rFonts w:ascii="Arial" w:cs="Arial" w:eastAsia="Arial" w:hAnsi="Arial"/>
          <w:sz w:val="18"/>
          <w:szCs w:val="18"/>
          <w:color w:val="auto"/>
        </w:rPr>
        <w:t>” From time to time, such third parties may cease to provide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interruption insurance coverage may be insufficient to compensate us for all losses that may result from interruptions in our service as a result of systems failures and similar events.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Risk Management and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Real or perceived inaccuracies in our key operating metrics may harm our reputation and negatively affect our business.</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track certain key operating metrics with internal systems and tools that are not independently verified by any third party. While the metrics presented in this Annual Report on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identify control deficiencies or material weaknesses in the future.</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affected.</w:t>
      </w:r>
    </w:p>
    <w:p>
      <w:pPr>
        <w:spacing w:after="0" w:line="22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Annual Report on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23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Certain of our executive officers and directors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and continue to incur increased costs as a public company, and our management is required to devote substantial time to compliance matters.</w:t>
      </w:r>
    </w:p>
    <w:p>
      <w:pPr>
        <w:spacing w:after="0" w:line="18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As a public company, we have incurred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Furthermore, if we are unable to satisfy our obligations as a public company, we could be subject to delisting of our securities, fines, sanctions and other regulatory action and potentially civil litigation.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spacing w:after="0" w:line="197"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80" w:lineRule="exact"/>
        <w:rPr>
          <w:sz w:val="20"/>
          <w:szCs w:val="20"/>
          <w:color w:val="auto"/>
        </w:rPr>
      </w:pPr>
    </w:p>
    <w:p>
      <w:pPr>
        <w:ind w:left="660" w:right="20" w:hanging="328"/>
        <w:spacing w:after="0" w:line="30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have an independent registered public accounting firm audit our internal control over financial reporting under Section 404 of the Sarbanes-Oxley Act;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57"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As a result, our stockholders may not have access to certain information that they may deem important. Our status as an emerging growth company will end as soon as any of the following takes place:</w:t>
      </w:r>
    </w:p>
    <w:p>
      <w:pPr>
        <w:spacing w:after="0" w:line="4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fiscal year in which we had at least $1.235 billion in annual revenue;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December 31, 2025.</w:t>
      </w:r>
    </w:p>
    <w:p>
      <w:pPr>
        <w:spacing w:after="0" w:line="26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spacing w:after="0" w:line="15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changes in financial accounting standards may significantly change our reported results of operations.</w:t>
      </w:r>
    </w:p>
    <w:p>
      <w:pPr>
        <w:spacing w:after="0" w:line="23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VIH identified a material weakness in its internal control over financial reporting prior to the VIH Business Combination. Although such material weakness was remediated as of the date of this Annual Report on Form 10-K, other material weaknesses or control deficiencies could occur that could adversely affect our ability to report our results of operations and financial condition accurately and in a timely manner.</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described in VIH’s Annual Report on Form 10-K for the year ended December 31, 2020 (the “2020 Annual Report”), a material weakness in our internal control over financial reporting was identified related the accounting for complex financial instruments. As a result of this material weakness, VIH management concluded that VIH’s internal control over financial reporting was not effective as of December 31, 2020. The material weakness resulted in a material misstatement of VIH’s warrant liabilities, change in fair value of warrant liabilities, Class A Common Stock subject to possible redemption, additional paid-in capital, accumulated deficit, and earnings per share and related financial disclosures as of and for the period ended December 31, 2020 (the “Affected Period”).</w:t>
      </w:r>
    </w:p>
    <w:p>
      <w:pPr>
        <w:spacing w:after="0" w:line="18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On October 15, 2021, VIH completed the VIH Business Combination with Bakkt, following which the Company appointed a new Chief Executive Officer, Chief Financial Officer and Chief Accounting Officer, among others. The Company, among other things, has established enhanced procedures whereby the post-VIH Business Combination management team provides enhanced access to accounting literature, research materials and documents, and has increased communication with the Company’s third-party professionals regarding complex accounting applications. These enhancements remediated the material weakness reported by VIH in the 2020 Annual Report. The remediation of this material weakness may not prevent any future material weakness or significant deficiency in our internal control over financial reporting. If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5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December 31, 2022, our warrants to purchase an aggregate of 7,140,814 shares of Class A Common Stock are exercisable in accordance with the terms of the warrant agreement.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may issue additional shares of our Class A Common Stock or other equity securities in the future in connection with, among other things, future acquisitions, repayment of outstanding indebtedness or grants under the 2021 Omnibus Incentive Plan (the “Equity Incentive Plan”) without stockholder approval in a number of circumstances. The issuance of additional Class A Common Stock or other equity securities could have, among other things, one or more of the following effects:</w:t>
      </w:r>
    </w:p>
    <w:p>
      <w:pPr>
        <w:spacing w:after="0" w:line="6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will decrease;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our common stock may be diminished;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our Class A Common Stock and/or Warrants may decline.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18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3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70" w:lineRule="exact"/>
        <w:rPr>
          <w:sz w:val="20"/>
          <w:szCs w:val="20"/>
          <w:color w:val="auto"/>
        </w:rPr>
      </w:pPr>
    </w:p>
    <w:p>
      <w:pPr>
        <w:ind w:left="660" w:right="20" w:hanging="328"/>
        <w:spacing w:after="0" w:line="32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with three-year staggered terms, which could delay the ability of stockholders to change the membership of a majority of the Board;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ability of the Board to issue shares of Preferred Stock, including “blank check” preferred stock and to determine the price and other terms of</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those shares, including preferences and voting rights, without stockholder approval, which could be used to significantly dilute the ownership of a hostile acquirer;</w:t>
      </w:r>
    </w:p>
    <w:p>
      <w:pPr>
        <w:spacing w:after="0" w:line="76"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144"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4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 and upon the affirmative vote of the holders of at least 66 2/3% of the total voting power of then outstanding Class A Common Stock;</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(except for actions by the holders of Class V Common Stock or as required for holders of</w:t>
      </w:r>
    </w:p>
    <w:p>
      <w:pPr>
        <w:spacing w:after="0" w:line="72" w:lineRule="exact"/>
        <w:rPr>
          <w:rFonts w:ascii="Arial" w:cs="Arial" w:eastAsia="Arial" w:hAnsi="Arial"/>
          <w:sz w:val="16"/>
          <w:szCs w:val="16"/>
          <w:color w:val="auto"/>
        </w:rPr>
      </w:pPr>
    </w:p>
    <w:p>
      <w:pPr>
        <w:ind w:left="660"/>
        <w:spacing w:after="0" w:line="341" w:lineRule="auto"/>
        <w:rPr>
          <w:rFonts w:ascii="Arial" w:cs="Arial" w:eastAsia="Arial" w:hAnsi="Arial"/>
          <w:sz w:val="16"/>
          <w:szCs w:val="16"/>
          <w:color w:val="auto"/>
        </w:rPr>
      </w:pPr>
      <w:r>
        <w:rPr>
          <w:rFonts w:ascii="Arial" w:cs="Arial" w:eastAsia="Arial" w:hAnsi="Arial"/>
          <w:sz w:val="17"/>
          <w:szCs w:val="17"/>
          <w:color w:val="auto"/>
        </w:rPr>
        <w:t>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line="357"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25"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the Board and stockholder meetings;</w:t>
      </w:r>
    </w:p>
    <w:p>
      <w:pPr>
        <w:spacing w:after="0" w:line="157" w:lineRule="exact"/>
        <w:rPr>
          <w:rFonts w:ascii="Arial" w:cs="Arial" w:eastAsia="Arial" w:hAnsi="Arial"/>
          <w:sz w:val="18"/>
          <w:szCs w:val="18"/>
          <w:color w:val="auto"/>
        </w:rPr>
      </w:pPr>
    </w:p>
    <w:p>
      <w:pPr>
        <w:jc w:val="both"/>
        <w:ind w:left="660" w:hanging="328"/>
        <w:spacing w:after="0" w:line="325"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76"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76" w:lineRule="exact"/>
        <w:rPr>
          <w:rFonts w:ascii="Arial" w:cs="Arial" w:eastAsia="Arial" w:hAnsi="Arial"/>
          <w:sz w:val="18"/>
          <w:szCs w:val="18"/>
          <w:color w:val="auto"/>
        </w:rPr>
      </w:pPr>
    </w:p>
    <w:p>
      <w:pPr>
        <w:jc w:val="both"/>
        <w:ind w:left="660" w:hanging="328"/>
        <w:spacing w:after="0" w:line="325"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changes in the Board and also may discourage or deter a potential acquirer from conducting a solicitation of proxies to elect the acquirer’s own slate of directors or otherwise attempting to obtain control.</w:t>
      </w:r>
    </w:p>
    <w:p>
      <w:pPr>
        <w:spacing w:after="0" w:line="18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Certificate of Incorporation does not limit the ability of ICE to compete with us.</w:t>
      </w:r>
    </w:p>
    <w:p>
      <w:pPr>
        <w:spacing w:after="0" w:line="23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18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Pursuant to the Stockholders Agreement that we entered into with the Sponsor and the Opco Equity Holders, the Sponsor and the Opco Equity Holders agreed to designate one director nominated by the Sponsor, one director nominated by Opco, and up to seven directors jointly nominated by the Sponsor and Opco. 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ICE may exert significant influence over us and its interests may conflict with yours or those of other stockholders in the future.</w:t>
      </w:r>
    </w:p>
    <w:p>
      <w:pPr>
        <w:spacing w:after="0" w:line="25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trading market for our securities has in the past been and could in the future be impacted by market volatility. The price of our securities may fluctuate due to a variety of factors, including:</w:t>
      </w:r>
    </w:p>
    <w:p>
      <w:pPr>
        <w:spacing w:after="0" w:line="4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industries in which we operate, including, in particular, the crypto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involving our competitors or other companies in our industries;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combined companies;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 and</w:t>
      </w:r>
    </w:p>
    <w:p>
      <w:pPr>
        <w:spacing w:after="0" w:line="144" w:lineRule="exact"/>
        <w:rPr>
          <w:rFonts w:ascii="Arial" w:cs="Arial" w:eastAsia="Arial" w:hAnsi="Arial"/>
          <w:sz w:val="18"/>
          <w:szCs w:val="18"/>
          <w:color w:val="auto"/>
        </w:rPr>
      </w:pPr>
    </w:p>
    <w:p>
      <w:pPr>
        <w:jc w:val="both"/>
        <w:ind w:left="660" w:hanging="328"/>
        <w:spacing w:after="0" w:line="334"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acts of</w:t>
      </w: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war or terrorism, such as the ongoing geopolitical tensions related to Russia’s actions in Ukraine, resulting sanctions imposed by the U.S. and other countries, and retaliatory actions taken by Russia in response to such sanctions.</w:t>
      </w:r>
    </w:p>
    <w:p>
      <w:pPr>
        <w:spacing w:after="0" w:line="18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These market and industry factors may materially reduce the market price of our securities regardless of our operating performance.</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184"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8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securities are currently listed on NYSE. However, we cannot assure you that we will be able to meet the NYSE’s continued listing requirements for our common stock or our warrants in the future.</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8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We lease facilities under operating leases in Alpharetta, Georgia, our corporate headquarters, one for approximately 50,000 square feet with an expiration date in October 2032, and another for approximately 44,000 square feet with an expiration date in April 2026, in Scottsdale, Arizona, our principal customer service center, for approximately 21,000 square feet with an expiration date in April 2023, and in New York, New York, our satellite corporate office, for approximately 10,000 square feet with an expiration date in 2030. In March 2023, we signed an amendment to our Scottsdale, Arizona lease that extended the lease term through September 2030. Additionally, ICE provides us with approximately 800 square feet in its facilities in Sandy Springs, Georgia pursuant to the Transition Services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on legal proceedings, refer to Note 14 in our consolidated financial statements included elsewhere in this Annual Report on Form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35"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Item 4. Mine Safety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and Public Warrants trade on NYSE under the trading symbols “BKKT” and “BKKT WS,” respectively.</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As of March 20, 2023, we had 82,287,949 shares of Class A Common Stock issued and outstanding held of record by 25 holders, 183,279,887 shares of Class V Common Stock issued and outstanding held of record by 5 holders, and 7,140,808 Public Warrants issued and outstanding, each exercisable for one share of Class A Common Stock, held of record by one holder. There is no public market for our Class V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31F20"/>
        </w:rPr>
        <w:t>The following discussion and analysis of financial condition and results of operations should be read together with our audited consolidated financial statements and the related notes included under Item 8 of this Annual Report on Form 10-K (the “audited consolidated financial statements”). References in this section to “we,” “us,” “our,” “Bakkt” or the “Company” and like terms refer to (i) Bakkt Opco Holdings, LLC and its subsidiaries (the “Predecessor”) for the period from January 1, 2021 through October 14, 2021 (the "Predecessor Period") and (ii) Bakkt Holdings, Inc. and its subsidiaries (the “Successor”) for the period from October 15, 2021 through December 31, 2021 and for the year ended December 31, 2022 (each referred to herein as a “Successor Period”), unless the context otherwise requires. Some of the information contained in this discussion and analysis or set forth elsewhere in this Annual Report on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elsewhere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151515"/>
        </w:rPr>
        <w:t xml:space="preserve">Founded in 2018, Bakkt builds technology that connects the digital economy by offering one ecosystem for crypto and loyalty points. We enable our clients to deliver new opportunities to their customers through </w:t>
      </w:r>
      <w:r>
        <w:rPr>
          <w:rFonts w:ascii="Arial" w:cs="Arial" w:eastAsia="Arial" w:hAnsi="Arial"/>
          <w:sz w:val="18"/>
          <w:szCs w:val="18"/>
          <w:color w:val="0C0C0C"/>
        </w:rPr>
        <w:t>software as a service (“SaaS”)</w:t>
      </w:r>
      <w:r>
        <w:rPr>
          <w:rFonts w:ascii="Arial" w:cs="Arial" w:eastAsia="Arial" w:hAnsi="Arial"/>
          <w:sz w:val="18"/>
          <w:szCs w:val="18"/>
          <w:color w:val="151515"/>
        </w:rPr>
        <w:t xml:space="preserve"> and API solutions that unlock crypto and drive loyalty, powering engagement and performance. The global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151515"/>
        </w:rPr>
        <w:t>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8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151515"/>
        </w:rPr>
        <w:t>Our platform is built to operate across various cryptoassets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51515"/>
        </w:rPr>
        <w:t>laundering ("AML"), and other anti-fraud measures to combat financial crime</w:t>
      </w:r>
      <w:r>
        <w:rPr>
          <w:rFonts w:ascii="Arial" w:cs="Arial" w:eastAsia="Arial" w:hAnsi="Arial"/>
          <w:sz w:val="21"/>
          <w:szCs w:val="21"/>
          <w:color w:val="000000"/>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52"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6"/>
          <w:szCs w:val="16"/>
          <w:color w:val="auto"/>
        </w:rPr>
        <w:t>On February 8, 2023, we acquired 100% of the units of Bumped, a broker-dealer registered with the SEC and FINRA, for cash consideration of $575,000. This acquisition required Bumped to file a CMA with FINRA, and FINRA is currently reviewing the CMA to ensure that Bumped will continue to meet its regulatory obligations if the filing is approved. After FINRA’s assessment, the CMA will be approved, denied or approved with restrictions.</w:t>
      </w:r>
    </w:p>
    <w:p>
      <w:pPr>
        <w:spacing w:after="0" w:line="13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231F20"/>
        </w:rPr>
        <w:t>On November 2, 2022, we entered into a definitive agreement with Apex Fintech Solutions, Inc. (“AFS”) pursuant to which we agreed to acquire all of the membership interests of Apex Crypto, LLC (“Apex”), a financial technology company with an integrated crypto trading platform, for consideration consisting of an initial purchase price of $55.0 million in cash, up to $45.0 million shares of Class A common stock that may be earned if Apex achieves certain profitability growth targets for the fourth quarter of 2022, and up to an additional $100.0 million in shares of our Class A common stock depending on Apex’s achievement of certain financial targets through 2025. Apex’s profitability in the fourth quarter of 2022 results in Class A common stock consideration of $9.0 million based on the earn-out target mechanics. The transaction, which is subject to regulatory approvals, is expected to close in the first half of 2023. Under the terms of the transaction, Bakkt and AFS will, among other things, enter into a commercial agreement that memorializes the continued relationship and provision of Bakkt crypto solutions for AFS’s clients. This acquisition is expected to provide immediate scale and meaningful transaction volume from Apex’s active client base. We expect to leverage Apex’s proprietary trading platform and existing relationships with liquidity providers to provide a wider range of assets and competitive pricing to our clients. Furthermore, on November 2, 2022, Bakkt and certain parties related to the seller entered into a Stockholders’ Agreement, pursuant to which such counterparties agreed to certain lock-up, standstill, and short sale restrictions.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Growing Our Client Base</w:t>
      </w:r>
    </w:p>
    <w:p>
      <w:pPr>
        <w:spacing w:after="0" w:line="2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Apex complements our B2B2C growth strategy by broadening our business partnerships to fintechs and neo-banks. Our ability to grow our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231F20"/>
        </w:rPr>
        <w:t>client and revenue base through the Apex acquisition is dependent on successful integration of the businesses post-transaction close.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Product Expansion and Innovation</w:t>
      </w:r>
    </w:p>
    <w:p>
      <w:pPr>
        <w:spacing w:after="0" w:line="25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The crypto marketplace is rapidly evolving. Our ability to continue innovating our platform will increase the attractiveness of our platform to clients. Our ability to meet the capability demands of our clients will allow us to continue to grow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Competition</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crypto marketplace is highly competitive with numerous participants competing for the same clients. We believe we are uniquely positioned with our ability to provide capabilities around emerging cryptoassets alongside loyalty points on a single, highly secure, institutional-grade technology platform.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Economic and Market Conditions</w:t>
      </w:r>
    </w:p>
    <w:p>
      <w:pPr>
        <w:spacing w:after="0" w:line="266" w:lineRule="exact"/>
        <w:rPr>
          <w:sz w:val="20"/>
          <w:szCs w:val="20"/>
          <w:color w:val="auto"/>
        </w:rPr>
      </w:pPr>
    </w:p>
    <w:p>
      <w:pPr>
        <w:ind w:firstLine="648"/>
        <w:spacing w:after="0" w:line="311" w:lineRule="auto"/>
        <w:rPr>
          <w:sz w:val="20"/>
          <w:szCs w:val="20"/>
          <w:color w:val="auto"/>
        </w:rPr>
      </w:pPr>
      <w:r>
        <w:rPr>
          <w:rFonts w:ascii="Arial" w:cs="Arial" w:eastAsia="Arial" w:hAnsi="Arial"/>
          <w:sz w:val="17"/>
          <w:szCs w:val="17"/>
          <w:color w:val="231F20"/>
        </w:rPr>
        <w:t xml:space="preserve">Our performance is impacted by the strength of the overall macroeconomic environment and crypto market conditions, which are beyond our control. Negative market conditions may hinder client activity, including extended decision timelines around implementing crypto strategies. In 2022, the crypto markets were impacted by, among other things, significant volatility in </w:t>
      </w:r>
      <w:r>
        <w:rPr>
          <w:rFonts w:ascii="Arial" w:cs="Arial" w:eastAsia="Arial" w:hAnsi="Arial"/>
          <w:sz w:val="17"/>
          <w:szCs w:val="17"/>
          <w:color w:val="000000"/>
        </w:rPr>
        <w:t>cryptoasset</w:t>
      </w:r>
      <w:r>
        <w:rPr>
          <w:rFonts w:ascii="Arial" w:cs="Arial" w:eastAsia="Arial" w:hAnsi="Arial"/>
          <w:sz w:val="17"/>
          <w:szCs w:val="17"/>
          <w:color w:val="231F20"/>
        </w:rPr>
        <w:t xml:space="preserve"> prices, bankruptcies of several cryptocurrency exchanges, regulatory actions and adverse publicity. Although we did not have any exposure to the companies that halted activities in 2022, we were nonetheless impacted by the broader conditions in the crypto markets. In addition, during 2022, macroeconomic conditions—including rising interest rates, spikes in inflation rates and market volatility, along with geopolitical concerns, including the war in Ukraine and the sanctions and other measures that have been and continue to be imposed in response to the war—created uncertainty and volatility in the global economy. We expect the macroeconomic environment and the state of the crypto markets to remain dynamic in the near-term, and we will continue to monitor macroeconomic and crypto market conditions, and the potential impacts that any of the foregoing may have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Markets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8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 xml:space="preserve">We are seeking to bring trust and transparency to </w:t>
      </w:r>
      <w:r>
        <w:rPr>
          <w:rFonts w:ascii="Arial" w:cs="Arial" w:eastAsia="Arial" w:hAnsi="Arial"/>
          <w:sz w:val="16"/>
          <w:szCs w:val="16"/>
          <w:color w:val="000000"/>
        </w:rPr>
        <w:t>crypto</w:t>
      </w:r>
      <w:r>
        <w:rPr>
          <w:rFonts w:ascii="Arial" w:cs="Arial" w:eastAsia="Arial" w:hAnsi="Arial"/>
          <w:sz w:val="16"/>
          <w:szCs w:val="16"/>
          <w:color w:val="231F20"/>
        </w:rPr>
        <w:t>.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5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 xml:space="preserve">We continue to work with regulators to address the emerging global landscape for </w:t>
      </w:r>
      <w:r>
        <w:rPr>
          <w:rFonts w:ascii="Arial" w:cs="Arial" w:eastAsia="Arial" w:hAnsi="Arial"/>
          <w:sz w:val="17"/>
          <w:szCs w:val="17"/>
          <w:color w:val="000000"/>
        </w:rPr>
        <w:t>crypto</w:t>
      </w:r>
      <w:r>
        <w:rPr>
          <w:rFonts w:ascii="Arial" w:cs="Arial" w:eastAsia="Arial" w:hAnsi="Arial"/>
          <w:sz w:val="17"/>
          <w:szCs w:val="17"/>
          <w:color w:val="231F20"/>
        </w:rPr>
        <w:t>. As investment continues, the intersection of technology and finance will require ongoing engagement as new applications emerge. C</w:t>
      </w:r>
      <w:r>
        <w:rPr>
          <w:rFonts w:ascii="Arial" w:cs="Arial" w:eastAsia="Arial" w:hAnsi="Arial"/>
          <w:sz w:val="17"/>
          <w:szCs w:val="17"/>
          <w:color w:val="000000"/>
        </w:rPr>
        <w:t>ryptoasset</w:t>
      </w:r>
      <w:r>
        <w:rPr>
          <w:rFonts w:ascii="Arial" w:cs="Arial" w:eastAsia="Arial" w:hAnsi="Arial"/>
          <w:sz w:val="17"/>
          <w:szCs w:val="17"/>
          <w:color w:val="231F20"/>
        </w:rPr>
        <w:t xml:space="preserve"> and distributed ledger technology have significant, positive potential with proper collaboration between industry and regulators. </w:t>
      </w:r>
      <w:r>
        <w:rPr>
          <w:rFonts w:ascii="Arial" w:cs="Arial" w:eastAsia="Arial" w:hAnsi="Arial"/>
          <w:sz w:val="17"/>
          <w:szCs w:val="17"/>
          <w:color w:val="0C0C0C"/>
        </w:rPr>
        <w:t>For more information around regulations, please see</w:t>
      </w:r>
      <w:r>
        <w:rPr>
          <w:rFonts w:ascii="Arial" w:cs="Arial" w:eastAsia="Arial" w:hAnsi="Arial"/>
          <w:sz w:val="17"/>
          <w:szCs w:val="17"/>
          <w:color w:val="231F20"/>
        </w:rPr>
        <w:t xml:space="preserve"> </w:t>
      </w:r>
      <w:r>
        <w:rPr>
          <w:rFonts w:ascii="Arial" w:cs="Arial" w:eastAsia="Arial" w:hAnsi="Arial"/>
          <w:sz w:val="17"/>
          <w:szCs w:val="17"/>
          <w:i w:val="1"/>
          <w:iCs w:val="1"/>
          <w:color w:val="0C0C0C"/>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 Impacts</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In March 2020, the World Health Organization declared the COVID-19 outbreak a global pandemic. The COVID-19 pandemic has adversely affected global economic activity and, in 2020, contributed to significant declines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volatility in financial markets. For the year ended December 31, 2022, our business operations have continued to recover from the impacts of the pandemic, and revenue from the travel loyalty transactions has also continued to recover.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VIH Business Combination</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On October 15, 2021, Bakkt (f/k/a VPC Impact Acquisition Holdings, a Cayman Islands exempted company (“VIH”)) and VIH completed the VIH Business Combination contemplated by the Merger Agreement. Pursuant to the Merger Agreement, VIH acquired a majority voting interest in Bakkt Opco Holdings, LLC (“Opco”) through a series of mergers, with Opco becoming a direct subsidiary of VIH. In connection with the completion of the VIH Business Combination, VIH changed its jurisdiction of incorporation from the Cayman Islands to the State of Delaware and changed its name to “Bakkt Holdings, Inc.”</w:t>
      </w:r>
    </w:p>
    <w:p>
      <w:pPr>
        <w:spacing w:after="0" w:line="19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231F20"/>
        </w:rPr>
        <w:t>The VIH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231F20"/>
        </w:rPr>
        <w:t xml:space="preserve">Upon completion of the VIH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w:t>
      </w:r>
      <w:r>
        <w:rPr>
          <w:rFonts w:ascii="Arial" w:cs="Arial" w:eastAsia="Arial" w:hAnsi="Arial"/>
          <w:sz w:val="16"/>
          <w:szCs w:val="16"/>
          <w:color w:val="000000"/>
        </w:rPr>
        <w:t>In connection with the VIH Business Combination, all outstanding membership interests and rights to acquire membership</w:t>
      </w:r>
      <w:r>
        <w:rPr>
          <w:rFonts w:ascii="Arial" w:cs="Arial" w:eastAsia="Arial" w:hAnsi="Arial"/>
          <w:sz w:val="16"/>
          <w:szCs w:val="16"/>
          <w:color w:val="231F20"/>
        </w:rPr>
        <w:t xml:space="preserve"> </w:t>
      </w:r>
      <w:r>
        <w:rPr>
          <w:rFonts w:ascii="Arial" w:cs="Arial" w:eastAsia="Arial" w:hAnsi="Arial"/>
          <w:sz w:val="16"/>
          <w:szCs w:val="16"/>
          <w:color w:val="000000"/>
        </w:rPr>
        <w:t>interests in Opco were exchanged for an aggregate of 208,200,000 Opco Common Units and an equal number of newly issued shares of our Class V common stock, par value $0.0001 per share (“Class V common stock”), which are non-economic, voting shares of the Company, of which 207,406,648 were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with the remaining Opco Common Units being owned by the equity owners of Opco prior to the Merger.</w:t>
      </w:r>
    </w:p>
    <w:p>
      <w:pPr>
        <w:spacing w:after="0" w:line="162"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As a result of the VIH Business Combination, our financial results are broken out between the Predecessor period (January 1, 2021 through October 14, 2021) and the Successor periods (October 15, 2021 through December 31, 2021 and January 1, 2022 through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 Held for Other Parties</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detailed in Note 18, upon the adoption of Staff Accounting Bulletin 121 (“SAB 121”), we recorded a safeguarding obligation liability and a corresponding safeguarding asset related to the crypto held for other parties. As of December 31, 2022, the safeguarding obligation liability related to crypto held for other parties was $15.8 million. We have taken steps to mitigate the potential risk of loss for the crypto we hold for other parties, including holding insurance coverage specifically for certain cryptoasset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8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cryptoasset wallets; we do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not presently utilize third-party custodians.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cryptoasset safeguarding obligation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Key Performance Indicators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0C0C0C"/>
        </w:rPr>
        <w:t>We have previously disclosed two key performance indicators (“KPIs”) that are key to understanding our business performance, as they reflect the different ways we enable clients to engage with our platform.</w:t>
      </w:r>
    </w:p>
    <w:p>
      <w:pPr>
        <w:spacing w:after="0" w:line="211" w:lineRule="exact"/>
        <w:rPr>
          <w:sz w:val="20"/>
          <w:szCs w:val="20"/>
          <w:color w:val="auto"/>
        </w:rPr>
      </w:pPr>
    </w:p>
    <w:p>
      <w:pPr>
        <w:jc w:val="both"/>
        <w:ind w:left="660" w:hanging="328"/>
        <w:spacing w:after="0" w:line="306" w:lineRule="auto"/>
        <w:tabs>
          <w:tab w:leader="none" w:pos="648" w:val="left"/>
        </w:tabs>
        <w:numPr>
          <w:ilvl w:val="0"/>
          <w:numId w:val="45"/>
        </w:numPr>
        <w:rPr>
          <w:rFonts w:ascii="Arial" w:cs="Arial" w:eastAsia="Arial" w:hAnsi="Arial"/>
          <w:sz w:val="18"/>
          <w:szCs w:val="18"/>
          <w:color w:val="0C0C0C"/>
        </w:rPr>
      </w:pPr>
      <w:r>
        <w:rPr>
          <w:rFonts w:ascii="Arial" w:cs="Arial" w:eastAsia="Arial" w:hAnsi="Arial"/>
          <w:sz w:val="16"/>
          <w:szCs w:val="16"/>
          <w:b w:val="1"/>
          <w:bCs w:val="1"/>
          <w:i w:val="1"/>
          <w:iCs w:val="1"/>
          <w:color w:val="0C0C0C"/>
        </w:rPr>
        <w:t xml:space="preserve">Transacting accounts. </w:t>
      </w:r>
      <w:r>
        <w:rPr>
          <w:rFonts w:ascii="Arial" w:cs="Arial" w:eastAsia="Arial" w:hAnsi="Arial"/>
          <w:sz w:val="16"/>
          <w:szCs w:val="16"/>
          <w:color w:val="0C0C0C"/>
        </w:rPr>
        <w:t>We define transacting accounts as unique accounts that perform transactions on our platform each month. We use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transacting accounts to reflect how users across our platform use the variety of services we offer, such as redeeming loyalty points for travel or</w:t>
      </w:r>
    </w:p>
    <w:p>
      <w:pPr>
        <w:spacing w:after="0" w:line="1" w:lineRule="exact"/>
        <w:rPr>
          <w:rFonts w:ascii="Arial" w:cs="Arial" w:eastAsia="Arial" w:hAnsi="Arial"/>
          <w:sz w:val="18"/>
          <w:szCs w:val="18"/>
          <w:color w:val="0C0C0C"/>
        </w:rPr>
      </w:pPr>
    </w:p>
    <w:p>
      <w:pPr>
        <w:ind w:left="660" w:right="20"/>
        <w:spacing w:after="0" w:line="308" w:lineRule="auto"/>
        <w:rPr>
          <w:rFonts w:ascii="Arial" w:cs="Arial" w:eastAsia="Arial" w:hAnsi="Arial"/>
          <w:sz w:val="18"/>
          <w:szCs w:val="18"/>
          <w:color w:val="0C0C0C"/>
        </w:rPr>
      </w:pPr>
      <w:r>
        <w:rPr>
          <w:rFonts w:ascii="Arial" w:cs="Arial" w:eastAsia="Arial" w:hAnsi="Arial"/>
          <w:sz w:val="18"/>
          <w:szCs w:val="18"/>
          <w:color w:val="0C0C0C"/>
        </w:rPr>
        <w:t>merchandise, buying and selling crypto to facilitate everyday purchases, or converting loyalty points to cash or gift cards. There were 3.0 million unique monthly transacting accounts in 2022, including 1.0 million in the fourth quarter of 2022.</w:t>
      </w:r>
    </w:p>
    <w:p>
      <w:pPr>
        <w:spacing w:after="0" w:line="211" w:lineRule="exact"/>
        <w:rPr>
          <w:rFonts w:ascii="Arial" w:cs="Arial" w:eastAsia="Arial" w:hAnsi="Arial"/>
          <w:sz w:val="18"/>
          <w:szCs w:val="18"/>
          <w:color w:val="0C0C0C"/>
        </w:rPr>
      </w:pPr>
    </w:p>
    <w:p>
      <w:pPr>
        <w:jc w:val="both"/>
        <w:ind w:left="660" w:hanging="328"/>
        <w:spacing w:after="0" w:line="287" w:lineRule="auto"/>
        <w:tabs>
          <w:tab w:leader="none" w:pos="648" w:val="left"/>
        </w:tabs>
        <w:numPr>
          <w:ilvl w:val="0"/>
          <w:numId w:val="45"/>
        </w:numPr>
        <w:rPr>
          <w:rFonts w:ascii="Arial" w:cs="Arial" w:eastAsia="Arial" w:hAnsi="Arial"/>
          <w:sz w:val="20"/>
          <w:szCs w:val="20"/>
          <w:color w:val="0C0C0C"/>
        </w:rPr>
      </w:pPr>
      <w:r>
        <w:rPr>
          <w:rFonts w:ascii="Arial" w:cs="Arial" w:eastAsia="Arial" w:hAnsi="Arial"/>
          <w:sz w:val="18"/>
          <w:szCs w:val="18"/>
          <w:b w:val="1"/>
          <w:bCs w:val="1"/>
          <w:i w:val="1"/>
          <w:iCs w:val="1"/>
          <w:color w:val="0C0C0C"/>
        </w:rPr>
        <w:t xml:space="preserve">Digital asset conversion volume. </w:t>
      </w:r>
      <w:r>
        <w:rPr>
          <w:rFonts w:ascii="Arial" w:cs="Arial" w:eastAsia="Arial" w:hAnsi="Arial"/>
          <w:sz w:val="18"/>
          <w:szCs w:val="18"/>
          <w:color w:val="0C0C0C"/>
        </w:rPr>
        <w:t>This KPI refers to the dollar value of transaction volume across our platform, including loyalty redemption,</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crypto buy/sell and gift card purchase transactions. Our digital asset conversion volume was $832.3 million in 2022, $262.8 million of which occurred in the fourth quarter of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is our consolidated statements of operations for the Successor periods and the Predecessor period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3"/>
                <w:szCs w:val="13"/>
                <w:color w:val="auto"/>
              </w:rPr>
            </w:pPr>
          </w:p>
        </w:tc>
        <w:tc>
          <w:tcPr>
            <w:tcW w:w="13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120" w:type="dxa"/>
            <w:vAlign w:val="bottom"/>
          </w:tcPr>
          <w:p>
            <w:pPr>
              <w:spacing w:after="0"/>
              <w:rPr>
                <w:sz w:val="18"/>
                <w:szCs w:val="18"/>
                <w:color w:val="auto"/>
              </w:rPr>
            </w:pP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199"/>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00" w:type="dxa"/>
            <w:vAlign w:val="bottom"/>
          </w:tcPr>
          <w:p>
            <w:pPr>
              <w:ind w:left="240"/>
              <w:spacing w:after="0" w:line="162" w:lineRule="exact"/>
              <w:rPr>
                <w:sz w:val="20"/>
                <w:szCs w:val="20"/>
                <w:color w:val="auto"/>
              </w:rPr>
            </w:pPr>
            <w:r>
              <w:rPr>
                <w:rFonts w:ascii="Arial" w:cs="Arial" w:eastAsia="Arial" w:hAnsi="Arial"/>
                <w:sz w:val="16"/>
                <w:szCs w:val="16"/>
                <w:color w:val="auto"/>
                <w:w w:val="92"/>
              </w:rPr>
              <w:t>Net revenues (includes related party net revenues of $42 and $71, respectively, and affiliate net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11,481</w:t>
            </w:r>
          </w:p>
        </w:tc>
        <w:tc>
          <w:tcPr>
            <w:tcW w:w="120" w:type="dxa"/>
            <w:vAlign w:val="bottom"/>
            <w:tcBorders>
              <w:right w:val="single" w:sz="8" w:color="auto"/>
            </w:tcBorders>
          </w:tcPr>
          <w:p>
            <w:pPr>
              <w:spacing w:after="0"/>
              <w:rPr>
                <w:sz w:val="14"/>
                <w:szCs w:val="14"/>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27,956</w:t>
            </w: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line="216" w:lineRule="exact"/>
              <w:rPr>
                <w:sz w:val="20"/>
                <w:szCs w:val="20"/>
                <w:color w:val="auto"/>
              </w:rPr>
            </w:pPr>
            <w:r>
              <w:rPr>
                <w:rFonts w:ascii="Arial" w:cs="Arial" w:eastAsia="Arial" w:hAnsi="Arial"/>
                <w:sz w:val="16"/>
                <w:szCs w:val="16"/>
                <w:color w:val="auto"/>
              </w:rPr>
              <w:t>revenues of $136)</w:t>
            </w:r>
            <w:r>
              <w:rPr>
                <w:rFonts w:ascii="Arial" w:cs="Arial" w:eastAsia="Arial" w:hAnsi="Arial"/>
                <w:sz w:val="21"/>
                <w:szCs w:val="21"/>
                <w:color w:val="auto"/>
                <w:vertAlign w:val="superscript"/>
              </w:rPr>
              <w:t>(1)</w:t>
            </w: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Compensation and benefits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91,275</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Technology and communication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10,384</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20,309</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24,793</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line="216" w:lineRule="exact"/>
              <w:rPr>
                <w:sz w:val="20"/>
                <w:szCs w:val="20"/>
                <w:color w:val="auto"/>
              </w:rPr>
            </w:pPr>
            <w:r>
              <w:rPr>
                <w:rFonts w:ascii="Arial" w:cs="Arial" w:eastAsia="Arial" w:hAnsi="Arial"/>
                <w:sz w:val="16"/>
                <w:szCs w:val="16"/>
                <w:color w:val="auto"/>
              </w:rPr>
              <w:t>Related party expenses (affiliate in Predecessor period)</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and intangible assets impairments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2"/>
        </w:trPr>
        <w:tc>
          <w:tcPr>
            <w:tcW w:w="6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2,073,480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86,027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168,017</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(2,018,913)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(74,546)</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(140,061)</w:t>
            </w: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(expense),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Gain (loss) from change in fair value of warrant liability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(79,373)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6"/>
        </w:trPr>
        <w:tc>
          <w:tcPr>
            <w:tcW w:w="65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(2,001,254)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(153,076)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(139,821)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(1,989,934)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(164,827)</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(139,219)</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Net loss attributable to 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(1,411,829)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(120,832)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5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74"/>
              </w:rPr>
              <w:t>(2)</w:t>
            </w: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360" w:type="dxa"/>
            <w:vAlign w:val="bottom"/>
            <w:vMerge w:val="continue"/>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6500" w:type="dxa"/>
            <w:vAlign w:val="bottom"/>
            <w:vMerge w:val="restart"/>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right w:val="single" w:sz="8" w:color="auto"/>
            </w:tcBorders>
          </w:tcPr>
          <w:p>
            <w:pPr>
              <w:spacing w:after="0"/>
              <w:rPr>
                <w:sz w:val="11"/>
                <w:szCs w:val="11"/>
                <w:color w:val="auto"/>
              </w:rPr>
            </w:pPr>
          </w:p>
        </w:tc>
        <w:tc>
          <w:tcPr>
            <w:tcW w:w="220" w:type="dxa"/>
            <w:vAlign w:val="bottom"/>
            <w:gridSpan w:val="2"/>
          </w:tcPr>
          <w:p>
            <w:pPr>
              <w:ind w:left="100"/>
              <w:spacing w:after="0"/>
              <w:rPr>
                <w:sz w:val="20"/>
                <w:szCs w:val="20"/>
                <w:color w:val="auto"/>
              </w:rPr>
            </w:pPr>
            <w:r>
              <w:rPr>
                <w:rFonts w:ascii="Arial" w:cs="Arial" w:eastAsia="Arial" w:hAnsi="Arial"/>
                <w:sz w:val="11"/>
                <w:szCs w:val="11"/>
                <w:color w:val="auto"/>
                <w:w w:val="74"/>
              </w:rPr>
              <w:t>(2)</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As a result of the VIH Business Combination, ICE and its affiliates are no longer our affiliates.</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Basic and diluted loss per share is not presented for the Predecessor period due to lack of comparability with the Successor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231F20"/>
              </w:rPr>
              <w:t>The</w:t>
            </w:r>
          </w:p>
        </w:tc>
        <w:tc>
          <w:tcPr>
            <w:tcW w:w="1100" w:type="dxa"/>
            <w:vAlign w:val="bottom"/>
          </w:tcPr>
          <w:p>
            <w:pPr>
              <w:ind w:left="100"/>
              <w:spacing w:after="0"/>
              <w:rPr>
                <w:sz w:val="20"/>
                <w:szCs w:val="20"/>
                <w:color w:val="auto"/>
              </w:rPr>
            </w:pPr>
            <w:r>
              <w:rPr>
                <w:rFonts w:ascii="Arial" w:cs="Arial" w:eastAsia="Arial" w:hAnsi="Arial"/>
                <w:sz w:val="18"/>
                <w:szCs w:val="18"/>
                <w:color w:val="231F20"/>
                <w:w w:val="92"/>
              </w:rPr>
              <w:t>comparability</w:t>
            </w:r>
          </w:p>
        </w:tc>
        <w:tc>
          <w:tcPr>
            <w:tcW w:w="460" w:type="dxa"/>
            <w:vAlign w:val="bottom"/>
          </w:tcPr>
          <w:p>
            <w:pPr>
              <w:jc w:val="right"/>
              <w:spacing w:after="0"/>
              <w:rPr>
                <w:sz w:val="20"/>
                <w:szCs w:val="20"/>
                <w:color w:val="auto"/>
              </w:rPr>
            </w:pPr>
            <w:r>
              <w:rPr>
                <w:rFonts w:ascii="Arial" w:cs="Arial" w:eastAsia="Arial" w:hAnsi="Arial"/>
                <w:sz w:val="18"/>
                <w:szCs w:val="18"/>
                <w:color w:val="231F20"/>
              </w:rPr>
              <w:t>of</w:t>
            </w:r>
          </w:p>
        </w:tc>
        <w:tc>
          <w:tcPr>
            <w:tcW w:w="640" w:type="dxa"/>
            <w:vAlign w:val="bottom"/>
          </w:tcPr>
          <w:p>
            <w:pPr>
              <w:jc w:val="center"/>
              <w:spacing w:after="0"/>
              <w:rPr>
                <w:sz w:val="20"/>
                <w:szCs w:val="20"/>
                <w:color w:val="auto"/>
              </w:rPr>
            </w:pPr>
            <w:r>
              <w:rPr>
                <w:rFonts w:ascii="Arial" w:cs="Arial" w:eastAsia="Arial" w:hAnsi="Arial"/>
                <w:sz w:val="18"/>
                <w:szCs w:val="18"/>
                <w:color w:val="231F20"/>
                <w:w w:val="92"/>
              </w:rPr>
              <w:t>our</w:t>
            </w:r>
          </w:p>
        </w:tc>
        <w:tc>
          <w:tcPr>
            <w:tcW w:w="880" w:type="dxa"/>
            <w:vAlign w:val="bottom"/>
          </w:tcPr>
          <w:p>
            <w:pPr>
              <w:ind w:left="60"/>
              <w:spacing w:after="0"/>
              <w:rPr>
                <w:sz w:val="20"/>
                <w:szCs w:val="20"/>
                <w:color w:val="auto"/>
              </w:rPr>
            </w:pPr>
            <w:r>
              <w:rPr>
                <w:rFonts w:ascii="Arial" w:cs="Arial" w:eastAsia="Arial" w:hAnsi="Arial"/>
                <w:sz w:val="18"/>
                <w:szCs w:val="18"/>
                <w:color w:val="231F20"/>
              </w:rPr>
              <w:t>operating</w:t>
            </w:r>
          </w:p>
        </w:tc>
        <w:tc>
          <w:tcPr>
            <w:tcW w:w="800" w:type="dxa"/>
            <w:vAlign w:val="bottom"/>
          </w:tcPr>
          <w:p>
            <w:pPr>
              <w:jc w:val="right"/>
              <w:ind w:right="130"/>
              <w:spacing w:after="0"/>
              <w:rPr>
                <w:sz w:val="20"/>
                <w:szCs w:val="20"/>
                <w:color w:val="auto"/>
              </w:rPr>
            </w:pPr>
            <w:r>
              <w:rPr>
                <w:rFonts w:ascii="Arial" w:cs="Arial" w:eastAsia="Arial" w:hAnsi="Arial"/>
                <w:sz w:val="18"/>
                <w:szCs w:val="18"/>
                <w:color w:val="231F20"/>
              </w:rPr>
              <w:t>results</w:t>
            </w:r>
          </w:p>
        </w:tc>
        <w:tc>
          <w:tcPr>
            <w:tcW w:w="420" w:type="dxa"/>
            <w:vAlign w:val="bottom"/>
          </w:tcPr>
          <w:p>
            <w:pPr>
              <w:ind w:left="40"/>
              <w:spacing w:after="0"/>
              <w:rPr>
                <w:sz w:val="20"/>
                <w:szCs w:val="20"/>
                <w:color w:val="auto"/>
              </w:rPr>
            </w:pPr>
            <w:r>
              <w:rPr>
                <w:rFonts w:ascii="Arial" w:cs="Arial" w:eastAsia="Arial" w:hAnsi="Arial"/>
                <w:sz w:val="18"/>
                <w:szCs w:val="18"/>
                <w:color w:val="231F20"/>
              </w:rPr>
              <w:t>for</w:t>
            </w:r>
          </w:p>
        </w:tc>
        <w:tc>
          <w:tcPr>
            <w:tcW w:w="940" w:type="dxa"/>
            <w:vAlign w:val="bottom"/>
          </w:tcPr>
          <w:p>
            <w:pPr>
              <w:ind w:left="80"/>
              <w:spacing w:after="0"/>
              <w:rPr>
                <w:sz w:val="20"/>
                <w:szCs w:val="20"/>
                <w:color w:val="auto"/>
              </w:rPr>
            </w:pPr>
            <w:r>
              <w:rPr>
                <w:rFonts w:ascii="Arial" w:cs="Arial" w:eastAsia="Arial" w:hAnsi="Arial"/>
                <w:sz w:val="18"/>
                <w:szCs w:val="18"/>
                <w:color w:val="231F20"/>
              </w:rPr>
              <w:t>the   year</w:t>
            </w:r>
          </w:p>
        </w:tc>
        <w:tc>
          <w:tcPr>
            <w:tcW w:w="1820" w:type="dxa"/>
            <w:vAlign w:val="bottom"/>
          </w:tcPr>
          <w:p>
            <w:pPr>
              <w:ind w:left="180"/>
              <w:spacing w:after="0"/>
              <w:rPr>
                <w:sz w:val="20"/>
                <w:szCs w:val="20"/>
                <w:color w:val="auto"/>
              </w:rPr>
            </w:pPr>
            <w:r>
              <w:rPr>
                <w:rFonts w:ascii="Arial" w:cs="Arial" w:eastAsia="Arial" w:hAnsi="Arial"/>
                <w:sz w:val="18"/>
                <w:szCs w:val="18"/>
                <w:color w:val="231F20"/>
              </w:rPr>
              <w:t>ended   December</w:t>
            </w:r>
          </w:p>
        </w:tc>
        <w:tc>
          <w:tcPr>
            <w:tcW w:w="400" w:type="dxa"/>
            <w:vAlign w:val="bottom"/>
          </w:tcPr>
          <w:p>
            <w:pPr>
              <w:jc w:val="right"/>
              <w:ind w:right="50"/>
              <w:spacing w:after="0"/>
              <w:rPr>
                <w:sz w:val="20"/>
                <w:szCs w:val="20"/>
                <w:color w:val="auto"/>
              </w:rPr>
            </w:pPr>
            <w:r>
              <w:rPr>
                <w:rFonts w:ascii="Arial" w:cs="Arial" w:eastAsia="Arial" w:hAnsi="Arial"/>
                <w:sz w:val="18"/>
                <w:szCs w:val="18"/>
                <w:color w:val="231F20"/>
                <w:w w:val="95"/>
              </w:rPr>
              <w:t>31,</w:t>
            </w:r>
          </w:p>
        </w:tc>
        <w:tc>
          <w:tcPr>
            <w:tcW w:w="500" w:type="dxa"/>
            <w:vAlign w:val="bottom"/>
          </w:tcPr>
          <w:p>
            <w:pPr>
              <w:jc w:val="right"/>
              <w:spacing w:after="0"/>
              <w:rPr>
                <w:sz w:val="20"/>
                <w:szCs w:val="20"/>
                <w:color w:val="auto"/>
              </w:rPr>
            </w:pPr>
            <w:r>
              <w:rPr>
                <w:rFonts w:ascii="Arial" w:cs="Arial" w:eastAsia="Arial" w:hAnsi="Arial"/>
                <w:sz w:val="18"/>
                <w:szCs w:val="18"/>
                <w:color w:val="231F20"/>
              </w:rPr>
              <w:t>2022</w:t>
            </w:r>
          </w:p>
        </w:tc>
        <w:tc>
          <w:tcPr>
            <w:tcW w:w="400" w:type="dxa"/>
            <w:vAlign w:val="bottom"/>
          </w:tcPr>
          <w:p>
            <w:pPr>
              <w:ind w:left="220"/>
              <w:spacing w:after="0"/>
              <w:rPr>
                <w:sz w:val="20"/>
                <w:szCs w:val="20"/>
                <w:color w:val="auto"/>
              </w:rPr>
            </w:pPr>
            <w:r>
              <w:rPr>
                <w:rFonts w:ascii="Arial" w:cs="Arial" w:eastAsia="Arial" w:hAnsi="Arial"/>
                <w:sz w:val="18"/>
                <w:szCs w:val="18"/>
                <w:color w:val="231F20"/>
                <w:w w:val="83"/>
              </w:rPr>
              <w:t>as</w:t>
            </w:r>
          </w:p>
        </w:tc>
        <w:tc>
          <w:tcPr>
            <w:tcW w:w="1080" w:type="dxa"/>
            <w:vAlign w:val="bottom"/>
          </w:tcPr>
          <w:p>
            <w:pPr>
              <w:ind w:left="220"/>
              <w:spacing w:after="0"/>
              <w:rPr>
                <w:sz w:val="20"/>
                <w:szCs w:val="20"/>
                <w:color w:val="auto"/>
              </w:rPr>
            </w:pPr>
            <w:r>
              <w:rPr>
                <w:rFonts w:ascii="Arial" w:cs="Arial" w:eastAsia="Arial" w:hAnsi="Arial"/>
                <w:sz w:val="18"/>
                <w:szCs w:val="18"/>
                <w:color w:val="231F20"/>
              </w:rPr>
              <w:t>compared</w:t>
            </w:r>
          </w:p>
        </w:tc>
        <w:tc>
          <w:tcPr>
            <w:tcW w:w="340" w:type="dxa"/>
            <w:vAlign w:val="bottom"/>
          </w:tcPr>
          <w:p>
            <w:pPr>
              <w:jc w:val="center"/>
              <w:spacing w:after="0"/>
              <w:rPr>
                <w:sz w:val="20"/>
                <w:szCs w:val="20"/>
                <w:color w:val="auto"/>
              </w:rPr>
            </w:pPr>
            <w:r>
              <w:rPr>
                <w:rFonts w:ascii="Arial" w:cs="Arial" w:eastAsia="Arial" w:hAnsi="Arial"/>
                <w:sz w:val="18"/>
                <w:szCs w:val="18"/>
                <w:color w:val="231F20"/>
                <w:w w:val="92"/>
              </w:rPr>
              <w:t>to</w:t>
            </w:r>
          </w:p>
        </w:tc>
        <w:tc>
          <w:tcPr>
            <w:tcW w:w="380" w:type="dxa"/>
            <w:vAlign w:val="bottom"/>
          </w:tcPr>
          <w:p>
            <w:pPr>
              <w:jc w:val="right"/>
              <w:spacing w:after="0"/>
              <w:rPr>
                <w:sz w:val="20"/>
                <w:szCs w:val="20"/>
                <w:color w:val="auto"/>
              </w:rPr>
            </w:pPr>
            <w:r>
              <w:rPr>
                <w:rFonts w:ascii="Arial" w:cs="Arial" w:eastAsia="Arial" w:hAnsi="Arial"/>
                <w:sz w:val="18"/>
                <w:szCs w:val="18"/>
                <w:color w:val="231F20"/>
              </w:rPr>
              <w:t>the</w:t>
            </w:r>
          </w:p>
        </w:tc>
      </w:tr>
      <w:tr>
        <w:trPr>
          <w:trHeight w:val="257"/>
        </w:trPr>
        <w:tc>
          <w:tcPr>
            <w:tcW w:w="1080" w:type="dxa"/>
            <w:vAlign w:val="bottom"/>
          </w:tcPr>
          <w:p>
            <w:pPr>
              <w:spacing w:after="0"/>
              <w:rPr>
                <w:sz w:val="20"/>
                <w:szCs w:val="20"/>
                <w:color w:val="auto"/>
              </w:rPr>
            </w:pPr>
            <w:r>
              <w:rPr>
                <w:rFonts w:ascii="Arial" w:cs="Arial" w:eastAsia="Arial" w:hAnsi="Arial"/>
                <w:sz w:val="18"/>
                <w:szCs w:val="18"/>
                <w:color w:val="231F20"/>
              </w:rPr>
              <w:t>periods  from</w:t>
            </w:r>
          </w:p>
        </w:tc>
        <w:tc>
          <w:tcPr>
            <w:tcW w:w="1100" w:type="dxa"/>
            <w:vAlign w:val="bottom"/>
          </w:tcPr>
          <w:p>
            <w:pPr>
              <w:ind w:left="60"/>
              <w:spacing w:after="0"/>
              <w:rPr>
                <w:sz w:val="20"/>
                <w:szCs w:val="20"/>
                <w:color w:val="auto"/>
              </w:rPr>
            </w:pPr>
            <w:r>
              <w:rPr>
                <w:rFonts w:ascii="Arial" w:cs="Arial" w:eastAsia="Arial" w:hAnsi="Arial"/>
                <w:sz w:val="18"/>
                <w:szCs w:val="18"/>
                <w:color w:val="231F20"/>
              </w:rPr>
              <w:t>October  15,</w:t>
            </w:r>
          </w:p>
        </w:tc>
        <w:tc>
          <w:tcPr>
            <w:tcW w:w="460" w:type="dxa"/>
            <w:vAlign w:val="bottom"/>
          </w:tcPr>
          <w:p>
            <w:pPr>
              <w:jc w:val="right"/>
              <w:ind w:right="10"/>
              <w:spacing w:after="0"/>
              <w:rPr>
                <w:sz w:val="20"/>
                <w:szCs w:val="20"/>
                <w:color w:val="auto"/>
              </w:rPr>
            </w:pPr>
            <w:r>
              <w:rPr>
                <w:rFonts w:ascii="Arial" w:cs="Arial" w:eastAsia="Arial" w:hAnsi="Arial"/>
                <w:sz w:val="18"/>
                <w:szCs w:val="18"/>
                <w:color w:val="231F20"/>
                <w:w w:val="84"/>
              </w:rPr>
              <w:t>2021</w:t>
            </w:r>
          </w:p>
        </w:tc>
        <w:tc>
          <w:tcPr>
            <w:tcW w:w="640" w:type="dxa"/>
            <w:vAlign w:val="bottom"/>
          </w:tcPr>
          <w:p>
            <w:pPr>
              <w:jc w:val="center"/>
              <w:spacing w:after="0"/>
              <w:rPr>
                <w:sz w:val="20"/>
                <w:szCs w:val="20"/>
                <w:color w:val="auto"/>
              </w:rPr>
            </w:pPr>
            <w:r>
              <w:rPr>
                <w:rFonts w:ascii="Arial" w:cs="Arial" w:eastAsia="Arial" w:hAnsi="Arial"/>
                <w:sz w:val="18"/>
                <w:szCs w:val="18"/>
                <w:color w:val="231F20"/>
                <w:w w:val="91"/>
              </w:rPr>
              <w:t>through</w:t>
            </w:r>
          </w:p>
        </w:tc>
        <w:tc>
          <w:tcPr>
            <w:tcW w:w="880" w:type="dxa"/>
            <w:vAlign w:val="bottom"/>
          </w:tcPr>
          <w:p>
            <w:pPr>
              <w:ind w:left="80"/>
              <w:spacing w:after="0"/>
              <w:rPr>
                <w:sz w:val="20"/>
                <w:szCs w:val="20"/>
                <w:color w:val="auto"/>
              </w:rPr>
            </w:pPr>
            <w:r>
              <w:rPr>
                <w:rFonts w:ascii="Arial" w:cs="Arial" w:eastAsia="Arial" w:hAnsi="Arial"/>
                <w:sz w:val="18"/>
                <w:szCs w:val="18"/>
                <w:color w:val="231F20"/>
                <w:w w:val="93"/>
              </w:rPr>
              <w:t>December</w:t>
            </w:r>
          </w:p>
        </w:tc>
        <w:tc>
          <w:tcPr>
            <w:tcW w:w="800" w:type="dxa"/>
            <w:vAlign w:val="bottom"/>
          </w:tcPr>
          <w:p>
            <w:pPr>
              <w:jc w:val="right"/>
              <w:spacing w:after="0"/>
              <w:rPr>
                <w:sz w:val="20"/>
                <w:szCs w:val="20"/>
                <w:color w:val="auto"/>
              </w:rPr>
            </w:pPr>
            <w:r>
              <w:rPr>
                <w:rFonts w:ascii="Arial" w:cs="Arial" w:eastAsia="Arial" w:hAnsi="Arial"/>
                <w:sz w:val="18"/>
                <w:szCs w:val="18"/>
                <w:color w:val="231F20"/>
                <w:w w:val="98"/>
              </w:rPr>
              <w:t>31,  2021</w:t>
            </w:r>
          </w:p>
        </w:tc>
        <w:tc>
          <w:tcPr>
            <w:tcW w:w="420" w:type="dxa"/>
            <w:vAlign w:val="bottom"/>
          </w:tcPr>
          <w:p>
            <w:pPr>
              <w:ind w:left="100"/>
              <w:spacing w:after="0"/>
              <w:rPr>
                <w:sz w:val="20"/>
                <w:szCs w:val="20"/>
                <w:color w:val="auto"/>
              </w:rPr>
            </w:pPr>
            <w:r>
              <w:rPr>
                <w:rFonts w:ascii="Arial" w:cs="Arial" w:eastAsia="Arial" w:hAnsi="Arial"/>
                <w:sz w:val="18"/>
                <w:szCs w:val="18"/>
                <w:color w:val="231F20"/>
                <w:w w:val="99"/>
              </w:rPr>
              <w:t>and</w:t>
            </w:r>
          </w:p>
        </w:tc>
        <w:tc>
          <w:tcPr>
            <w:tcW w:w="940" w:type="dxa"/>
            <w:vAlign w:val="bottom"/>
          </w:tcPr>
          <w:p>
            <w:pPr>
              <w:ind w:left="60"/>
              <w:spacing w:after="0"/>
              <w:rPr>
                <w:sz w:val="20"/>
                <w:szCs w:val="20"/>
                <w:color w:val="auto"/>
              </w:rPr>
            </w:pPr>
            <w:r>
              <w:rPr>
                <w:rFonts w:ascii="Arial" w:cs="Arial" w:eastAsia="Arial" w:hAnsi="Arial"/>
                <w:sz w:val="18"/>
                <w:szCs w:val="18"/>
                <w:color w:val="231F20"/>
                <w:w w:val="96"/>
              </w:rPr>
              <w:t>January  1,</w:t>
            </w:r>
          </w:p>
        </w:tc>
        <w:tc>
          <w:tcPr>
            <w:tcW w:w="1820" w:type="dxa"/>
            <w:vAlign w:val="bottom"/>
          </w:tcPr>
          <w:p>
            <w:pPr>
              <w:ind w:left="60"/>
              <w:spacing w:after="0"/>
              <w:rPr>
                <w:sz w:val="20"/>
                <w:szCs w:val="20"/>
                <w:color w:val="auto"/>
              </w:rPr>
            </w:pPr>
            <w:r>
              <w:rPr>
                <w:rFonts w:ascii="Arial" w:cs="Arial" w:eastAsia="Arial" w:hAnsi="Arial"/>
                <w:sz w:val="18"/>
                <w:szCs w:val="18"/>
                <w:color w:val="231F20"/>
                <w:w w:val="93"/>
              </w:rPr>
              <w:t>2021  through  October</w:t>
            </w:r>
          </w:p>
        </w:tc>
        <w:tc>
          <w:tcPr>
            <w:tcW w:w="400" w:type="dxa"/>
            <w:vAlign w:val="bottom"/>
          </w:tcPr>
          <w:p>
            <w:pPr>
              <w:jc w:val="right"/>
              <w:spacing w:after="0"/>
              <w:rPr>
                <w:sz w:val="20"/>
                <w:szCs w:val="20"/>
                <w:color w:val="auto"/>
              </w:rPr>
            </w:pPr>
            <w:r>
              <w:rPr>
                <w:rFonts w:ascii="Arial" w:cs="Arial" w:eastAsia="Arial" w:hAnsi="Arial"/>
                <w:sz w:val="18"/>
                <w:szCs w:val="18"/>
                <w:color w:val="231F20"/>
              </w:rPr>
              <w:t>14,</w:t>
            </w:r>
          </w:p>
        </w:tc>
        <w:tc>
          <w:tcPr>
            <w:tcW w:w="500" w:type="dxa"/>
            <w:vAlign w:val="bottom"/>
          </w:tcPr>
          <w:p>
            <w:pPr>
              <w:jc w:val="right"/>
              <w:spacing w:after="0"/>
              <w:rPr>
                <w:sz w:val="20"/>
                <w:szCs w:val="20"/>
                <w:color w:val="auto"/>
              </w:rPr>
            </w:pPr>
            <w:r>
              <w:rPr>
                <w:rFonts w:ascii="Arial" w:cs="Arial" w:eastAsia="Arial" w:hAnsi="Arial"/>
                <w:sz w:val="18"/>
                <w:szCs w:val="18"/>
                <w:color w:val="231F20"/>
                <w:w w:val="99"/>
              </w:rPr>
              <w:t>2021</w:t>
            </w:r>
          </w:p>
        </w:tc>
        <w:tc>
          <w:tcPr>
            <w:tcW w:w="400" w:type="dxa"/>
            <w:vAlign w:val="bottom"/>
          </w:tcPr>
          <w:p>
            <w:pPr>
              <w:ind w:left="40"/>
              <w:spacing w:after="0"/>
              <w:rPr>
                <w:sz w:val="20"/>
                <w:szCs w:val="20"/>
                <w:color w:val="auto"/>
              </w:rPr>
            </w:pPr>
            <w:r>
              <w:rPr>
                <w:rFonts w:ascii="Arial" w:cs="Arial" w:eastAsia="Arial" w:hAnsi="Arial"/>
                <w:sz w:val="18"/>
                <w:szCs w:val="18"/>
                <w:color w:val="231F20"/>
              </w:rPr>
              <w:t>was</w:t>
            </w:r>
          </w:p>
        </w:tc>
        <w:tc>
          <w:tcPr>
            <w:tcW w:w="1080" w:type="dxa"/>
            <w:vAlign w:val="bottom"/>
          </w:tcPr>
          <w:p>
            <w:pPr>
              <w:ind w:left="40"/>
              <w:spacing w:after="0"/>
              <w:rPr>
                <w:sz w:val="20"/>
                <w:szCs w:val="20"/>
                <w:color w:val="auto"/>
              </w:rPr>
            </w:pPr>
            <w:r>
              <w:rPr>
                <w:rFonts w:ascii="Arial" w:cs="Arial" w:eastAsia="Arial" w:hAnsi="Arial"/>
                <w:sz w:val="18"/>
                <w:szCs w:val="18"/>
                <w:color w:val="231F20"/>
                <w:w w:val="99"/>
              </w:rPr>
              <w:t>impacted  by</w:t>
            </w:r>
          </w:p>
        </w:tc>
        <w:tc>
          <w:tcPr>
            <w:tcW w:w="340" w:type="dxa"/>
            <w:vAlign w:val="bottom"/>
          </w:tcPr>
          <w:p>
            <w:pPr>
              <w:jc w:val="center"/>
              <w:spacing w:after="0"/>
              <w:rPr>
                <w:sz w:val="20"/>
                <w:szCs w:val="20"/>
                <w:color w:val="auto"/>
              </w:rPr>
            </w:pPr>
            <w:r>
              <w:rPr>
                <w:rFonts w:ascii="Arial" w:cs="Arial" w:eastAsia="Arial" w:hAnsi="Arial"/>
                <w:sz w:val="18"/>
                <w:szCs w:val="18"/>
                <w:color w:val="231F20"/>
                <w:w w:val="87"/>
              </w:rPr>
              <w:t>the</w:t>
            </w:r>
          </w:p>
        </w:tc>
        <w:tc>
          <w:tcPr>
            <w:tcW w:w="380" w:type="dxa"/>
            <w:vAlign w:val="bottom"/>
          </w:tcPr>
          <w:p>
            <w:pPr>
              <w:jc w:val="right"/>
              <w:spacing w:after="0"/>
              <w:rPr>
                <w:sz w:val="20"/>
                <w:szCs w:val="20"/>
                <w:color w:val="auto"/>
              </w:rPr>
            </w:pPr>
            <w:r>
              <w:rPr>
                <w:rFonts w:ascii="Arial" w:cs="Arial" w:eastAsia="Arial" w:hAnsi="Arial"/>
                <w:sz w:val="18"/>
                <w:szCs w:val="18"/>
                <w:color w:val="231F20"/>
              </w:rPr>
              <w:t>VIH</w:t>
            </w:r>
          </w:p>
        </w:tc>
      </w:tr>
    </w:tbl>
    <w:p>
      <w:pPr>
        <w:spacing w:after="0" w:line="13"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231F20"/>
        </w:rPr>
        <w:t>Business Combination in October 2021. We have prepared our discussion of the results of operations by comparing the results of the year ended December 31, 2022 and the combined year ended December 31, 2021, comprising the Successor period from October 15, 2021 through December 31, 2021 and the Predecessor period from January 1, 2021 through October 14, 2021 (together, the “combined 2021 period”). We believe this approach provides the most meaningful basis of comparison and is more useful than a separate analysis of the Predecessor and Successor periods of 2021 in identifying current business trends for the periods presented. The amounts relating to the combined 2021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231F20"/>
        </w:rPr>
        <w:t>included in our discussion below are not considered to be prepared in accordance with U.S. GAAP and have not been prepared as pro forma results under applicable regulations. This should not be viewed as a substitute for the results of operations of the Predecessor and Successor periods presented in accordance with U.S. GAAP.</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Year Ended December 31, 2022 (Successor) Compared to October 15, 2021 through December 31, 2021 (Successor) and January 1, 2021 through October 14, 2021 (Predecessor)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The year ended December 31, 2022 included the following notable items relative to the periods October 15, 2021 through December 31, 2021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31F20"/>
        </w:rPr>
        <w:t>January 1, 2021 through October 14, 2021:</w:t>
      </w:r>
    </w:p>
    <w:p>
      <w:pPr>
        <w:spacing w:after="0" w:line="158" w:lineRule="exact"/>
        <w:rPr>
          <w:sz w:val="20"/>
          <w:szCs w:val="20"/>
          <w:color w:val="auto"/>
        </w:rPr>
      </w:pPr>
    </w:p>
    <w:p>
      <w:pPr>
        <w:ind w:left="660" w:hanging="328"/>
        <w:spacing w:after="0" w:line="308" w:lineRule="auto"/>
        <w:tabs>
          <w:tab w:leader="none" w:pos="655"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Revenue increased $15.1 million, or 38%, primarily driven by strong transaction revenue from the loyalty redemption business and higher subscription and service revenue from expansion of services for an existing Loyalty client;</w:t>
      </w:r>
    </w:p>
    <w:p>
      <w:pPr>
        <w:spacing w:after="0" w:line="76" w:lineRule="exact"/>
        <w:rPr>
          <w:rFonts w:ascii="Arial" w:cs="Arial" w:eastAsia="Arial" w:hAnsi="Arial"/>
          <w:sz w:val="18"/>
          <w:szCs w:val="18"/>
          <w:color w:val="231F20"/>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Operating expenses increased $1,819.4 million primarily driven by non-cash goodwill and intangible asset impairment charges</w:t>
      </w:r>
    </w:p>
    <w:p>
      <w:pPr>
        <w:spacing w:after="0" w:line="2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tcBorders>
              <w:right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Predecessor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8"/>
                <w:szCs w:val="18"/>
                <w:color w:val="auto"/>
              </w:rPr>
            </w:pPr>
          </w:p>
        </w:tc>
        <w:tc>
          <w:tcPr>
            <w:tcW w:w="132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01" w:lineRule="exact"/>
        <w:rPr>
          <w:rFonts w:ascii="Arial" w:cs="Arial" w:eastAsia="Arial" w:hAnsi="Arial"/>
          <w:sz w:val="23"/>
          <w:szCs w:val="23"/>
          <w:i w:val="1"/>
          <w:iCs w:val="1"/>
          <w:color w:val="auto"/>
          <w:vertAlign w:val="superscript"/>
        </w:rPr>
      </w:pPr>
    </w:p>
    <w:p>
      <w:pPr>
        <w:ind w:left="660"/>
        <w:spacing w:after="0"/>
        <w:rPr>
          <w:rFonts w:ascii="Arial" w:cs="Arial" w:eastAsia="Arial" w:hAnsi="Arial"/>
          <w:sz w:val="23"/>
          <w:szCs w:val="23"/>
          <w:i w:val="1"/>
          <w:iCs w:val="1"/>
          <w:color w:val="auto"/>
          <w:vertAlign w:val="superscript"/>
        </w:rPr>
      </w:pPr>
      <w:r>
        <w:rPr>
          <w:rFonts w:ascii="Arial" w:cs="Arial" w:eastAsia="Arial" w:hAnsi="Arial"/>
          <w:sz w:val="18"/>
          <w:szCs w:val="18"/>
          <w:b w:val="1"/>
          <w:bCs w:val="1"/>
          <w:i w:val="1"/>
          <w:iCs w:val="1"/>
          <w:color w:val="231F20"/>
        </w:rPr>
        <w:t>Net Revenues</w:t>
      </w:r>
    </w:p>
    <w:p>
      <w:pPr>
        <w:spacing w:after="0" w:line="239"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Net revenues consist of transaction revenue and subscription and service revenue. We receive revenue when consumers use our services to buy, sell, and spend crypto and loyalty points. We generate revenue across our platform in the following key areas:</w:t>
      </w:r>
    </w:p>
    <w:p>
      <w:pPr>
        <w:spacing w:after="0" w:line="76" w:lineRule="exact"/>
        <w:rPr>
          <w:sz w:val="20"/>
          <w:szCs w:val="20"/>
          <w:color w:val="auto"/>
        </w:rPr>
      </w:pPr>
    </w:p>
    <w:p>
      <w:pPr>
        <w:ind w:left="660" w:hanging="328"/>
        <w:spacing w:after="0" w:line="324"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client platform fees as well as service revenue from software development fees and call center support.</w:t>
      </w:r>
    </w:p>
    <w:p>
      <w:pPr>
        <w:spacing w:after="0" w:line="4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Transaction revenue. We generate transaction revenue though loyalty redemption volumes where we receive a percentage fee based on the volume and from crypto buy/sell where we earn a spread on both legs of the transaction.</w:t>
      </w:r>
    </w:p>
    <w:p>
      <w:pPr>
        <w:spacing w:after="0" w:line="15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Our revenue has seasonality and is typically higher in the fourth quarter, driven by holiday spending and the booking of travel. Revenue generated from our crypto services has been immaterial to date. However, we expect that revenues from cryptoasset trades, spending crypto and other transactions and subscription fees will be significant drivers of our business, and we expect those revenues to increase as we grow our client base and our customers. As a result, over time, we expect loyalty revenue, which has been the source of substantially all of our revenue historically, to decrease as a percentage of overall revenue as the revenue from our other product and service offerings grows.</w:t>
      </w:r>
    </w:p>
    <w:p>
      <w:pPr>
        <w:spacing w:after="0" w:line="18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Transaction revenue is net of incentives, rebates and liquidity payments, reductions in connection with the contribution agreement entered into between Bakkt and ICE in connection with ICE’s formation of Bakkt (the “Contribution Agreement”), and consideration payable to a customer pursuant to an agreement with a strategic partner.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revenues increased by $15.1 million, or 38.4%, for the year ended December 31, 2022 compared to the combined 2021 period. The increase was comprised of $11.5 million of increased transaction revenue and $3.6 million of increased subscription and service revenue. The increase in transaction revenue was primarily driven by $7.6 million from higher customer activity in our loyalty redemption services business and $2.5 million from increased interchange fees. The increase in subscription and service revenue was primarily related to the addition of new services for an existing loyalty client, partially offset by reduced development services.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3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Operating expenses consist of compensation and benefits, professional services, technology and communication expenses, selling, general and administrative expenses, acquisition-related expenses, depreciation and amortization, affiliate expenses, impairment of indefinite-lived intangible assets, long-lived assets, and goodwill, restructuring charges, and other operating expenses.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3"/>
              </w:rPr>
              <w:t>Predecessor</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through</w:t>
            </w:r>
          </w:p>
        </w:tc>
        <w:tc>
          <w:tcPr>
            <w:tcW w:w="200" w:type="dxa"/>
            <w:vAlign w:val="bottom"/>
          </w:tcPr>
          <w:p>
            <w:pPr>
              <w:spacing w:after="0"/>
              <w:rPr>
                <w:sz w:val="14"/>
                <w:szCs w:val="14"/>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400" w:type="dxa"/>
            <w:vAlign w:val="bottom"/>
          </w:tcPr>
          <w:p>
            <w:pPr>
              <w:spacing w:after="0"/>
              <w:rPr>
                <w:sz w:val="18"/>
                <w:szCs w:val="18"/>
                <w:color w:val="auto"/>
              </w:rPr>
            </w:pPr>
          </w:p>
        </w:tc>
        <w:tc>
          <w:tcPr>
            <w:tcW w:w="106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31, 2021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October 14, 2021</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139,049</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62,180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91,275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unit-based compensation and other employee related costs. Upon the consummation of the VIH Business Combination on October 15, 2021, one-third of the awards in the Equity Plan vested, which resulted in recognition of $77.8 million of incremental unit-based compensation expense in the combined 2021 period ($30.6 million in the Predecessor period and $47.2 million in the Successor period). The second and third tranches vest on the one-year and two-year anniversary date of the transaction close, respectively.</w:t>
      </w:r>
    </w:p>
    <w:p>
      <w:pPr>
        <w:spacing w:after="0" w:line="195"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231F20"/>
        </w:rPr>
        <w:t>Headcount increased in 2022 across functions as we invested in strengthening our service offerings and enhancing our systems, processes, and controls. We granted equity awards as part of the compensation package for new employees. We expect that our compensation and benefits expenses will decrease as a percentage of our revenue over time. Compensation and benefits decreased by $14.4 million, or 9.4%, for the year ended December 31, 2022 compared to the combined 2021 period. The decrease was primarily due a decrease of $48.0 million in non-cash compensation due to the recognition of one time incremental unit-based compensation expense related to the VIH Business Combination in the combined 2021 period, which was partially offset by additional expense from new equity awards granted during the year ended December 31, 2022. The decrease in non-cash compensation was partially offset by increases of $21.9 million in additional salaries, wages and benefits, $10.0 million in contract labor for software development, $1.3 million in payroll taxes, and $1.4 million in severance costs. The majority of the increase in these costs, excluding the amounts related to the VIH Business Combination, resulted from increases in headcount to support the projected growth in our business and increased compliance and reporting requirements as a public company. Compensation and benefits expense is the most significant component of our operating expenses, and we expect that this will continue to be the case after the restructuring efforts in the fourth quarter of 2022 and the first quarter of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400" w:type="dxa"/>
            <w:vAlign w:val="bottom"/>
          </w:tcPr>
          <w:p>
            <w:pPr>
              <w:spacing w:after="0"/>
              <w:rPr>
                <w:sz w:val="18"/>
                <w:szCs w:val="18"/>
                <w:color w:val="auto"/>
              </w:rPr>
            </w:pPr>
          </w:p>
        </w:tc>
        <w:tc>
          <w:tcPr>
            <w:tcW w:w="106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7"/>
          <w:szCs w:val="17"/>
          <w:color w:val="231F20"/>
        </w:rPr>
        <w:t>Professional services expense includes fees for accounting, legal and regulatory fees. Professional services increased by $3.3 million, or 39.9%, for the year ended December 31, 2022 compared to the combined 2021 period. The increase was primarily due to increases of $2.2 million in legal fees and $2.1 million in audit and tax fees, which was partially offset by a decrease in other professional fees of $1.0 million.</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tcPr>
          <w:p>
            <w:pPr>
              <w:ind w:left="640"/>
              <w:spacing w:after="0"/>
              <w:rPr>
                <w:sz w:val="20"/>
                <w:szCs w:val="20"/>
                <w:color w:val="auto"/>
              </w:rPr>
            </w:pPr>
            <w:r>
              <w:rPr>
                <w:rFonts w:ascii="Arial" w:cs="Arial" w:eastAsia="Arial" w:hAnsi="Arial"/>
                <w:sz w:val="18"/>
                <w:szCs w:val="18"/>
                <w:b w:val="1"/>
                <w:bCs w:val="1"/>
                <w:i w:val="1"/>
                <w:iCs w:val="1"/>
                <w:color w:val="231F20"/>
                <w:w w:val="96"/>
              </w:rPr>
              <w:t>Technology and Communication</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0"/>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4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380" w:type="dxa"/>
            <w:vAlign w:val="bottom"/>
          </w:tcPr>
          <w:p>
            <w:pPr>
              <w:spacing w:after="0"/>
              <w:rPr>
                <w:sz w:val="18"/>
                <w:szCs w:val="18"/>
                <w:color w:val="auto"/>
              </w:rPr>
            </w:pPr>
          </w:p>
        </w:tc>
        <w:tc>
          <w:tcPr>
            <w:tcW w:w="1060" w:type="dxa"/>
            <w:vAlign w:val="bottom"/>
          </w:tcPr>
          <w:p>
            <w:pPr>
              <w:jc w:val="center"/>
              <w:ind w:right="295"/>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$3.6 million, or 27.1%, for the year ended December 31, 2022 compared to the combined 2021 period. The increase was primarily due to an increase of $3.8 million in hardware and software license fees.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Selling, General and Administrative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tcBorders>
              <w:right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36"/>
              <w:spacing w:after="0" w:line="155" w:lineRule="exact"/>
              <w:rPr>
                <w:sz w:val="20"/>
                <w:szCs w:val="20"/>
                <w:color w:val="auto"/>
              </w:rPr>
            </w:pPr>
            <w:r>
              <w:rPr>
                <w:rFonts w:ascii="Arial" w:cs="Arial" w:eastAsia="Arial" w:hAnsi="Arial"/>
                <w:sz w:val="16"/>
                <w:szCs w:val="16"/>
                <w:b w:val="1"/>
                <w:bCs w:val="1"/>
                <w:color w:val="auto"/>
                <w:w w:val="90"/>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4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8"/>
                <w:szCs w:val="18"/>
                <w:color w:val="auto"/>
              </w:rPr>
            </w:pPr>
          </w:p>
        </w:tc>
        <w:tc>
          <w:tcPr>
            <w:tcW w:w="132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231F20"/>
        </w:rPr>
        <w:t>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Selling, general and administrative costs increased by $6.6 million, or 22.8%, for the year ended December 31, 2022 compared to the combined 2021 period. The increase was primarily due to increases of $12.4 million in insurance expense and $2.4 million in occupancy costs, partially offset by a reduction of marketing expenses of $10.1 million. The majority of marketing expenses are web-based promotional campaigns. We expect to increase marketing efforts as part of our broader growth initiatives, which is expected to result in increased selling, general and administrative expenses in future periods.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3"/>
              </w:rPr>
              <w:t>Predecessor</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through</w:t>
            </w:r>
          </w:p>
        </w:tc>
        <w:tc>
          <w:tcPr>
            <w:tcW w:w="200" w:type="dxa"/>
            <w:vAlign w:val="bottom"/>
          </w:tcPr>
          <w:p>
            <w:pPr>
              <w:spacing w:after="0"/>
              <w:rPr>
                <w:sz w:val="14"/>
                <w:szCs w:val="14"/>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400" w:type="dxa"/>
            <w:vAlign w:val="bottom"/>
          </w:tcPr>
          <w:p>
            <w:pPr>
              <w:spacing w:after="0"/>
              <w:rPr>
                <w:sz w:val="18"/>
                <w:szCs w:val="18"/>
                <w:color w:val="auto"/>
              </w:rPr>
            </w:pPr>
          </w:p>
        </w:tc>
        <w:tc>
          <w:tcPr>
            <w:tcW w:w="106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31, 2021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October 14, 2021</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 xml:space="preserve">Acquisition-related expenses decreased by $20.7 million, or 78.5%, for the year ended December 31, 2022 compared to the combined 2021 period. Acquisition-related expenses for the year ended December 31, 2022 consist of </w:t>
      </w:r>
      <w:r>
        <w:rPr>
          <w:rFonts w:ascii="Arial" w:cs="Arial" w:eastAsia="Arial" w:hAnsi="Arial"/>
          <w:sz w:val="16"/>
          <w:szCs w:val="16"/>
          <w:color w:val="000000"/>
        </w:rPr>
        <w:t>fees for investment banking advisors, lawyers, accountants, tax</w:t>
      </w:r>
      <w:r>
        <w:rPr>
          <w:rFonts w:ascii="Arial" w:cs="Arial" w:eastAsia="Arial" w:hAnsi="Arial"/>
          <w:sz w:val="16"/>
          <w:szCs w:val="16"/>
          <w:color w:val="231F20"/>
        </w:rPr>
        <w:t xml:space="preserve"> </w:t>
      </w:r>
      <w:r>
        <w:rPr>
          <w:rFonts w:ascii="Arial" w:cs="Arial" w:eastAsia="Arial" w:hAnsi="Arial"/>
          <w:sz w:val="16"/>
          <w:szCs w:val="16"/>
          <w:color w:val="000000"/>
        </w:rPr>
        <w:t xml:space="preserve">advisors and public relations firms directly related to the </w:t>
      </w:r>
      <w:r>
        <w:rPr>
          <w:rFonts w:ascii="Arial" w:cs="Arial" w:eastAsia="Arial" w:hAnsi="Arial"/>
          <w:sz w:val="16"/>
          <w:szCs w:val="16"/>
          <w:color w:val="231F20"/>
        </w:rPr>
        <w:t>acquisition of Apex and Bumped. Acquisition-related expenses for the combined 2021 period</w:t>
      </w:r>
      <w:r>
        <w:rPr>
          <w:rFonts w:ascii="Arial" w:cs="Arial" w:eastAsia="Arial" w:hAnsi="Arial"/>
          <w:sz w:val="16"/>
          <w:szCs w:val="16"/>
          <w:color w:val="000000"/>
        </w:rPr>
        <w:t xml:space="preserve"> </w:t>
      </w:r>
      <w:r>
        <w:rPr>
          <w:rFonts w:ascii="Arial" w:cs="Arial" w:eastAsia="Arial" w:hAnsi="Arial"/>
          <w:sz w:val="16"/>
          <w:szCs w:val="16"/>
          <w:color w:val="231F20"/>
        </w:rPr>
        <w:t xml:space="preserve">consisted of </w:t>
      </w:r>
      <w:r>
        <w:rPr>
          <w:rFonts w:ascii="Arial" w:cs="Arial" w:eastAsia="Arial" w:hAnsi="Arial"/>
          <w:sz w:val="16"/>
          <w:szCs w:val="16"/>
          <w:color w:val="000000"/>
        </w:rPr>
        <w:t>fees for investment banking advisors, lawyers, accountants, tax advisors and public relations firms directly related to the</w:t>
      </w:r>
      <w:r>
        <w:rPr>
          <w:rFonts w:ascii="Arial" w:cs="Arial" w:eastAsia="Arial" w:hAnsi="Arial"/>
          <w:sz w:val="16"/>
          <w:szCs w:val="16"/>
          <w:color w:val="231F20"/>
        </w:rPr>
        <w:t xml:space="preserve"> VIH Business Combination. The amount and timing of acquisition-related expenses is expected to vary across periods based on potential transaction activities.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400" w:type="dxa"/>
            <w:vAlign w:val="bottom"/>
          </w:tcPr>
          <w:p>
            <w:pPr>
              <w:spacing w:after="0"/>
              <w:rPr>
                <w:sz w:val="18"/>
                <w:szCs w:val="18"/>
                <w:color w:val="auto"/>
              </w:rPr>
            </w:pPr>
          </w:p>
        </w:tc>
        <w:tc>
          <w:tcPr>
            <w:tcW w:w="106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10,308</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the VIH Business Combination. Depreciation and amortization increased by $10.3 million, or 68.5%, for the year ended December 31, 2022 compared to the combined 2021 period. The increase was primarily due to an increase of $12.2 million related to the step-up in basis of the technology and client relationships acquired in connection with the VIH Business Combination, partially offset by a decrease of $1.9 million related to amortization of capitalized software.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gridSpan w:val="4"/>
          </w:tcPr>
          <w:p>
            <w:pPr>
              <w:ind w:left="640"/>
              <w:spacing w:after="0"/>
              <w:rPr>
                <w:sz w:val="20"/>
                <w:szCs w:val="20"/>
                <w:color w:val="auto"/>
              </w:rPr>
            </w:pPr>
            <w:r>
              <w:rPr>
                <w:rFonts w:ascii="Arial" w:cs="Arial" w:eastAsia="Arial" w:hAnsi="Arial"/>
                <w:sz w:val="18"/>
                <w:szCs w:val="18"/>
                <w:b w:val="1"/>
                <w:bCs w:val="1"/>
                <w:i w:val="1"/>
                <w:iCs w:val="1"/>
                <w:color w:val="231F20"/>
                <w:w w:val="98"/>
              </w:rPr>
              <w:t>Impairment of goodwill and other intangible assets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vMerge w:val="restart"/>
          </w:tcPr>
          <w:p>
            <w:pPr>
              <w:jc w:val="center"/>
              <w:ind w:right="310"/>
              <w:spacing w:after="0"/>
              <w:rPr>
                <w:sz w:val="20"/>
                <w:szCs w:val="20"/>
                <w:color w:val="auto"/>
              </w:rPr>
            </w:pPr>
            <w:r>
              <w:rPr>
                <w:rFonts w:ascii="Arial" w:cs="Arial" w:eastAsia="Arial" w:hAnsi="Arial"/>
                <w:sz w:val="18"/>
                <w:szCs w:val="18"/>
                <w:b w:val="1"/>
                <w:bCs w:val="1"/>
                <w:color w:val="auto"/>
                <w:w w:val="85"/>
              </w:rPr>
              <w:t>Predecessor</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30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330"/>
              <w:spacing w:after="0" w:line="162" w:lineRule="exact"/>
              <w:rPr>
                <w:sz w:val="20"/>
                <w:szCs w:val="20"/>
                <w:color w:val="auto"/>
              </w:rPr>
            </w:pPr>
            <w:r>
              <w:rPr>
                <w:rFonts w:ascii="Arial" w:cs="Arial" w:eastAsia="Arial" w:hAnsi="Arial"/>
                <w:sz w:val="16"/>
                <w:szCs w:val="16"/>
                <w:b w:val="1"/>
                <w:bCs w:val="1"/>
                <w:color w:val="auto"/>
                <w:w w:val="89"/>
              </w:rPr>
              <w:t>through</w:t>
            </w: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4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2022</w:t>
            </w:r>
          </w:p>
        </w:tc>
        <w:tc>
          <w:tcPr>
            <w:tcW w:w="380" w:type="dxa"/>
            <w:vAlign w:val="bottom"/>
          </w:tcPr>
          <w:p>
            <w:pPr>
              <w:spacing w:after="0"/>
              <w:rPr>
                <w:sz w:val="18"/>
                <w:szCs w:val="18"/>
                <w:color w:val="auto"/>
              </w:rPr>
            </w:pPr>
          </w:p>
        </w:tc>
        <w:tc>
          <w:tcPr>
            <w:tcW w:w="1080" w:type="dxa"/>
            <w:vAlign w:val="bottom"/>
          </w:tcPr>
          <w:p>
            <w:pPr>
              <w:jc w:val="center"/>
              <w:ind w:right="295"/>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330"/>
              <w:spacing w:after="0"/>
              <w:rPr>
                <w:sz w:val="20"/>
                <w:szCs w:val="20"/>
                <w:color w:val="auto"/>
              </w:rPr>
            </w:pPr>
            <w:r>
              <w:rPr>
                <w:rFonts w:ascii="Arial" w:cs="Arial" w:eastAsia="Arial" w:hAnsi="Arial"/>
                <w:sz w:val="16"/>
                <w:szCs w:val="16"/>
                <w:b w:val="1"/>
                <w:bCs w:val="1"/>
                <w:color w:val="auto"/>
                <w:w w:val="92"/>
              </w:rPr>
              <w:t>October 14, 2021</w:t>
            </w:r>
          </w:p>
        </w:tc>
        <w:tc>
          <w:tcPr>
            <w:tcW w:w="1360" w:type="dxa"/>
            <w:vAlign w:val="bottom"/>
            <w:gridSpan w:val="2"/>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w w:val="97"/>
              </w:rPr>
              <w:t>Goodwill and intangible assets impairments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1,822,089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1,822,089</w:t>
            </w:r>
          </w:p>
        </w:tc>
        <w:tc>
          <w:tcPr>
            <w:tcW w:w="80" w:type="dxa"/>
            <w:vAlign w:val="bottom"/>
          </w:tcPr>
          <w:p>
            <w:pPr>
              <w:spacing w:after="0"/>
              <w:rPr>
                <w:sz w:val="19"/>
                <w:szCs w:val="19"/>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recorded an impairment of goodwill and other intangible assets of $1,822.1 million during the year ended December 31, 2022. Refer to Note 5 in our consolidated financial statements included in this Report on Form 10-K for further information. Impairment of our remaining goodwill or intangible assets may be necessary in the future.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ind w:left="640"/>
              <w:spacing w:after="0"/>
              <w:rPr>
                <w:sz w:val="20"/>
                <w:szCs w:val="20"/>
                <w:color w:val="auto"/>
              </w:rPr>
            </w:pPr>
            <w:r>
              <w:rPr>
                <w:rFonts w:ascii="Arial" w:cs="Arial" w:eastAsia="Arial" w:hAnsi="Arial"/>
                <w:sz w:val="18"/>
                <w:szCs w:val="18"/>
                <w:b w:val="1"/>
                <w:bCs w:val="1"/>
                <w:i w:val="1"/>
                <w:iCs w:val="1"/>
                <w:color w:val="231F20"/>
                <w:w w:val="98"/>
              </w:rPr>
              <w:t>Impairment of long-lived assets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400" w:type="dxa"/>
            <w:vAlign w:val="bottom"/>
          </w:tcPr>
          <w:p>
            <w:pPr>
              <w:spacing w:after="0"/>
              <w:rPr>
                <w:sz w:val="18"/>
                <w:szCs w:val="18"/>
                <w:color w:val="auto"/>
              </w:rPr>
            </w:pPr>
          </w:p>
        </w:tc>
        <w:tc>
          <w:tcPr>
            <w:tcW w:w="1060" w:type="dxa"/>
            <w:vAlign w:val="bottom"/>
          </w:tcPr>
          <w:p>
            <w:pPr>
              <w:jc w:val="center"/>
              <w:ind w:right="315"/>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139.8 %</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231F20"/>
        </w:rPr>
        <w:t xml:space="preserve">Impairment of long-lived assets expense increased by $6.7 million, or 139.8%, for the year ended December 31, 2022 compared to the combined 2021 period. During the year ended December 31, 2022, we recorded impairment charges of $8.7 million related to certain internally developed software assets pursuant to our fourth quarter impairment described in Note 5 to the consolidated financial statements included in this report on Form 10-K and $2.8 million in unrelated charges for another software product that was cancelled prior to being placed in service. During the combined 2021 period, we recorded impairment charges of $1.2 million in the Successor period related to the termination of a software license agreement and $3.6 million in the Predecessor period to measure the fair value of a customer consideration asset at $0 after reassessing the future consideration expected to be received less cost of services from our relationship with a strategic client. </w:t>
      </w:r>
      <w:r>
        <w:rPr>
          <w:rFonts w:ascii="Arial" w:cs="Arial" w:eastAsia="Arial" w:hAnsi="Arial"/>
          <w:sz w:val="16"/>
          <w:szCs w:val="16"/>
          <w:color w:val="000000"/>
        </w:rPr>
        <w:t>Impairment of our remaining long-lived assets may be necessary in the future.</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Restructuring expenses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3"/>
            <w:vMerge w:val="restart"/>
          </w:tcPr>
          <w:p>
            <w:pPr>
              <w:jc w:val="center"/>
              <w:ind w:right="310"/>
              <w:spacing w:after="0"/>
              <w:rPr>
                <w:sz w:val="20"/>
                <w:szCs w:val="20"/>
                <w:color w:val="auto"/>
              </w:rPr>
            </w:pPr>
            <w:r>
              <w:rPr>
                <w:rFonts w:ascii="Arial" w:cs="Arial" w:eastAsia="Arial" w:hAnsi="Arial"/>
                <w:sz w:val="18"/>
                <w:szCs w:val="18"/>
                <w:b w:val="1"/>
                <w:bCs w:val="1"/>
                <w:color w:val="auto"/>
                <w:w w:val="85"/>
              </w:rPr>
              <w:t>Predecessor</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vMerge w:val="continue"/>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30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330"/>
              <w:spacing w:after="0" w:line="162" w:lineRule="exact"/>
              <w:rPr>
                <w:sz w:val="20"/>
                <w:szCs w:val="20"/>
                <w:color w:val="auto"/>
              </w:rPr>
            </w:pPr>
            <w:r>
              <w:rPr>
                <w:rFonts w:ascii="Arial" w:cs="Arial" w:eastAsia="Arial" w:hAnsi="Arial"/>
                <w:sz w:val="16"/>
                <w:szCs w:val="16"/>
                <w:b w:val="1"/>
                <w:bCs w:val="1"/>
                <w:color w:val="auto"/>
                <w:w w:val="89"/>
              </w:rPr>
              <w:t>through</w:t>
            </w: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4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2022</w:t>
            </w:r>
          </w:p>
        </w:tc>
        <w:tc>
          <w:tcPr>
            <w:tcW w:w="380" w:type="dxa"/>
            <w:vAlign w:val="bottom"/>
          </w:tcPr>
          <w:p>
            <w:pPr>
              <w:spacing w:after="0"/>
              <w:rPr>
                <w:sz w:val="18"/>
                <w:szCs w:val="18"/>
                <w:color w:val="auto"/>
              </w:rPr>
            </w:pPr>
          </w:p>
        </w:tc>
        <w:tc>
          <w:tcPr>
            <w:tcW w:w="1080" w:type="dxa"/>
            <w:vAlign w:val="bottom"/>
          </w:tcPr>
          <w:p>
            <w:pPr>
              <w:jc w:val="center"/>
              <w:ind w:right="295"/>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330"/>
              <w:spacing w:after="0"/>
              <w:rPr>
                <w:sz w:val="20"/>
                <w:szCs w:val="20"/>
                <w:color w:val="auto"/>
              </w:rPr>
            </w:pPr>
            <w:r>
              <w:rPr>
                <w:rFonts w:ascii="Arial" w:cs="Arial" w:eastAsia="Arial" w:hAnsi="Arial"/>
                <w:sz w:val="16"/>
                <w:szCs w:val="16"/>
                <w:b w:val="1"/>
                <w:bCs w:val="1"/>
                <w:color w:val="auto"/>
                <w:w w:val="92"/>
              </w:rPr>
              <w:t>October 14, 2021</w:t>
            </w:r>
          </w:p>
        </w:tc>
        <w:tc>
          <w:tcPr>
            <w:tcW w:w="1360" w:type="dxa"/>
            <w:vAlign w:val="bottom"/>
            <w:gridSpan w:val="2"/>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9"/>
                <w:szCs w:val="19"/>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231F20"/>
        </w:rPr>
        <w:t>Restructuring expenses of $2.3 million for the year ended December 31, 2022 consist of severance costs as part of our business simplification initiatives to focus on capabilities with strong product market fit and scalability.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20" w:type="dxa"/>
            <w:vAlign w:val="bottom"/>
            <w:gridSpan w:val="5"/>
          </w:tcPr>
          <w:p>
            <w:pPr>
              <w:ind w:left="640"/>
              <w:spacing w:after="0"/>
              <w:rPr>
                <w:sz w:val="20"/>
                <w:szCs w:val="20"/>
                <w:color w:val="auto"/>
              </w:rPr>
            </w:pPr>
            <w:r>
              <w:rPr>
                <w:rFonts w:ascii="Arial" w:cs="Arial" w:eastAsia="Arial" w:hAnsi="Arial"/>
                <w:sz w:val="18"/>
                <w:szCs w:val="18"/>
                <w:b w:val="1"/>
                <w:bCs w:val="1"/>
                <w:i w:val="1"/>
                <w:iCs w:val="1"/>
                <w:color w:val="231F20"/>
                <w:w w:val="93"/>
              </w:rPr>
              <w:t>Gain (loss) from Change in Fair Value of Warrant Liability</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85"/>
              </w:rPr>
              <w:t>Predecessor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300" w:type="dxa"/>
            <w:vAlign w:val="bottom"/>
            <w:gridSpan w:val="2"/>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420"/>
              <w:spacing w:after="0" w:line="162" w:lineRule="exact"/>
              <w:rPr>
                <w:sz w:val="20"/>
                <w:szCs w:val="20"/>
                <w:color w:val="auto"/>
              </w:rPr>
            </w:pPr>
            <w:r>
              <w:rPr>
                <w:rFonts w:ascii="Arial" w:cs="Arial" w:eastAsia="Arial" w:hAnsi="Arial"/>
                <w:sz w:val="16"/>
                <w:szCs w:val="16"/>
                <w:b w:val="1"/>
                <w:bCs w:val="1"/>
                <w:color w:val="auto"/>
                <w:w w:val="92"/>
              </w:rPr>
              <w:t>through</w:t>
            </w: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380" w:type="dxa"/>
            <w:vAlign w:val="bottom"/>
          </w:tcPr>
          <w:p>
            <w:pPr>
              <w:spacing w:after="0"/>
              <w:rPr>
                <w:sz w:val="18"/>
                <w:szCs w:val="18"/>
                <w:color w:val="auto"/>
              </w:rPr>
            </w:pPr>
          </w:p>
        </w:tc>
        <w:tc>
          <w:tcPr>
            <w:tcW w:w="1060" w:type="dxa"/>
            <w:vAlign w:val="bottom"/>
          </w:tcPr>
          <w:p>
            <w:pPr>
              <w:jc w:val="center"/>
              <w:ind w:right="295"/>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October 14, 2021</w:t>
            </w:r>
          </w:p>
        </w:tc>
        <w:tc>
          <w:tcPr>
            <w:tcW w:w="134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line="156" w:lineRule="exact"/>
              <w:rPr>
                <w:sz w:val="20"/>
                <w:szCs w:val="20"/>
                <w:color w:val="auto"/>
              </w:rPr>
            </w:pPr>
            <w:r>
              <w:rPr>
                <w:rFonts w:ascii="Arial" w:cs="Arial" w:eastAsia="Arial" w:hAnsi="Arial"/>
                <w:sz w:val="18"/>
                <w:szCs w:val="18"/>
                <w:color w:val="auto"/>
              </w:rPr>
              <w:t>Gain (loss) from change in fair value of</w:t>
            </w: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warrant liability</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(79,373)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96,011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(121.0 %)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recorded a gain of $16.6 million during the year ended December 31, 2022 for the change in fair value on the revaluation of our warrant liability associated with our public warrants. We recorded a loss of $79.4 million during the period from October 15, 2021 through December 31, 2021 for the change in fair value on the revaluation of our warrant liability associated with our public warrants. This is a non-cash charge and is driven by fluctuations in the market price of our warrants.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Year Ended</w:t>
            </w:r>
          </w:p>
        </w:tc>
        <w:tc>
          <w:tcPr>
            <w:tcW w:w="14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380" w:type="dxa"/>
            <w:vAlign w:val="bottom"/>
          </w:tcPr>
          <w:p>
            <w:pPr>
              <w:spacing w:after="0"/>
              <w:rPr>
                <w:sz w:val="18"/>
                <w:szCs w:val="18"/>
                <w:color w:val="auto"/>
              </w:rPr>
            </w:pPr>
          </w:p>
        </w:tc>
        <w:tc>
          <w:tcPr>
            <w:tcW w:w="1060" w:type="dxa"/>
            <w:vAlign w:val="bottom"/>
          </w:tcPr>
          <w:p>
            <w:pPr>
              <w:jc w:val="center"/>
              <w:ind w:right="295"/>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(164.9 %)</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Other income (expense), net primarily consists of non-operating gains and losses. During the year ended December 31, 2022, we recorded expense of $1.2 million for the loss on sale of assets, partially offset by $0.3 million of foreign currency transaction gains. During the combined 2021 period, we recorded income of $1.3 million for the extinguishment of the liability associated with the software license agreement in the Successor period and income of $1.0 million for the sale of crypto outside of the normal course of business in the Predecessor. This income was partially offset by $0.6 million of foreign currency transaction losses in the combined 2021 period.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tcBorders>
              <w:right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36"/>
              <w:spacing w:after="0" w:line="155" w:lineRule="exact"/>
              <w:rPr>
                <w:sz w:val="20"/>
                <w:szCs w:val="20"/>
                <w:color w:val="auto"/>
              </w:rPr>
            </w:pPr>
            <w:r>
              <w:rPr>
                <w:rFonts w:ascii="Arial" w:cs="Arial" w:eastAsia="Arial" w:hAnsi="Arial"/>
                <w:sz w:val="16"/>
                <w:szCs w:val="16"/>
                <w:b w:val="1"/>
                <w:bCs w:val="1"/>
                <w:color w:val="auto"/>
                <w:w w:val="90"/>
              </w:rPr>
              <w:t>October 15, 2021</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through</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16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8"/>
                <w:szCs w:val="18"/>
                <w:color w:val="auto"/>
              </w:rPr>
            </w:pPr>
          </w:p>
        </w:tc>
        <w:tc>
          <w:tcPr>
            <w:tcW w:w="132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October 14, 2021</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22,469</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(201.5 %)</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Change represents the year ended December 31, 2022 compared to the combined 2021 periods.</w:t>
      </w:r>
    </w:p>
    <w:p>
      <w:pPr>
        <w:spacing w:after="0" w:line="21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8"/>
          <w:szCs w:val="18"/>
          <w:color w:val="231F20"/>
        </w:rPr>
        <w:t>Income tax expense in the year ended December 31, 2022 primarily consists of $11.6 million of deferred tax benefit resulting from book-tax differences stemming from investments in Opco and its subsidiaries. Income tax expense in the period from October 15, 2021 through December 31, 2021 primarily consists of $11.7 million of deferred tax expense resulting from book-tax differences stemming from investments in Opco and its subsidiaries. Those future tax liabilities will change prospectively due to ongoing book-tax differences, which include, but are not limited to, (i) differences between book and tax loss allocation from Opco to the Company, (ii) mark-to-market activity related to warrants to purchase the Company's stock, and (iii) exchanges of Opco common units (and the corresponding shares of the Company’s Class V common stock) for shares of the Company’s Class A common stock or cash in lieu of Class A common stock. In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231F20"/>
        </w:rPr>
        <w:t>the predecessor period, Opco and its subsidiaries were classified as partnerships for U.S. federal income tax purposes or other pass through entities resulting in minimal impacts from income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Supplemental Unaudited Pro Forma Financial operations</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supplemental unaudited pro forma financial information for the year ended December 31, 2021 presents the combined results of operations as if the VIH Business Combination had occurred as of January 1, 2021.</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Management believes the supplemental unaudited pro forma information presented below provides a meaningful comparison of operating results; however, it should not be viewed as a substitute for the historical financial results of Bakkt and VIH. The supplemental unaudited pro forma financial information presented below should be read in conjunction with our historical audited consolidated financial statements for the year ended December 31, 2022 and the periods from October 15, 2021 through December 31, 2021 and January 1, 2021 through October 14, 2021 included in Item 8 of this Annual Report on Form 10-K.</w:t>
      </w:r>
    </w:p>
    <w:p>
      <w:pPr>
        <w:spacing w:after="0" w:line="19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supplemental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 The pro forma information does not reflect any operating efficiencies, post-acquisition synergies or cost savings that we may achieve with respect to the combined companies.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r>
      <w:tr>
        <w:trPr>
          <w:trHeight w:val="184"/>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Bakkt gross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Bakkt contra-revenue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VIH revenue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Bridge2 Solutions revenue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40,493</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39,437</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r>
      <w:tr>
        <w:trPr>
          <w:trHeight w:val="175"/>
        </w:trPr>
        <w:tc>
          <w:tcPr>
            <w:tcW w:w="9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December 31,</w:t>
            </w:r>
          </w:p>
        </w:tc>
      </w:tr>
      <w:tr>
        <w:trPr>
          <w:trHeight w:val="23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r>
      <w:tr>
        <w:trPr>
          <w:trHeight w:val="22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(198,467)</w:t>
            </w:r>
          </w:p>
        </w:tc>
      </w:tr>
      <w:tr>
        <w:trPr>
          <w:trHeight w:val="229"/>
        </w:trPr>
        <w:tc>
          <w:tcPr>
            <w:tcW w:w="9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pro forma loss attributable to noncontrolling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(165,136)</w:t>
            </w:r>
          </w:p>
        </w:tc>
      </w:tr>
      <w:tr>
        <w:trPr>
          <w:trHeight w:val="223"/>
        </w:trPr>
        <w:tc>
          <w:tcPr>
            <w:tcW w:w="9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loss attributable to Bakkt Holdings,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Our predecessor principally financed its operations through equity financings in the form of capital contributions from its members and, to a lesser degree, from client revenues. In addition, in 2018, ICE contributed certain developed assets and rights to use exchange and clearing licenses enabling Bakkt to commence operations. In connection with the closing of the VIH Business Combination, our predecessor’s cash position was supplemented by $532.4 million, which included $325.0 million in proceeds from the closing of a private placement of shares of our Class A common stock and $207.4 million that had previously been held in trust.</w:t>
      </w:r>
    </w:p>
    <w:p>
      <w:pPr>
        <w:spacing w:after="0" w:line="19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As of December 31, 2022, we had $98.3 million and $16.5 million of cash and cash equivalents and restricted cash, respectively. Restricted cash is held to satisfy certain minimum capital requirements pursuant to regulatory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requirements as well as satisfy covenants under our commercial purchasing card facility. Additionally, as of December 31, 2022 we had $141.1 million of available for sale debt securities that mature over the next 2 to 9 months.</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We intend to use our unrestricted cash and proceeds from maturity of available for sale debt securities to (i) maintain our sales and marketing efforts and activate crypto clients, (ii) maintain our research and product development efforts, (iii) optimize our technology infrastructure and operational support and (iv) fund the $55.0 million cash purchase price to acquire Apex. We expect to limit future hiring and leverage the team we have built in 2022 as well as our Apex acquisition to execute our growth strategy. Excluding the cash purchase price to acquire Apex, we expect our cash usage in 2023 to decline from 2022 levels driven by the combined impact of increased revenue and expense reductions related to the completion of large-dollar investments in 2022 and benefits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8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Our expected uses of the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8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expect to augment our personnel with employees acquired in the Apex transaction. We believe that we substantially completed the necessary investment in our platforms in 2022, which enables us to simplify our organization and focus on the core capabilities that are critical to our strategy. We may also enter into other arrangements to acquire or invest in complementary businesses, services, and technologies which will likely require us to increase our cash consumption.</w:t>
      </w:r>
    </w:p>
    <w:p>
      <w:pPr>
        <w:spacing w:after="0" w:line="170"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In addition, we have evaluated the impact of the COVID-19 pandemic on our liquidity and capital needs, and we anticipate that its effects will be largely neutral.</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660"/>
              <w:spacing w:after="0"/>
              <w:rPr>
                <w:sz w:val="20"/>
                <w:szCs w:val="20"/>
                <w:color w:val="auto"/>
              </w:rPr>
            </w:pPr>
            <w:r>
              <w:rPr>
                <w:rFonts w:ascii="Arial" w:cs="Arial" w:eastAsia="Arial" w:hAnsi="Arial"/>
                <w:sz w:val="18"/>
                <w:szCs w:val="18"/>
                <w:color w:val="231F20"/>
                <w:w w:val="99"/>
              </w:rPr>
              <w:t>The following table summarizes our cash flows for the periods presented: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vMerge w:val="restart"/>
          </w:tcPr>
          <w:p>
            <w:pPr>
              <w:jc w:val="center"/>
              <w:ind w:right="34"/>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4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54"/>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0" w:type="dxa"/>
            <w:vAlign w:val="bottom"/>
            <w:tcBorders>
              <w:right w:val="single" w:sz="8" w:color="auto"/>
            </w:tcBorders>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400" w:type="dxa"/>
            <w:vAlign w:val="bottom"/>
          </w:tcPr>
          <w:p>
            <w:pPr>
              <w:spacing w:after="0"/>
              <w:rPr>
                <w:sz w:val="18"/>
                <w:szCs w:val="18"/>
                <w:color w:val="auto"/>
              </w:rPr>
            </w:pPr>
          </w:p>
        </w:tc>
        <w:tc>
          <w:tcPr>
            <w:tcW w:w="1080" w:type="dxa"/>
            <w:vAlign w:val="bottom"/>
          </w:tcPr>
          <w:p>
            <w:pPr>
              <w:jc w:val="center"/>
              <w:ind w:right="312"/>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226"/>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(50,915)</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Net cash flows provided by (used in) investing activities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(171,961)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Net cash used in operating activities of $117.6 million for the year ended December 31, 2022 was primarily related to our net loss of $1,989.9 million, offset by non-cash charges of $1,869.4 million and changes in our operating assets and liabilities of $2.9 million. The non-cash charges for the year ended December 31, 2022 primarily consisted of goodwill and intangible assets impairments of $1,822.1 million, share-based compensation of $31.6 million, depreciation and amortization of $25.4 million, gain from change in fair value of warrant liability of $16.6 million, deferred tax expense of $11.6 million and impairment of long-lived assets of $11.5 million. Net cash inflows from changes in our operating assets and liabilities for the year ended December 31, 2022 resulted primarily from a decrease in prepaid insurance of $9.4 million, an increase in operating lease liabilities of $4.2 million, and an increase in accounts payable and accrued liabilities of $0.7 million, which were partially offset by an increase in accounts receivable of $7.2 million, an increase in other assets and liabilities of $2.4 million and an decrease in deferred revenue of $2.4 million.</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Net cash used in operating activities of $134.3 million for the combined 2021 period was primarily related to our combined 2021 period net loss of $304.0 million, offset by non-cash charges of $193.8 million and changes in our operating assets and liabilities of $24.1 million. The non-cash charges for the combined 2021 period primarily consisted of loss from change in fair value of warrant liability of $79.4 million, unit-based compensation of $78.8 million, depreciation and amortization of $15.0 million and impairment of long-lived assets of $4.8 million. Net cash inflows from changes in our operating assets and liabilities for the combined 2021 period resulted primarily from an increase in accounts payable and accrued liabilities of $3.6 million and the return of a deposit with our clearinghouse affiliate of $20.2 million, which were partially offset by an increase in prepaid insurance of $31.5 million, an increase in other assets and liabilities of $8.1 million and an increase in accounts receivable of $7.7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Net cash flows used in investing activities of $172.0 million for the year ended December 31, 2022 primarily consisted of $306.6 million related to the purchase of available for sale debt securities and $30.5 million of capitalized costs of internally developed software for our technology platforms, partially offset by the receipt of $165.2 million of proceeds from the sale of available-for-sale securities.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Net cash flows provided by investing activities of $16.9 million for the combined 2021 period primarily consisted of $30.8 million of cash acquired through the VIH Business Combination and $1.8 million of proceeds from sale of shares of affiliate stock, partially offset by $15.7 million of capitalized costs of internally developed software. Capital expenditures were primary related to capitalized expenses associated with internally developed software for our technology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used in financing activities of $2.6 million for the year ended December 31, 2022 resulted from proceeds from the repurchase and retirement of Class A common stock of $2.6 million.</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cash flows provided by financing activities of $256.8 million for the combined 2021 period resulted from proceeds from PIPE investments and proceeds from the exercise of warrants amounting to $312.0 million and $37.1 million, respectively which is partially offset by cash outflow due to repurchase of redeemed Class A ordinary shares amounting to $84.5 million and also offset by payment of deferred underwriting fees amounting to $7.3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4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15,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Revenue Code for each taxable year in which an exchange of Bakkt Common Units for Class A common stock (or cash) occurs.</w:t>
      </w:r>
    </w:p>
    <w:p>
      <w:pPr>
        <w:spacing w:after="0" w:line="26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December 31, 2022, 22,475,871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following is a summary of our significant contractual obligations and commitments as of December 31, 2022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89"/>
              </w:rPr>
              <w:t>Payments Due by Period</w:t>
            </w: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43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Less than 1 year</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years</w:t>
            </w: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3-5 years</w:t>
            </w:r>
          </w:p>
        </w:tc>
        <w:tc>
          <w:tcPr>
            <w:tcW w:w="1900" w:type="dxa"/>
            <w:vAlign w:val="bottom"/>
            <w:gridSpan w:val="4"/>
          </w:tcPr>
          <w:p>
            <w:pPr>
              <w:ind w:left="4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29"/>
        </w:trPr>
        <w:tc>
          <w:tcPr>
            <w:tcW w:w="35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6"/>
              </w:rPr>
              <w:t>Future minimum operating lease payments</w:t>
            </w:r>
            <w:r>
              <w:rPr>
                <w:rFonts w:ascii="Arial" w:cs="Arial" w:eastAsia="Arial" w:hAnsi="Arial"/>
                <w:sz w:val="23"/>
                <w:szCs w:val="23"/>
                <w:color w:val="auto"/>
                <w:w w:val="96"/>
                <w:vertAlign w:val="superscript"/>
              </w:rPr>
              <w:t>(2)</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32,288</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50,038</w:t>
            </w:r>
          </w:p>
        </w:tc>
      </w:tr>
    </w:tbl>
    <w:p>
      <w:pPr>
        <w:spacing w:after="0" w:line="276"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Represents minimum commitment payments under a four-year cloud computing arrangement.</w:t>
      </w:r>
    </w:p>
    <w:p>
      <w:pPr>
        <w:spacing w:after="0" w:line="28"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Represents rental payments under operating leases with remaining non-cancellable terms in excess of one year.</w:t>
      </w:r>
    </w:p>
    <w:p>
      <w:pPr>
        <w:spacing w:after="0" w:line="2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231F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7"/>
          <w:szCs w:val="17"/>
          <w:color w:val="000000"/>
        </w:rPr>
        <w:t>In April 2022, we further extended the maturity date of the purchasing card</w:t>
      </w:r>
      <w:r>
        <w:rPr>
          <w:rFonts w:ascii="Arial" w:cs="Arial" w:eastAsia="Arial" w:hAnsi="Arial"/>
          <w:sz w:val="17"/>
          <w:szCs w:val="17"/>
          <w:color w:val="231F20"/>
        </w:rPr>
        <w:t xml:space="preserve"> </w:t>
      </w:r>
      <w:r>
        <w:rPr>
          <w:rFonts w:ascii="Arial" w:cs="Arial" w:eastAsia="Arial" w:hAnsi="Arial"/>
          <w:sz w:val="17"/>
          <w:szCs w:val="17"/>
          <w:color w:val="000000"/>
        </w:rPr>
        <w:t>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4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Arial" w:cs="Arial" w:eastAsia="Arial" w:hAnsi="Arial"/>
          <w:sz w:val="17"/>
          <w:szCs w:val="17"/>
          <w:color w:val="000000"/>
        </w:rPr>
        <w:t>, acquisition-related expenses, share-based and</w:t>
      </w:r>
      <w:r>
        <w:rPr>
          <w:rFonts w:ascii="Arial" w:cs="Arial" w:eastAsia="Arial" w:hAnsi="Arial"/>
          <w:sz w:val="17"/>
          <w:szCs w:val="17"/>
          <w:color w:val="231F20"/>
        </w:rPr>
        <w:t xml:space="preserve"> </w:t>
      </w:r>
      <w:r>
        <w:rPr>
          <w:rFonts w:ascii="Arial" w:cs="Arial" w:eastAsia="Arial" w:hAnsi="Arial"/>
          <w:sz w:val="17"/>
          <w:szCs w:val="17"/>
          <w:color w:val="000000"/>
        </w:rPr>
        <w:t xml:space="preserve">unit-based compensation expense, goodwill and intangible assets impairments, restructuring charges, changes in the fair value of our warrant liability </w:t>
      </w:r>
      <w:r>
        <w:rPr>
          <w:rFonts w:ascii="Arial" w:cs="Arial" w:eastAsia="Arial" w:hAnsi="Arial"/>
          <w:sz w:val="17"/>
          <w:szCs w:val="17"/>
          <w:color w:val="231F20"/>
        </w:rPr>
        <w:t>and</w:t>
      </w:r>
      <w:r>
        <w:rPr>
          <w:rFonts w:ascii="Arial" w:cs="Arial" w:eastAsia="Arial" w:hAnsi="Arial"/>
          <w:sz w:val="17"/>
          <w:szCs w:val="17"/>
          <w:color w:val="000000"/>
        </w:rPr>
        <w:t xml:space="preserve"> </w:t>
      </w:r>
      <w:r>
        <w:rPr>
          <w:rFonts w:ascii="Arial" w:cs="Arial" w:eastAsia="Arial" w:hAnsi="Arial"/>
          <w:sz w:val="17"/>
          <w:szCs w:val="17"/>
          <w:color w:val="231F20"/>
        </w:rPr>
        <w:t>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6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Borders>
              <w:right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31"/>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51"/>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0" w:type="dxa"/>
            <w:vAlign w:val="bottom"/>
            <w:tcBorders>
              <w:right w:val="single" w:sz="8" w:color="auto"/>
            </w:tcBorders>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1"/>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226"/>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(1,989,934)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(164,827)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(139,219)</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(129,954)</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and unit-based compensation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33,877</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from change in fair value of warrant liability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1,822,089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ICE transition services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Gain on extinguishment of software license liability</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bitcoin sale income, net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63"/>
        </w:trPr>
        <w:tc>
          <w:tcPr>
            <w:tcW w:w="6500" w:type="dxa"/>
            <w:vAlign w:val="bottom"/>
          </w:tcPr>
          <w:p>
            <w:pPr>
              <w:ind w:left="20"/>
              <w:spacing w:after="0"/>
              <w:rPr>
                <w:sz w:val="20"/>
                <w:szCs w:val="20"/>
                <w:color w:val="auto"/>
              </w:rPr>
            </w:pPr>
            <w:r>
              <w:rPr>
                <w:rFonts w:ascii="Arial" w:cs="Arial" w:eastAsia="Arial" w:hAnsi="Arial"/>
                <w:sz w:val="18"/>
                <w:szCs w:val="18"/>
                <w:color w:val="auto"/>
              </w:rPr>
              <w:t>Adjusted EBITDA loss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Adjusted EBITDA loss for the year ended December 31, 2022 increased by $30.6 million, or 34.3%, as compared to the combined 2021 period. The increase was primarily due to a $33.9 million increase in compensation and benefits resulting from an increase in headcount to support the projected growth in our business, a $14.8 million increase in insurance premiums and occupancy costs, a $4.3 million increase in audit, tax and legal professional services fees and a $3.8 million increase in hardware and software license fees. The increases in these expenses were partially offset by the increases in revenue of $15.1 million and a reduction of marketing expenses of $10.1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base our fair value estimates on assumptions we believe are reasonable but recognize that the assumptions are inherently uncertain.</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4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acquisition-related costs, other than the costs to issue debt or equity securities, are accounted for as expenses in the period in which they 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Goodwill and Other Intangible Assets</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 xml:space="preserve">Goodwill and intangible assets that have indefinite useful lives are accounted for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8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We recorded impairment of goodwill and other intangible assets of $1,822.1 million during the year ended December 31, 2022. See Note 5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Therefore if there are further delays in our ability to execute on our strategy or negative deviations from the budgets utilized in these analyses further impairment of our assets is possible. We did not record any impairment charges related to goodwill and intangible assets during the periods from October 15, 2021 through December 31, 2021 and January 1, 2021 through October 14,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Loyalty Redemption Platform Revenue Recognition</w:t>
      </w:r>
    </w:p>
    <w:p>
      <w:pPr>
        <w:spacing w:after="0" w:line="239"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client). Our contracts related to our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loyalty redemption platform consist of two performance obligations: (1) access to our SaaS-based redemption platform and customer support services and</w:t>
      </w:r>
    </w:p>
    <w:p>
      <w:pPr>
        <w:spacing w:after="0" w:line="73" w:lineRule="exact"/>
        <w:rPr>
          <w:sz w:val="20"/>
          <w:szCs w:val="20"/>
          <w:color w:val="auto"/>
        </w:rPr>
      </w:pPr>
    </w:p>
    <w:p>
      <w:pPr>
        <w:jc w:val="both"/>
        <w:ind w:firstLine="8"/>
        <w:spacing w:after="0" w:line="303" w:lineRule="auto"/>
        <w:tabs>
          <w:tab w:leader="none" w:pos="2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include the following:</w:t>
      </w:r>
    </w:p>
    <w:p>
      <w:pPr>
        <w:spacing w:after="0" w:line="170" w:lineRule="exact"/>
        <w:rPr>
          <w:rFonts w:ascii="Arial" w:cs="Arial" w:eastAsia="Arial" w:hAnsi="Arial"/>
          <w:sz w:val="18"/>
          <w:szCs w:val="18"/>
          <w:color w:val="auto"/>
        </w:rPr>
      </w:pPr>
    </w:p>
    <w:p>
      <w:pPr>
        <w:ind w:left="720" w:hanging="323"/>
        <w:spacing w:after="0"/>
        <w:tabs>
          <w:tab w:leader="none" w:pos="720"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Platform subscription fees: </w:t>
      </w:r>
      <w:r>
        <w:rPr>
          <w:rFonts w:ascii="Arial" w:cs="Arial" w:eastAsia="Arial" w:hAnsi="Arial"/>
          <w:sz w:val="16"/>
          <w:szCs w:val="16"/>
          <w:color w:val="auto"/>
        </w:rPr>
        <w:t>Monthly fixed fee charged to clients to access the redemption platform and receive customer support services. We</w:t>
      </w:r>
    </w:p>
    <w:p>
      <w:pPr>
        <w:spacing w:after="0" w:line="76" w:lineRule="exact"/>
        <w:rPr>
          <w:rFonts w:ascii="Arial" w:cs="Arial" w:eastAsia="Arial" w:hAnsi="Arial"/>
          <w:sz w:val="16"/>
          <w:szCs w:val="16"/>
          <w:color w:val="auto"/>
        </w:rPr>
      </w:pPr>
    </w:p>
    <w:p>
      <w:pPr>
        <w:jc w:val="both"/>
        <w:ind w:left="720"/>
        <w:spacing w:after="0" w:line="325" w:lineRule="auto"/>
        <w:rPr>
          <w:rFonts w:ascii="Arial" w:cs="Arial" w:eastAsia="Arial" w:hAnsi="Arial"/>
          <w:sz w:val="16"/>
          <w:szCs w:val="16"/>
          <w:color w:val="auto"/>
        </w:rPr>
      </w:pPr>
      <w:r>
        <w:rPr>
          <w:rFonts w:ascii="Arial" w:cs="Arial" w:eastAsia="Arial" w:hAnsi="Arial"/>
          <w:sz w:val="16"/>
          <w:szCs w:val="16"/>
          <w:color w:val="auto"/>
        </w:rPr>
        <w:t>recognize revenue for these fees on a straight-line basis over the related contract term as the client receives benefits evenly throughout the term of the contract. These fees are allocated to our performance obligation to provide access to our redemption platform, and thus are recognized on a</w:t>
      </w:r>
    </w:p>
    <w:p>
      <w:pPr>
        <w:spacing w:after="0" w:line="1" w:lineRule="exact"/>
        <w:rPr>
          <w:rFonts w:ascii="Arial" w:cs="Arial" w:eastAsia="Arial" w:hAnsi="Arial"/>
          <w:sz w:val="16"/>
          <w:szCs w:val="16"/>
          <w:color w:val="auto"/>
        </w:rPr>
      </w:pPr>
    </w:p>
    <w:p>
      <w:pPr>
        <w:ind w:left="720" w:right="20"/>
        <w:spacing w:after="0" w:line="308" w:lineRule="auto"/>
        <w:rPr>
          <w:rFonts w:ascii="Arial" w:cs="Arial" w:eastAsia="Arial" w:hAnsi="Arial"/>
          <w:sz w:val="16"/>
          <w:szCs w:val="16"/>
          <w:color w:val="auto"/>
        </w:rPr>
      </w:pPr>
      <w:r>
        <w:rPr>
          <w:rFonts w:ascii="Arial" w:cs="Arial" w:eastAsia="Arial" w:hAnsi="Arial"/>
          <w:sz w:val="18"/>
          <w:szCs w:val="18"/>
          <w:color w:val="auto"/>
        </w:rPr>
        <w:t>gross basis. Revenue from our platform subscription fees is included in “Subscription and services revenue” in the disaggregation of revenue table by service type in Note 3 to our audited consolidated financial statements.</w:t>
      </w:r>
    </w:p>
    <w:p>
      <w:pPr>
        <w:spacing w:after="0" w:line="180" w:lineRule="exact"/>
        <w:rPr>
          <w:rFonts w:ascii="Arial" w:cs="Arial" w:eastAsia="Arial" w:hAnsi="Arial"/>
          <w:sz w:val="16"/>
          <w:szCs w:val="16"/>
          <w:color w:val="auto"/>
        </w:rPr>
      </w:pPr>
    </w:p>
    <w:p>
      <w:pPr>
        <w:jc w:val="both"/>
        <w:ind w:left="720" w:hanging="323"/>
        <w:spacing w:after="0" w:line="328" w:lineRule="auto"/>
        <w:tabs>
          <w:tab w:leader="none" w:pos="715" w:val="left"/>
        </w:tabs>
        <w:numPr>
          <w:ilvl w:val="1"/>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Transaction fees: </w:t>
      </w:r>
      <w:r>
        <w:rPr>
          <w:rFonts w:ascii="Arial" w:cs="Arial" w:eastAsia="Arial" w:hAnsi="Arial"/>
          <w:sz w:val="16"/>
          <w:szCs w:val="16"/>
          <w:color w:val="auto"/>
        </w:rPr>
        <w:t>Transaction fees are earned for most transactions processed through our platform. These fees are allocated to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provide order placement services on behalf of the loyalty program sponsor, and therefore are recognized net of the related</w:t>
      </w:r>
    </w:p>
    <w:p>
      <w:pPr>
        <w:ind w:left="720"/>
        <w:spacing w:after="0" w:line="377" w:lineRule="auto"/>
        <w:rPr>
          <w:rFonts w:ascii="Arial" w:cs="Arial" w:eastAsia="Arial" w:hAnsi="Arial"/>
          <w:sz w:val="16"/>
          <w:szCs w:val="16"/>
          <w:color w:val="auto"/>
        </w:rPr>
      </w:pPr>
      <w:r>
        <w:rPr>
          <w:rFonts w:ascii="Arial" w:cs="Arial" w:eastAsia="Arial" w:hAnsi="Arial"/>
          <w:sz w:val="16"/>
          <w:szCs w:val="16"/>
          <w:color w:val="auto"/>
        </w:rPr>
        <w:t>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133" w:lineRule="exact"/>
        <w:rPr>
          <w:rFonts w:ascii="Arial" w:cs="Arial" w:eastAsia="Arial" w:hAnsi="Arial"/>
          <w:sz w:val="16"/>
          <w:szCs w:val="16"/>
          <w:color w:val="auto"/>
        </w:rPr>
      </w:pPr>
    </w:p>
    <w:p>
      <w:pPr>
        <w:jc w:val="both"/>
        <w:ind w:left="720" w:hanging="323"/>
        <w:spacing w:after="0" w:line="302" w:lineRule="auto"/>
        <w:tabs>
          <w:tab w:leader="none" w:pos="71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Revenue share fees: </w:t>
      </w:r>
      <w:r>
        <w:rPr>
          <w:rFonts w:ascii="Arial" w:cs="Arial" w:eastAsia="Arial" w:hAnsi="Arial"/>
          <w:sz w:val="18"/>
          <w:szCs w:val="18"/>
          <w:color w:val="auto"/>
        </w:rPr>
        <w:t>We are entitled to revenue share fees in the form of rebates from third-party commerce merchants and other clients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173" w:lineRule="exact"/>
        <w:rPr>
          <w:rFonts w:ascii="Arial" w:cs="Arial" w:eastAsia="Arial" w:hAnsi="Arial"/>
          <w:sz w:val="18"/>
          <w:szCs w:val="18"/>
          <w:color w:val="auto"/>
        </w:rPr>
      </w:pPr>
    </w:p>
    <w:p>
      <w:pPr>
        <w:ind w:left="720" w:hanging="323"/>
        <w:spacing w:after="0"/>
        <w:tabs>
          <w:tab w:leader="none" w:pos="720" w:val="left"/>
        </w:tabs>
        <w:numPr>
          <w:ilvl w:val="1"/>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Service fees: </w:t>
      </w:r>
      <w:r>
        <w:rPr>
          <w:rFonts w:ascii="Arial" w:cs="Arial" w:eastAsia="Arial" w:hAnsi="Arial"/>
          <w:sz w:val="17"/>
          <w:szCs w:val="17"/>
          <w:color w:val="auto"/>
        </w:rPr>
        <w:t>We earn fees for certain software development activities associated with the implementation of new clients on our loyalty</w:t>
      </w:r>
    </w:p>
    <w:p>
      <w:pPr>
        <w:spacing w:after="0" w:line="65" w:lineRule="exact"/>
        <w:rPr>
          <w:rFonts w:ascii="Arial" w:cs="Arial" w:eastAsia="Arial" w:hAnsi="Arial"/>
          <w:sz w:val="17"/>
          <w:szCs w:val="17"/>
          <w:color w:val="auto"/>
        </w:rPr>
      </w:pPr>
    </w:p>
    <w:p>
      <w:pPr>
        <w:jc w:val="both"/>
        <w:ind w:left="720"/>
        <w:spacing w:after="0" w:line="325" w:lineRule="auto"/>
        <w:rPr>
          <w:rFonts w:ascii="Arial" w:cs="Arial" w:eastAsia="Arial" w:hAnsi="Arial"/>
          <w:sz w:val="17"/>
          <w:szCs w:val="17"/>
          <w:color w:val="auto"/>
        </w:rPr>
      </w:pPr>
      <w:r>
        <w:rPr>
          <w:rFonts w:ascii="Arial" w:cs="Arial" w:eastAsia="Arial" w:hAnsi="Arial"/>
          <w:sz w:val="16"/>
          <w:szCs w:val="16"/>
          <w:color w:val="auto"/>
        </w:rPr>
        <w:t>redemption platform and other development activities if a client requests that we customize certain features and functionalities for their loyalty program. We also earn fees from providing call center services to clients. We recognize service fees as revenue on a straight-line basis, beginning</w:t>
      </w:r>
    </w:p>
    <w:p>
      <w:pPr>
        <w:spacing w:after="0" w:line="1" w:lineRule="exact"/>
        <w:rPr>
          <w:rFonts w:ascii="Arial" w:cs="Arial" w:eastAsia="Arial" w:hAnsi="Arial"/>
          <w:sz w:val="17"/>
          <w:szCs w:val="17"/>
          <w:color w:val="auto"/>
        </w:rPr>
      </w:pPr>
    </w:p>
    <w:p>
      <w:pPr>
        <w:jc w:val="both"/>
        <w:ind w:left="720"/>
        <w:spacing w:after="0" w:line="325" w:lineRule="auto"/>
        <w:rPr>
          <w:rFonts w:ascii="Arial" w:cs="Arial" w:eastAsia="Arial" w:hAnsi="Arial"/>
          <w:sz w:val="17"/>
          <w:szCs w:val="17"/>
          <w:color w:val="auto"/>
        </w:rPr>
      </w:pPr>
      <w:r>
        <w:rPr>
          <w:rFonts w:ascii="Arial" w:cs="Arial" w:eastAsia="Arial" w:hAnsi="Arial"/>
          <w:sz w:val="16"/>
          <w:szCs w:val="16"/>
          <w:color w:val="auto"/>
        </w:rPr>
        <w:t>when the internally developed software resulting from such implementation or other development activities are operational in our platform over the longer of the remaining anticipated client life and 3 years, which represents the estimated useful life of our internally developed software.</w:t>
      </w:r>
    </w:p>
    <w:p>
      <w:pPr>
        <w:spacing w:after="0" w:line="1" w:lineRule="exact"/>
        <w:rPr>
          <w:rFonts w:ascii="Arial" w:cs="Arial" w:eastAsia="Arial" w:hAnsi="Arial"/>
          <w:sz w:val="17"/>
          <w:szCs w:val="17"/>
          <w:color w:val="auto"/>
        </w:rPr>
      </w:pPr>
    </w:p>
    <w:p>
      <w:pPr>
        <w:jc w:val="both"/>
        <w:ind w:left="720"/>
        <w:spacing w:after="0" w:line="328" w:lineRule="auto"/>
        <w:rPr>
          <w:rFonts w:ascii="Arial" w:cs="Arial" w:eastAsia="Arial" w:hAnsi="Arial"/>
          <w:sz w:val="17"/>
          <w:szCs w:val="17"/>
          <w:color w:val="auto"/>
        </w:rPr>
      </w:pPr>
      <w:r>
        <w:rPr>
          <w:rFonts w:ascii="Arial" w:cs="Arial" w:eastAsia="Arial" w:hAnsi="Arial"/>
          <w:sz w:val="17"/>
          <w:szCs w:val="17"/>
          <w:color w:val="auto"/>
        </w:rPr>
        <w:t>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Revenue</w:t>
      </w:r>
    </w:p>
    <w:p>
      <w:pPr>
        <w:spacing w:after="0" w:line="239"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Warrants</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We account for our ordinary share warrants in accordance with applicable accounting guidance provided in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w:t>
      </w:r>
      <w:r>
        <w:rPr>
          <w:rFonts w:ascii="Arial" w:cs="Arial" w:eastAsia="Arial" w:hAnsi="Arial"/>
          <w:sz w:val="18"/>
          <w:szCs w:val="18"/>
          <w:color w:val="auto"/>
        </w:rPr>
        <w:t>(“ASC Topic 815”), as either derivative liabilities or as equity instruments depending on the specific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 agreement. We classify as equity any equity-linked contracts that (1) require physical settlement or net-share settlement or (2) give us a choice of net-cash settlement 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23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See Note 6 to our audited consolidated financial statements for additional disclosures related to impairment of long-lived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23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The Successor period unit-based compensation expense relates to the replacement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Predecessor period unit-based compensation expense related to incentive units and participation units granted to employees and was measured at fair value on the date of grant and recognized as expense in “Compensation and benefits” in the accompanying consolidated statements of operations and comprehensive loss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The Predecessor elected to account for forfeitures as they occurred. See Note 11 to our audited consolidated financial statements for additional disclosures related to unit-based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24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 xml:space="preserve">Recently issued and adopted accounting pronouncements are described in Note 2 to </w:t>
      </w:r>
      <w:r>
        <w:rPr>
          <w:rFonts w:ascii="Arial" w:cs="Arial" w:eastAsia="Arial" w:hAnsi="Arial"/>
          <w:sz w:val="16"/>
          <w:szCs w:val="16"/>
          <w:color w:val="000000"/>
        </w:rPr>
        <w:t>our audited consolidated financial statements</w:t>
      </w:r>
      <w:r>
        <w:rPr>
          <w:rFonts w:ascii="Arial" w:cs="Arial" w:eastAsia="Arial" w:hAnsi="Arial"/>
          <w:sz w:val="16"/>
          <w:szCs w:val="16"/>
          <w:color w:val="231F20"/>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80" w:type="dxa"/>
            <w:vAlign w:val="bottom"/>
            <w:gridSpan w:val="4"/>
          </w:tcPr>
          <w:p>
            <w:pPr>
              <w:ind w:left="380"/>
              <w:spacing w:after="0"/>
              <w:rPr>
                <w:sz w:val="20"/>
                <w:szCs w:val="20"/>
                <w:color w:val="auto"/>
              </w:rPr>
            </w:pPr>
            <w:r>
              <w:rPr>
                <w:rFonts w:ascii="Arial" w:cs="Arial" w:eastAsia="Arial" w:hAnsi="Arial"/>
                <w:sz w:val="18"/>
                <w:szCs w:val="18"/>
                <w:b w:val="1"/>
                <w:bCs w:val="1"/>
                <w:color w:val="231F20"/>
              </w:rPr>
              <w:t>Index to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83"/>
        </w:trPr>
        <w:tc>
          <w:tcPr>
            <w:tcW w:w="20" w:type="dxa"/>
            <w:vAlign w:val="bottom"/>
          </w:tcPr>
          <w:p>
            <w:pPr>
              <w:spacing w:after="0"/>
              <w:rPr>
                <w:sz w:val="15"/>
                <w:szCs w:val="15"/>
                <w:color w:val="auto"/>
              </w:rPr>
            </w:pPr>
          </w:p>
        </w:tc>
        <w:tc>
          <w:tcPr>
            <w:tcW w:w="10620" w:type="dxa"/>
            <w:vAlign w:val="bottom"/>
            <w:gridSpan w:val="9"/>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400" w:type="dxa"/>
            <w:vAlign w:val="bottom"/>
            <w:gridSpan w:val="2"/>
          </w:tcPr>
          <w:p>
            <w:pPr>
              <w:jc w:val="center"/>
              <w:ind w:left="130"/>
              <w:spacing w:after="0" w:line="182" w:lineRule="exact"/>
              <w:rPr>
                <w:sz w:val="20"/>
                <w:szCs w:val="20"/>
                <w:color w:val="auto"/>
              </w:rPr>
            </w:pPr>
            <w:r>
              <w:rPr>
                <w:rFonts w:ascii="Arial" w:cs="Arial" w:eastAsia="Arial" w:hAnsi="Arial"/>
                <w:sz w:val="18"/>
                <w:szCs w:val="18"/>
                <w:color w:val="0000FF"/>
                <w:w w:val="89"/>
              </w:rPr>
              <w:t>83</w:t>
            </w:r>
          </w:p>
        </w:tc>
        <w:tc>
          <w:tcPr>
            <w:tcW w:w="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120" w:type="dxa"/>
            <w:vAlign w:val="bottom"/>
            <w:gridSpan w:val="5"/>
          </w:tcPr>
          <w:p>
            <w:pPr>
              <w:spacing w:after="0"/>
              <w:rPr>
                <w:sz w:val="18"/>
                <w:szCs w:val="18"/>
                <w:color w:val="auto"/>
              </w:rPr>
            </w:pPr>
          </w:p>
        </w:tc>
        <w:tc>
          <w:tcPr>
            <w:tcW w:w="6400" w:type="dxa"/>
            <w:vAlign w:val="bottom"/>
            <w:gridSpan w:val="3"/>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84</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780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85</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Loss</w:t>
            </w: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86</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9"/>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87</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20" w:type="dxa"/>
            <w:vAlign w:val="bottom"/>
            <w:gridSpan w:val="9"/>
          </w:tcPr>
          <w:p>
            <w:pPr>
              <w:spacing w:after="0"/>
              <w:rPr>
                <w:sz w:val="20"/>
                <w:szCs w:val="20"/>
                <w:color w:val="auto"/>
              </w:rPr>
            </w:pPr>
            <w:r>
              <w:rPr>
                <w:rFonts w:ascii="Arial" w:cs="Arial" w:eastAsia="Arial" w:hAnsi="Arial"/>
                <w:sz w:val="18"/>
                <w:szCs w:val="18"/>
                <w:color w:val="0000FF"/>
              </w:rPr>
              <w:t>Consolidated Statements of Changes in Members’ Equity and Mezzanine Equity</w:t>
            </w: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88</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2920" w:type="dxa"/>
            <w:vAlign w:val="bottom"/>
            <w:gridSpan w:val="5"/>
          </w:tcPr>
          <w:p>
            <w:pPr>
              <w:spacing w:after="0"/>
              <w:rPr>
                <w:sz w:val="18"/>
                <w:szCs w:val="18"/>
                <w:color w:val="auto"/>
              </w:rPr>
            </w:pPr>
          </w:p>
        </w:tc>
        <w:tc>
          <w:tcPr>
            <w:tcW w:w="4820" w:type="dxa"/>
            <w:vAlign w:val="bottom"/>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89</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7200" w:type="dxa"/>
            <w:vAlign w:val="bottom"/>
            <w:gridSpan w:val="5"/>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91</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Bakkt Holdings, Inc.</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We have audited the accompanying consolidated balance sheets of Bakkt Holdings, Inc. (the Company) as of December 31, 2022 and 2021, and the related consolidated statements of operations, comprehensive loss, changes in stockholders’ equity and cash flows for the year ended December 31, 2022 and for the period October 15, 2021 to December 31, 2021 (“the Successor”) and the related consolidated statements of operations, comprehensive loss, changes in members’ equity and mezzanine equity and cash flows for the period January 1, 2021 to October 14, 2021 (“the Predecessor”)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Successor and Predecessor periods,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ind w:right="140" w:firstLine="648"/>
        <w:spacing w:after="0" w:line="34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231F20"/>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Atlanta, 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March 24,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unit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1168"/>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1"/>
                <w:szCs w:val="11"/>
                <w:color w:val="auto"/>
              </w:rPr>
            </w:pPr>
          </w:p>
        </w:tc>
        <w:tc>
          <w:tcPr>
            <w:tcW w:w="1360" w:type="dxa"/>
            <w:vAlign w:val="bottom"/>
          </w:tcPr>
          <w:p>
            <w:pPr>
              <w:jc w:val="right"/>
              <w:ind w:right="508"/>
              <w:spacing w:after="0" w:line="133"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88"/>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391,364</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Available-for-sale securities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141,062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Prepaid insurance</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22,822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32,206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asset for crypto</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4,784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326,465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463,547</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1,527,118</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55,833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388,469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clearinghouse</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22,458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13,879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455,502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66,787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64,090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 payable</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4,629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related party</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Safeguarding obligation for crypto</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76"/>
        </w:trPr>
        <w:tc>
          <w:tcPr>
            <w:tcW w:w="818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92,129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73,604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11,593</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23,402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12,674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119,428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120,114</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180" w:type="dxa"/>
            <w:vAlign w:val="bottom"/>
          </w:tcPr>
          <w:p>
            <w:pPr>
              <w:ind w:left="20"/>
              <w:spacing w:after="0" w:line="143" w:lineRule="exact"/>
              <w:rPr>
                <w:sz w:val="20"/>
                <w:szCs w:val="20"/>
                <w:color w:val="auto"/>
              </w:rPr>
            </w:pPr>
            <w:r>
              <w:rPr>
                <w:rFonts w:ascii="Arial" w:cs="Arial" w:eastAsia="Arial" w:hAnsi="Arial"/>
                <w:sz w:val="14"/>
                <w:szCs w:val="14"/>
                <w:color w:val="auto"/>
              </w:rPr>
              <w:t>Class A common stock ($0.0001 par value, 750,000,000 shares authorized, 80,926,843 shares</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80" w:type="dxa"/>
            <w:vAlign w:val="bottom"/>
          </w:tcPr>
          <w:p>
            <w:pPr>
              <w:ind w:left="20"/>
              <w:spacing w:after="0" w:line="141" w:lineRule="exact"/>
              <w:rPr>
                <w:sz w:val="20"/>
                <w:szCs w:val="20"/>
                <w:color w:val="auto"/>
              </w:rPr>
            </w:pPr>
            <w:r>
              <w:rPr>
                <w:rFonts w:ascii="Arial" w:cs="Arial" w:eastAsia="Arial" w:hAnsi="Arial"/>
                <w:sz w:val="14"/>
                <w:szCs w:val="14"/>
                <w:color w:val="auto"/>
              </w:rPr>
              <w:t>issued and outstanding as of December 31, 2022 and 57,164,388 shares issued and outstanding</w:t>
            </w:r>
          </w:p>
        </w:tc>
        <w:tc>
          <w:tcPr>
            <w:tcW w:w="1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Class V common stock ($0.0001 par value, 250,000,000 shares authorized, 183,482,777 shares</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issued and outstanding as of December 31, 2022 and 206,271,792 shares issued and outstanding</w:t>
            </w: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2021)</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772,973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566,766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(676,447)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(98,342)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468,396</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239,811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1,825,775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336,074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2,294,171</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455,502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3"/>
                <w:szCs w:val="13"/>
                <w:color w:val="auto"/>
              </w:rPr>
            </w:pPr>
          </w:p>
        </w:tc>
        <w:tc>
          <w:tcPr>
            <w:tcW w:w="13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61"/>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1"/>
              <w:spacing w:after="0" w:line="162" w:lineRule="exact"/>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120" w:type="dxa"/>
            <w:vAlign w:val="bottom"/>
          </w:tcPr>
          <w:p>
            <w:pPr>
              <w:spacing w:after="0"/>
              <w:rPr>
                <w:sz w:val="18"/>
                <w:szCs w:val="18"/>
                <w:color w:val="auto"/>
              </w:rPr>
            </w:pPr>
          </w:p>
        </w:tc>
        <w:tc>
          <w:tcPr>
            <w:tcW w:w="13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41"/>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199"/>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500" w:type="dxa"/>
            <w:vAlign w:val="bottom"/>
          </w:tcPr>
          <w:p>
            <w:pPr>
              <w:ind w:left="240"/>
              <w:spacing w:after="0" w:line="166" w:lineRule="exact"/>
              <w:rPr>
                <w:sz w:val="20"/>
                <w:szCs w:val="20"/>
                <w:color w:val="auto"/>
              </w:rPr>
            </w:pPr>
            <w:r>
              <w:rPr>
                <w:rFonts w:ascii="Arial" w:cs="Arial" w:eastAsia="Arial" w:hAnsi="Arial"/>
                <w:sz w:val="16"/>
                <w:szCs w:val="16"/>
                <w:color w:val="auto"/>
                <w:w w:val="92"/>
              </w:rPr>
              <w:t>Net revenues (includes related party net revenues of $42 and $71, respectively, and affiliate net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11,481</w:t>
            </w:r>
          </w:p>
        </w:tc>
        <w:tc>
          <w:tcPr>
            <w:tcW w:w="120" w:type="dxa"/>
            <w:vAlign w:val="bottom"/>
            <w:tcBorders>
              <w:right w:val="single" w:sz="8" w:color="auto"/>
            </w:tcBorders>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27,956</w:t>
            </w:r>
          </w:p>
        </w:tc>
        <w:tc>
          <w:tcPr>
            <w:tcW w:w="0" w:type="dxa"/>
            <w:vAlign w:val="bottom"/>
          </w:tcPr>
          <w:p>
            <w:pPr>
              <w:spacing w:after="0"/>
              <w:rPr>
                <w:sz w:val="1"/>
                <w:szCs w:val="1"/>
                <w:color w:val="auto"/>
              </w:rPr>
            </w:pPr>
          </w:p>
        </w:tc>
      </w:tr>
      <w:tr>
        <w:trPr>
          <w:trHeight w:val="212"/>
        </w:trPr>
        <w:tc>
          <w:tcPr>
            <w:tcW w:w="6500" w:type="dxa"/>
            <w:vAlign w:val="bottom"/>
          </w:tcPr>
          <w:p>
            <w:pPr>
              <w:ind w:left="240"/>
              <w:spacing w:after="0" w:line="213" w:lineRule="exact"/>
              <w:rPr>
                <w:sz w:val="20"/>
                <w:szCs w:val="20"/>
                <w:color w:val="auto"/>
              </w:rPr>
            </w:pPr>
            <w:r>
              <w:rPr>
                <w:rFonts w:ascii="Arial" w:cs="Arial" w:eastAsia="Arial" w:hAnsi="Arial"/>
                <w:sz w:val="16"/>
                <w:szCs w:val="16"/>
                <w:color w:val="auto"/>
              </w:rPr>
              <w:t>revenues of $136)</w:t>
            </w:r>
            <w:r>
              <w:rPr>
                <w:rFonts w:ascii="Arial" w:cs="Arial" w:eastAsia="Arial" w:hAnsi="Arial"/>
                <w:sz w:val="21"/>
                <w:szCs w:val="21"/>
                <w:color w:val="auto"/>
                <w:vertAlign w:val="superscript"/>
              </w:rPr>
              <w:t>(1)</w:t>
            </w: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Compensation and benefits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91,275</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Technology and communication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10,384</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20,309</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24,793</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216"/>
        </w:trPr>
        <w:tc>
          <w:tcPr>
            <w:tcW w:w="6500" w:type="dxa"/>
            <w:vAlign w:val="bottom"/>
          </w:tcPr>
          <w:p>
            <w:pPr>
              <w:ind w:left="240"/>
              <w:spacing w:after="0" w:line="216" w:lineRule="exact"/>
              <w:rPr>
                <w:sz w:val="20"/>
                <w:szCs w:val="20"/>
                <w:color w:val="auto"/>
              </w:rPr>
            </w:pPr>
            <w:r>
              <w:rPr>
                <w:rFonts w:ascii="Arial" w:cs="Arial" w:eastAsia="Arial" w:hAnsi="Arial"/>
                <w:sz w:val="16"/>
                <w:szCs w:val="16"/>
                <w:color w:val="auto"/>
              </w:rPr>
              <w:t>Related party expenses (affiliate in Predecessor period)</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and intangible assets impairments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12"/>
        </w:trPr>
        <w:tc>
          <w:tcPr>
            <w:tcW w:w="6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2,073,480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86,027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168,017</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(2,018,913)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(74,546)</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(140,061)</w:t>
            </w: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(expense),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6500" w:type="dxa"/>
            <w:vAlign w:val="bottom"/>
          </w:tcPr>
          <w:p>
            <w:pPr>
              <w:ind w:left="240"/>
              <w:spacing w:after="0"/>
              <w:rPr>
                <w:sz w:val="20"/>
                <w:szCs w:val="20"/>
                <w:color w:val="auto"/>
              </w:rPr>
            </w:pPr>
            <w:r>
              <w:rPr>
                <w:rFonts w:ascii="Arial" w:cs="Arial" w:eastAsia="Arial" w:hAnsi="Arial"/>
                <w:sz w:val="16"/>
                <w:szCs w:val="16"/>
                <w:color w:val="auto"/>
              </w:rPr>
              <w:t>Gain (loss) from change in fair value of warrant liability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(79,373)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7"/>
        </w:trPr>
        <w:tc>
          <w:tcPr>
            <w:tcW w:w="65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(2,001,254)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(153,076)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(139,821)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(1,989,934)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(164,827)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(139,219)</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Net loss attributable to 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(1,411,829)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(120,832)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(578,105)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5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8"/>
        </w:trPr>
        <w:tc>
          <w:tcPr>
            <w:tcW w:w="650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6500" w:type="dxa"/>
            <w:vAlign w:val="bottom"/>
            <w:vMerge w:val="restart"/>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8"/>
        </w:trPr>
        <w:tc>
          <w:tcPr>
            <w:tcW w:w="65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a result of the VIH Business Combination, ICE and its affiliates are no longer our affiliates. Refer to Note 8 for our related party disclosures.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Basic and diluted loss per share is not presented for the Predecessor period due to lack of comparability with the Successor periods.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5"/>
        </w:trPr>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3"/>
                <w:szCs w:val="13"/>
                <w:color w:val="auto"/>
              </w:rPr>
            </w:pPr>
          </w:p>
        </w:tc>
        <w:tc>
          <w:tcPr>
            <w:tcW w:w="13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399"/>
              <w:spacing w:after="0" w:line="162" w:lineRule="exact"/>
              <w:rPr>
                <w:sz w:val="20"/>
                <w:szCs w:val="20"/>
                <w:color w:val="auto"/>
              </w:rPr>
            </w:pPr>
            <w:r>
              <w:rPr>
                <w:rFonts w:ascii="Arial" w:cs="Arial" w:eastAsia="Arial" w:hAnsi="Arial"/>
                <w:sz w:val="16"/>
                <w:szCs w:val="16"/>
                <w:b w:val="1"/>
                <w:bCs w:val="1"/>
                <w:color w:val="auto"/>
              </w:rPr>
              <w:t>through</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31, 2021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(164,827)</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(139,219)</w:t>
            </w:r>
          </w:p>
        </w:tc>
        <w:tc>
          <w:tcPr>
            <w:tcW w:w="0" w:type="dxa"/>
            <w:vAlign w:val="bottom"/>
          </w:tcPr>
          <w:p>
            <w:pPr>
              <w:spacing w:after="0"/>
              <w:rPr>
                <w:sz w:val="1"/>
                <w:szCs w:val="1"/>
                <w:color w:val="auto"/>
              </w:rPr>
            </w:pPr>
          </w:p>
        </w:tc>
      </w:tr>
      <w:tr>
        <w:trPr>
          <w:trHeight w:val="213"/>
        </w:trPr>
        <w:tc>
          <w:tcPr>
            <w:tcW w:w="6460" w:type="dxa"/>
            <w:vAlign w:val="bottom"/>
          </w:tcPr>
          <w:p>
            <w:pPr>
              <w:ind w:left="140"/>
              <w:spacing w:after="0"/>
              <w:rPr>
                <w:sz w:val="20"/>
                <w:szCs w:val="20"/>
                <w:color w:val="auto"/>
              </w:rPr>
            </w:pPr>
            <w:r>
              <w:rPr>
                <w:rFonts w:ascii="Arial" w:cs="Arial" w:eastAsia="Arial" w:hAnsi="Arial"/>
                <w:sz w:val="16"/>
                <w:szCs w:val="16"/>
                <w:color w:val="auto"/>
              </w:rPr>
              <w:t>Currency translation adjustment, net of tax</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(1,990,725)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(165,086)</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(138,971)</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(1,412,385)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(578,340)</w:t>
            </w:r>
          </w:p>
        </w:tc>
        <w:tc>
          <w:tcPr>
            <w:tcW w:w="1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(44,050)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Changes in Stockholders’ Equity (Successor)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 thousands, except share data)</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58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740" w:type="dxa"/>
            <w:vAlign w:val="bottom"/>
            <w:gridSpan w:val="2"/>
            <w:vMerge w:val="restart"/>
          </w:tcPr>
          <w:p>
            <w:pPr>
              <w:jc w:val="right"/>
              <w:ind w:right="26"/>
              <w:spacing w:after="0"/>
              <w:rPr>
                <w:sz w:val="20"/>
                <w:szCs w:val="20"/>
                <w:color w:val="auto"/>
              </w:rPr>
            </w:pPr>
            <w:r>
              <w:rPr>
                <w:rFonts w:ascii="Arial" w:cs="Arial" w:eastAsia="Arial" w:hAnsi="Arial"/>
                <w:sz w:val="11"/>
                <w:szCs w:val="11"/>
                <w:b w:val="1"/>
                <w:bCs w:val="1"/>
                <w:color w:val="auto"/>
              </w:rPr>
              <w:t>Class A</w:t>
            </w:r>
          </w:p>
        </w:tc>
        <w:tc>
          <w:tcPr>
            <w:tcW w:w="260" w:type="dxa"/>
            <w:vAlign w:val="bottom"/>
          </w:tcPr>
          <w:p>
            <w:pPr>
              <w:spacing w:after="0"/>
              <w:rPr>
                <w:sz w:val="9"/>
                <w:szCs w:val="9"/>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w w:val="85"/>
              </w:rPr>
              <w:t>Class V</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26"/>
              <w:spacing w:after="0"/>
              <w:rPr>
                <w:sz w:val="20"/>
                <w:szCs w:val="20"/>
                <w:color w:val="auto"/>
              </w:rPr>
            </w:pPr>
            <w:r>
              <w:rPr>
                <w:rFonts w:ascii="Arial" w:cs="Arial" w:eastAsia="Arial" w:hAnsi="Arial"/>
                <w:sz w:val="11"/>
                <w:szCs w:val="11"/>
                <w:b w:val="1"/>
                <w:bCs w:val="1"/>
                <w:color w:val="auto"/>
              </w:rPr>
              <w:t>Class B</w:t>
            </w:r>
          </w:p>
        </w:tc>
        <w:tc>
          <w:tcPr>
            <w:tcW w:w="2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9"/>
                <w:szCs w:val="9"/>
                <w:color w:val="auto"/>
              </w:rPr>
            </w:pPr>
          </w:p>
        </w:tc>
        <w:tc>
          <w:tcPr>
            <w:tcW w:w="7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4"/>
              </w:rPr>
              <w:t>Noncontrolling</w:t>
            </w: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Total</w:t>
            </w:r>
          </w:p>
        </w:tc>
        <w:tc>
          <w:tcPr>
            <w:tcW w:w="1300" w:type="dxa"/>
            <w:vAlign w:val="bottom"/>
            <w:gridSpan w:val="3"/>
            <w:vMerge w:val="restart"/>
          </w:tcPr>
          <w:p>
            <w:pPr>
              <w:jc w:val="right"/>
              <w:ind w:right="426"/>
              <w:spacing w:after="0"/>
              <w:rPr>
                <w:sz w:val="20"/>
                <w:szCs w:val="20"/>
                <w:color w:val="auto"/>
              </w:rPr>
            </w:pPr>
            <w:r>
              <w:rPr>
                <w:rFonts w:ascii="Arial" w:cs="Arial" w:eastAsia="Arial" w:hAnsi="Arial"/>
                <w:sz w:val="11"/>
                <w:szCs w:val="11"/>
                <w:b w:val="1"/>
                <w:bCs w:val="1"/>
                <w:color w:val="auto"/>
              </w:rPr>
              <w:t>Class A</w:t>
            </w:r>
          </w:p>
        </w:tc>
        <w:tc>
          <w:tcPr>
            <w:tcW w:w="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26"/>
              <w:spacing w:after="0" w:line="108" w:lineRule="exact"/>
              <w:rPr>
                <w:sz w:val="20"/>
                <w:szCs w:val="20"/>
                <w:color w:val="auto"/>
              </w:rPr>
            </w:pPr>
            <w:r>
              <w:rPr>
                <w:rFonts w:ascii="Arial" w:cs="Arial" w:eastAsia="Arial" w:hAnsi="Arial"/>
                <w:sz w:val="11"/>
                <w:szCs w:val="11"/>
                <w:b w:val="1"/>
                <w:bCs w:val="1"/>
                <w:color w:val="auto"/>
                <w:w w:val="92"/>
              </w:rPr>
              <w:t>Paid-in</w:t>
            </w:r>
          </w:p>
        </w:tc>
        <w:tc>
          <w:tcPr>
            <w:tcW w:w="720" w:type="dxa"/>
            <w:vAlign w:val="bottom"/>
            <w:gridSpan w:val="2"/>
            <w:vMerge w:val="continue"/>
          </w:tcPr>
          <w:p>
            <w:pPr>
              <w:spacing w:after="0"/>
              <w:rPr>
                <w:sz w:val="9"/>
                <w:szCs w:val="9"/>
                <w:color w:val="auto"/>
              </w:rPr>
            </w:pPr>
          </w:p>
        </w:tc>
        <w:tc>
          <w:tcPr>
            <w:tcW w:w="84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w w:val="92"/>
              </w:rPr>
              <w:t>Comprehensive</w:t>
            </w:r>
          </w:p>
        </w:tc>
        <w:tc>
          <w:tcPr>
            <w:tcW w:w="76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w w:val="93"/>
              </w:rPr>
              <w:t>Stockholders’</w:t>
            </w: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58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w w:val="90"/>
              </w:rPr>
              <w:t>Mezzanine</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1000" w:type="dxa"/>
            <w:vAlign w:val="bottom"/>
            <w:gridSpan w:val="3"/>
          </w:tcPr>
          <w:p>
            <w:pPr>
              <w:jc w:val="right"/>
              <w:ind w:right="106"/>
              <w:spacing w:after="0"/>
              <w:rPr>
                <w:sz w:val="20"/>
                <w:szCs w:val="20"/>
                <w:color w:val="auto"/>
              </w:rPr>
            </w:pPr>
            <w:r>
              <w:rPr>
                <w:rFonts w:ascii="Arial" w:cs="Arial" w:eastAsia="Arial" w:hAnsi="Arial"/>
                <w:sz w:val="11"/>
                <w:szCs w:val="11"/>
                <w:b w:val="1"/>
                <w:bCs w:val="1"/>
                <w:color w:val="auto"/>
              </w:rPr>
              <w:t>Common Stock</w:t>
            </w:r>
          </w:p>
        </w:tc>
        <w:tc>
          <w:tcPr>
            <w:tcW w:w="1180" w:type="dxa"/>
            <w:vAlign w:val="bottom"/>
            <w:gridSpan w:val="5"/>
          </w:tcPr>
          <w:p>
            <w:pPr>
              <w:ind w:left="240"/>
              <w:spacing w:after="0"/>
              <w:rPr>
                <w:sz w:val="20"/>
                <w:szCs w:val="20"/>
                <w:color w:val="auto"/>
              </w:rPr>
            </w:pPr>
            <w:r>
              <w:rPr>
                <w:rFonts w:ascii="Arial" w:cs="Arial" w:eastAsia="Arial" w:hAnsi="Arial"/>
                <w:sz w:val="11"/>
                <w:szCs w:val="11"/>
                <w:b w:val="1"/>
                <w:bCs w:val="1"/>
                <w:color w:val="auto"/>
              </w:rPr>
              <w:t>Common Stock</w:t>
            </w:r>
          </w:p>
        </w:tc>
        <w:tc>
          <w:tcPr>
            <w:tcW w:w="102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rPr>
              <w:t>Ordinary Shares</w:t>
            </w:r>
          </w:p>
        </w:tc>
        <w:tc>
          <w:tcPr>
            <w:tcW w:w="140" w:type="dxa"/>
            <w:vAlign w:val="bottom"/>
          </w:tcPr>
          <w:p>
            <w:pPr>
              <w:spacing w:after="0"/>
              <w:rPr>
                <w:sz w:val="12"/>
                <w:szCs w:val="12"/>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b w:val="1"/>
                <w:bCs w:val="1"/>
                <w:color w:val="auto"/>
                <w:w w:val="92"/>
              </w:rPr>
              <w:t>Capital</w:t>
            </w:r>
          </w:p>
        </w:tc>
        <w:tc>
          <w:tcPr>
            <w:tcW w:w="160" w:type="dxa"/>
            <w:vAlign w:val="bottom"/>
          </w:tcPr>
          <w:p>
            <w:pPr>
              <w:spacing w:after="0"/>
              <w:rPr>
                <w:sz w:val="12"/>
                <w:szCs w:val="12"/>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77"/>
              </w:rPr>
              <w:t>Loss</w:t>
            </w:r>
          </w:p>
        </w:tc>
        <w:tc>
          <w:tcPr>
            <w:tcW w:w="180" w:type="dxa"/>
            <w:vAlign w:val="bottom"/>
          </w:tcPr>
          <w:p>
            <w:pPr>
              <w:spacing w:after="0"/>
              <w:rPr>
                <w:sz w:val="12"/>
                <w:szCs w:val="12"/>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w w:val="95"/>
              </w:rPr>
              <w:t>Interest</w:t>
            </w:r>
          </w:p>
        </w:tc>
        <w:tc>
          <w:tcPr>
            <w:tcW w:w="140" w:type="dxa"/>
            <w:vAlign w:val="bottom"/>
          </w:tcPr>
          <w:p>
            <w:pPr>
              <w:spacing w:after="0"/>
              <w:rPr>
                <w:sz w:val="12"/>
                <w:szCs w:val="12"/>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Equity</w:t>
            </w:r>
          </w:p>
        </w:tc>
        <w:tc>
          <w:tcPr>
            <w:tcW w:w="130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Ordinary Shares</w:t>
            </w:r>
          </w:p>
        </w:tc>
        <w:tc>
          <w:tcPr>
            <w:tcW w:w="12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260" w:type="dxa"/>
            <w:vAlign w:val="bottom"/>
          </w:tcPr>
          <w:p>
            <w:pPr>
              <w:jc w:val="right"/>
              <w:ind w:right="106"/>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2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280" w:type="dxa"/>
            <w:vAlign w:val="bottom"/>
          </w:tcPr>
          <w:p>
            <w:pPr>
              <w:jc w:val="right"/>
              <w:ind w:right="126"/>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0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9"/>
              </w:rPr>
              <w:t>Balance as of October 15, 2021</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5,184,300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(54,347)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(54,346)</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(54,346)</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20,737,202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207,372</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207,372</w:t>
            </w:r>
          </w:p>
        </w:tc>
        <w:tc>
          <w:tcPr>
            <w:tcW w:w="0" w:type="dxa"/>
            <w:vAlign w:val="bottom"/>
          </w:tcPr>
          <w:p>
            <w:pPr>
              <w:spacing w:after="0"/>
              <w:rPr>
                <w:sz w:val="1"/>
                <w:szCs w:val="1"/>
                <w:color w:val="auto"/>
              </w:rPr>
            </w:pPr>
          </w:p>
        </w:tc>
      </w:tr>
      <w:tr>
        <w:trPr>
          <w:trHeight w:val="112"/>
        </w:trPr>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w w:val="92"/>
              </w:rPr>
              <w:t>Redemption of Class A ordinary</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(8,452,042)</w:t>
            </w:r>
          </w:p>
        </w:tc>
        <w:tc>
          <w:tcPr>
            <w:tcW w:w="12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(84,530)</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(84,530)</w:t>
            </w:r>
          </w:p>
        </w:tc>
        <w:tc>
          <w:tcPr>
            <w:tcW w:w="0" w:type="dxa"/>
            <w:vAlign w:val="bottom"/>
          </w:tcPr>
          <w:p>
            <w:pPr>
              <w:spacing w:after="0"/>
              <w:rPr>
                <w:sz w:val="1"/>
                <w:szCs w:val="1"/>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shares</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Conversion of Class A ordinary</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rPr>
              <w:t>shares and Class B ordinary</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rPr>
              <w:t>shares into Class A common</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87"/>
              </w:rPr>
              <w:t>17,469,460</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(5,184,300)</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122,840</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122,841</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122,841</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6"/>
              </w:rPr>
              <w:t>(12,285,160)</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9"/>
              </w:rPr>
              <w:t>(122,842)</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(122,842)</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stock</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Issuance of common stock to</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120"/>
              <w:spacing w:after="0" w:line="108" w:lineRule="exact"/>
              <w:rPr>
                <w:sz w:val="20"/>
                <w:szCs w:val="20"/>
                <w:color w:val="auto"/>
              </w:rPr>
            </w:pPr>
            <w:r>
              <w:rPr>
                <w:rFonts w:ascii="Arial" w:cs="Arial" w:eastAsia="Arial" w:hAnsi="Arial"/>
                <w:sz w:val="11"/>
                <w:szCs w:val="11"/>
                <w:color w:val="auto"/>
                <w:w w:val="94"/>
              </w:rPr>
              <w:t>PIPE investors, net of issuance</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w w:val="87"/>
              </w:rPr>
              <w:t>32,500,000</w:t>
            </w:r>
          </w:p>
        </w:tc>
        <w:tc>
          <w:tcPr>
            <w:tcW w:w="160" w:type="dxa"/>
            <w:vAlign w:val="bottom"/>
          </w:tcPr>
          <w:p>
            <w:pPr>
              <w:spacing w:after="0"/>
              <w:rPr>
                <w:sz w:val="9"/>
                <w:szCs w:val="9"/>
                <w:color w:val="auto"/>
              </w:rPr>
            </w:pPr>
          </w:p>
        </w:tc>
        <w:tc>
          <w:tcPr>
            <w:tcW w:w="26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311,997</w:t>
            </w:r>
          </w:p>
        </w:tc>
        <w:tc>
          <w:tcPr>
            <w:tcW w:w="160" w:type="dxa"/>
            <w:vAlign w:val="bottom"/>
          </w:tcPr>
          <w:p>
            <w:pPr>
              <w:spacing w:after="0"/>
              <w:rPr>
                <w:sz w:val="9"/>
                <w:szCs w:val="9"/>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312,000</w:t>
            </w:r>
          </w:p>
        </w:tc>
        <w:tc>
          <w:tcPr>
            <w:tcW w:w="180" w:type="dxa"/>
            <w:vAlign w:val="bottom"/>
          </w:tcPr>
          <w:p>
            <w:pPr>
              <w:spacing w:after="0"/>
              <w:rPr>
                <w:sz w:val="9"/>
                <w:szCs w:val="9"/>
                <w:color w:val="auto"/>
              </w:rPr>
            </w:pP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312,000</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costs</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Conversion of Opco Class A,</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rPr>
              <w:t>Class B, and Class C voting</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189,933,286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1,796,750</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1,796,769</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w w:val="90"/>
              </w:rPr>
              <w:t>units into Class V common stock</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rPr>
              <w:t>Issuance of Class V common</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17,473,362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9"/>
                <w:szCs w:val="9"/>
                <w:color w:val="auto"/>
              </w:rPr>
            </w:pP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107,877</w:t>
            </w:r>
          </w:p>
        </w:tc>
        <w:tc>
          <w:tcPr>
            <w:tcW w:w="14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107,879</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stock for Opco incentive units</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Share-based compensation</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1,022</w:t>
            </w: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1,022</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1,022</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Unit-based compensation</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46,786</w:t>
            </w:r>
          </w:p>
        </w:tc>
        <w:tc>
          <w:tcPr>
            <w:tcW w:w="14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46,786</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Forfeiture and cancellation of</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(1,134,856)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(4,602)</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(4,602)</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common units</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Exercise of warrants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w w:val="97"/>
              </w:rPr>
              <w:t>7,194,928</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130,907</w:t>
            </w:r>
          </w:p>
        </w:tc>
        <w:tc>
          <w:tcPr>
            <w:tcW w:w="16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130,908</w:t>
            </w:r>
          </w:p>
        </w:tc>
        <w:tc>
          <w:tcPr>
            <w:tcW w:w="180" w:type="dxa"/>
            <w:vAlign w:val="bottom"/>
          </w:tcPr>
          <w:p>
            <w:pPr>
              <w:spacing w:after="0"/>
              <w:rPr>
                <w:sz w:val="12"/>
                <w:szCs w:val="12"/>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130,908</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0"/>
              </w:rPr>
              <w:t>Currency translation adjustment,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(259)</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of tax</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Net loss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(43,995)</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(43,995)</w:t>
            </w:r>
          </w:p>
        </w:tc>
        <w:tc>
          <w:tcPr>
            <w:tcW w:w="18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(120,832)</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(164,827)</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2"/>
              </w:rPr>
              <w:t>Balance as of December 31, 2021</w:t>
            </w: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87"/>
              </w:rPr>
              <w:t>57,164,388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206,271,792</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566,766</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(98,342)</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(55)</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2,294,171</w:t>
            </w: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1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Share-based compensation</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31,557</w:t>
            </w: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31,557</w:t>
            </w: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31,557</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Unit-based compensation</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3,847</w:t>
            </w:r>
          </w:p>
        </w:tc>
        <w:tc>
          <w:tcPr>
            <w:tcW w:w="14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3,847</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Forfeiture and cancellation of</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(313,144)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(185)</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(185)</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common units</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Exercise of warrants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221</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2"/>
                <w:szCs w:val="12"/>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7"/>
              </w:rPr>
              <w:t>Shares issued upon vesting of</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w w:val="95"/>
              </w:rPr>
              <w:t>share-based awards, net of tax</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1,286,363</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(2,586)</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(2,586)</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(2,586)</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withholding</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w w:val="93"/>
              </w:rPr>
              <w:t>Exchange of Class V shares for</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w w:val="87"/>
              </w:rPr>
              <w:t>22,475,871</w:t>
            </w:r>
          </w:p>
        </w:tc>
        <w:tc>
          <w:tcPr>
            <w:tcW w:w="160" w:type="dxa"/>
            <w:vAlign w:val="bottom"/>
          </w:tcPr>
          <w:p>
            <w:pPr>
              <w:spacing w:after="0"/>
              <w:rPr>
                <w:sz w:val="9"/>
                <w:szCs w:val="9"/>
                <w:color w:val="auto"/>
              </w:rPr>
            </w:pPr>
          </w:p>
        </w:tc>
        <w:tc>
          <w:tcPr>
            <w:tcW w:w="26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w w:val="99"/>
              </w:rPr>
              <w:t>(22,475,871)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177,241</w:t>
            </w:r>
          </w:p>
        </w:tc>
        <w:tc>
          <w:tcPr>
            <w:tcW w:w="160" w:type="dxa"/>
            <w:vAlign w:val="bottom"/>
          </w:tcPr>
          <w:p>
            <w:pPr>
              <w:spacing w:after="0"/>
              <w:rPr>
                <w:sz w:val="9"/>
                <w:szCs w:val="9"/>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177,241</w:t>
            </w:r>
          </w:p>
        </w:tc>
        <w:tc>
          <w:tcPr>
            <w:tcW w:w="1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(177,241)</w:t>
            </w:r>
          </w:p>
        </w:tc>
        <w:tc>
          <w:tcPr>
            <w:tcW w:w="140" w:type="dxa"/>
            <w:vAlign w:val="bottom"/>
          </w:tcPr>
          <w:p>
            <w:pPr>
              <w:spacing w:after="0"/>
              <w:rPr>
                <w:sz w:val="9"/>
                <w:szCs w:val="9"/>
                <w:color w:val="auto"/>
              </w:rPr>
            </w:pP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Class A shares</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4"/>
              </w:rPr>
              <w:t>Increase in deferred tax liability</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w w:val="91"/>
              </w:rPr>
              <w:t>from step-up tax basis related to</w:t>
            </w: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120"/>
              <w:spacing w:after="0" w:line="108" w:lineRule="exact"/>
              <w:rPr>
                <w:sz w:val="20"/>
                <w:szCs w:val="20"/>
                <w:color w:val="auto"/>
              </w:rPr>
            </w:pPr>
            <w:r>
              <w:rPr>
                <w:rFonts w:ascii="Arial" w:cs="Arial" w:eastAsia="Arial" w:hAnsi="Arial"/>
                <w:sz w:val="11"/>
                <w:szCs w:val="11"/>
                <w:color w:val="auto"/>
              </w:rPr>
              <w:t>exchanges of Opco common</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ind w:left="120"/>
              <w:spacing w:after="0" w:line="112" w:lineRule="exact"/>
              <w:rPr>
                <w:sz w:val="20"/>
                <w:szCs w:val="20"/>
                <w:color w:val="auto"/>
              </w:rPr>
            </w:pPr>
            <w:r>
              <w:rPr>
                <w:rFonts w:ascii="Arial" w:cs="Arial" w:eastAsia="Arial" w:hAnsi="Arial"/>
                <w:sz w:val="11"/>
                <w:szCs w:val="11"/>
                <w:color w:val="auto"/>
                <w:w w:val="90"/>
              </w:rPr>
              <w:t>Currency translation adjustment,</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(254)</w:t>
            </w:r>
          </w:p>
        </w:tc>
        <w:tc>
          <w:tcPr>
            <w:tcW w:w="18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(254)</w:t>
            </w:r>
          </w:p>
        </w:tc>
        <w:tc>
          <w:tcPr>
            <w:tcW w:w="1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(596)</w:t>
            </w:r>
          </w:p>
        </w:tc>
        <w:tc>
          <w:tcPr>
            <w:tcW w:w="14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(850)</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580" w:type="dxa"/>
            <w:vAlign w:val="bottom"/>
          </w:tcPr>
          <w:p>
            <w:pPr>
              <w:ind w:left="120"/>
              <w:spacing w:after="0"/>
              <w:rPr>
                <w:sz w:val="20"/>
                <w:szCs w:val="20"/>
                <w:color w:val="auto"/>
              </w:rPr>
            </w:pPr>
            <w:r>
              <w:rPr>
                <w:rFonts w:ascii="Arial" w:cs="Arial" w:eastAsia="Arial" w:hAnsi="Arial"/>
                <w:sz w:val="11"/>
                <w:szCs w:val="11"/>
                <w:color w:val="auto"/>
              </w:rPr>
              <w:t>net of tax</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7"/>
              </w:rPr>
              <w:t>Unrealized gains on available-</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for-sale securities</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20"/>
              <w:spacing w:after="0"/>
              <w:rPr>
                <w:sz w:val="20"/>
                <w:szCs w:val="20"/>
                <w:color w:val="auto"/>
              </w:rPr>
            </w:pPr>
            <w:r>
              <w:rPr>
                <w:rFonts w:ascii="Arial" w:cs="Arial" w:eastAsia="Arial" w:hAnsi="Arial"/>
                <w:sz w:val="11"/>
                <w:szCs w:val="11"/>
                <w:color w:val="auto"/>
              </w:rPr>
              <w:t>Net loss</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(578,105)</w:t>
            </w: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(578,105)</w:t>
            </w:r>
          </w:p>
        </w:tc>
        <w:tc>
          <w:tcPr>
            <w:tcW w:w="18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w w:val="99"/>
              </w:rPr>
              <w:t>(1,411,829)</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w w:val="88"/>
              </w:rPr>
              <w:t>(1,989,934)</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2"/>
              </w:rPr>
              <w:t>Balance as of December 31, 2022</w:t>
            </w: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87"/>
              </w:rPr>
              <w:t>80,926,843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8"/>
              </w:rPr>
              <w:t>183,482,777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772,973</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(676,447)</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96,263</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239,811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336,074</w:t>
            </w: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Changes in Members’ Equity and Mezzanine Equity (Predecessor)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w w:val="86"/>
              </w:rPr>
              <w:t>Accumulated</w:t>
            </w:r>
          </w:p>
        </w:tc>
        <w:tc>
          <w:tcPr>
            <w:tcW w:w="7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center"/>
              <w:ind w:left="1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9"/>
                <w:szCs w:val="9"/>
                <w:color w:val="auto"/>
              </w:rPr>
            </w:pPr>
          </w:p>
        </w:tc>
        <w:tc>
          <w:tcPr>
            <w:tcW w:w="7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5"/>
              </w:rPr>
              <w:t>Other</w:t>
            </w:r>
          </w:p>
        </w:tc>
        <w:tc>
          <w:tcPr>
            <w:tcW w:w="720" w:type="dxa"/>
            <w:vAlign w:val="bottom"/>
            <w:vMerge w:val="continue"/>
          </w:tcPr>
          <w:p>
            <w:pPr>
              <w:spacing w:after="0"/>
              <w:rPr>
                <w:sz w:val="9"/>
                <w:szCs w:val="9"/>
                <w:color w:val="auto"/>
              </w:rPr>
            </w:pPr>
          </w:p>
        </w:tc>
        <w:tc>
          <w:tcPr>
            <w:tcW w:w="1040" w:type="dxa"/>
            <w:vAlign w:val="bottom"/>
            <w:gridSpan w:val="2"/>
            <w:vMerge w:val="restart"/>
          </w:tcPr>
          <w:p>
            <w:pPr>
              <w:jc w:val="right"/>
              <w:ind w:right="266"/>
              <w:spacing w:after="0"/>
              <w:rPr>
                <w:sz w:val="20"/>
                <w:szCs w:val="20"/>
                <w:color w:val="auto"/>
              </w:rPr>
            </w:pPr>
            <w:r>
              <w:rPr>
                <w:rFonts w:ascii="Arial" w:cs="Arial" w:eastAsia="Arial" w:hAnsi="Arial"/>
                <w:sz w:val="11"/>
                <w:szCs w:val="11"/>
                <w:b w:val="1"/>
                <w:bCs w:val="1"/>
                <w:color w:val="auto"/>
              </w:rPr>
              <w:t>Incentive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16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w w:val="94"/>
              </w:rPr>
              <w:t>Class A Voting Units</w:t>
            </w:r>
          </w:p>
        </w:tc>
        <w:tc>
          <w:tcPr>
            <w:tcW w:w="1320" w:type="dxa"/>
            <w:vAlign w:val="bottom"/>
            <w:gridSpan w:val="2"/>
            <w:vMerge w:val="restart"/>
          </w:tcPr>
          <w:p>
            <w:pPr>
              <w:jc w:val="right"/>
              <w:ind w:right="106"/>
              <w:spacing w:after="0"/>
              <w:rPr>
                <w:sz w:val="20"/>
                <w:szCs w:val="20"/>
                <w:color w:val="auto"/>
              </w:rPr>
            </w:pPr>
            <w:r>
              <w:rPr>
                <w:rFonts w:ascii="Arial" w:cs="Arial" w:eastAsia="Arial" w:hAnsi="Arial"/>
                <w:sz w:val="11"/>
                <w:szCs w:val="11"/>
                <w:b w:val="1"/>
                <w:bCs w:val="1"/>
                <w:color w:val="auto"/>
              </w:rPr>
              <w:t>Class B Voting Units</w:t>
            </w: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Class B Warrant</w:t>
            </w:r>
          </w:p>
        </w:tc>
        <w:tc>
          <w:tcPr>
            <w:tcW w:w="1340" w:type="dxa"/>
            <w:vAlign w:val="bottom"/>
            <w:gridSpan w:val="2"/>
            <w:vMerge w:val="restart"/>
          </w:tcPr>
          <w:p>
            <w:pPr>
              <w:jc w:val="right"/>
              <w:ind w:right="126"/>
              <w:spacing w:after="0"/>
              <w:rPr>
                <w:sz w:val="20"/>
                <w:szCs w:val="20"/>
                <w:color w:val="auto"/>
              </w:rPr>
            </w:pPr>
            <w:r>
              <w:rPr>
                <w:rFonts w:ascii="Arial" w:cs="Arial" w:eastAsia="Arial" w:hAnsi="Arial"/>
                <w:sz w:val="11"/>
                <w:szCs w:val="11"/>
                <w:b w:val="1"/>
                <w:bCs w:val="1"/>
                <w:color w:val="auto"/>
              </w:rPr>
              <w:t>Class C Voting Units</w:t>
            </w:r>
          </w:p>
        </w:tc>
        <w:tc>
          <w:tcPr>
            <w:tcW w:w="104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Class C Warrant</w:t>
            </w:r>
          </w:p>
        </w:tc>
        <w:tc>
          <w:tcPr>
            <w:tcW w:w="740" w:type="dxa"/>
            <w:vAlign w:val="bottom"/>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720" w:type="dxa"/>
            <w:vAlign w:val="bottom"/>
          </w:tcPr>
          <w:p>
            <w:pPr>
              <w:jc w:val="right"/>
              <w:ind w:right="86"/>
              <w:spacing w:after="0" w:line="108" w:lineRule="exact"/>
              <w:rPr>
                <w:sz w:val="20"/>
                <w:szCs w:val="20"/>
                <w:color w:val="auto"/>
              </w:rPr>
            </w:pPr>
            <w:r>
              <w:rPr>
                <w:rFonts w:ascii="Arial" w:cs="Arial" w:eastAsia="Arial" w:hAnsi="Arial"/>
                <w:sz w:val="11"/>
                <w:szCs w:val="11"/>
                <w:b w:val="1"/>
                <w:bCs w:val="1"/>
                <w:color w:val="auto"/>
              </w:rPr>
              <w:t>Member’s</w:t>
            </w:r>
          </w:p>
        </w:tc>
        <w:tc>
          <w:tcPr>
            <w:tcW w:w="1040" w:type="dxa"/>
            <w:vAlign w:val="bottom"/>
            <w:gridSpan w:val="2"/>
            <w:vMerge w:val="continue"/>
          </w:tcPr>
          <w:p>
            <w:pPr>
              <w:spacing w:after="0"/>
              <w:rPr>
                <w:sz w:val="9"/>
                <w:szCs w:val="9"/>
                <w:color w:val="auto"/>
              </w:rPr>
            </w:pPr>
          </w:p>
        </w:tc>
        <w:tc>
          <w:tcPr>
            <w:tcW w:w="720" w:type="dxa"/>
            <w:vAlign w:val="bottom"/>
          </w:tcPr>
          <w:p>
            <w:pPr>
              <w:jc w:val="center"/>
              <w:ind w:left="10"/>
              <w:spacing w:after="0" w:line="108" w:lineRule="exact"/>
              <w:rPr>
                <w:sz w:val="20"/>
                <w:szCs w:val="20"/>
                <w:color w:val="auto"/>
              </w:rPr>
            </w:pPr>
            <w:r>
              <w:rPr>
                <w:rFonts w:ascii="Arial" w:cs="Arial" w:eastAsia="Arial" w:hAnsi="Arial"/>
                <w:sz w:val="11"/>
                <w:szCs w:val="11"/>
                <w:b w:val="1"/>
                <w:bCs w:val="1"/>
                <w:color w:val="auto"/>
                <w:w w:val="90"/>
              </w:rPr>
              <w:t>Mezzanine</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78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Income</w:t>
            </w:r>
          </w:p>
        </w:tc>
        <w:tc>
          <w:tcPr>
            <w:tcW w:w="720" w:type="dxa"/>
            <w:vAlign w:val="bottom"/>
          </w:tcPr>
          <w:p>
            <w:pPr>
              <w:ind w:left="200"/>
              <w:spacing w:after="0"/>
              <w:rPr>
                <w:sz w:val="20"/>
                <w:szCs w:val="20"/>
                <w:color w:val="auto"/>
              </w:rPr>
            </w:pPr>
            <w:r>
              <w:rPr>
                <w:rFonts w:ascii="Arial" w:cs="Arial" w:eastAsia="Arial" w:hAnsi="Arial"/>
                <w:sz w:val="11"/>
                <w:szCs w:val="11"/>
                <w:b w:val="1"/>
                <w:bCs w:val="1"/>
                <w:color w:val="auto"/>
              </w:rPr>
              <w:t>Equity</w:t>
            </w:r>
          </w:p>
        </w:tc>
        <w:tc>
          <w:tcPr>
            <w:tcW w:w="380" w:type="dxa"/>
            <w:vAlign w:val="bottom"/>
          </w:tcPr>
          <w:p>
            <w:pPr>
              <w:spacing w:after="0"/>
              <w:rPr>
                <w:sz w:val="12"/>
                <w:szCs w:val="12"/>
                <w:color w:val="auto"/>
              </w:rPr>
            </w:pPr>
          </w:p>
        </w:tc>
        <w:tc>
          <w:tcPr>
            <w:tcW w:w="660" w:type="dxa"/>
            <w:vAlign w:val="bottom"/>
          </w:tcPr>
          <w:p>
            <w:pPr>
              <w:jc w:val="right"/>
              <w:ind w:right="346"/>
              <w:spacing w:after="0"/>
              <w:rPr>
                <w:sz w:val="20"/>
                <w:szCs w:val="20"/>
                <w:color w:val="auto"/>
              </w:rPr>
            </w:pPr>
            <w:r>
              <w:rPr>
                <w:rFonts w:ascii="Arial" w:cs="Arial" w:eastAsia="Arial" w:hAnsi="Arial"/>
                <w:sz w:val="11"/>
                <w:szCs w:val="11"/>
                <w:b w:val="1"/>
                <w:bCs w:val="1"/>
                <w:color w:val="auto"/>
                <w:w w:val="91"/>
              </w:rPr>
              <w:t>units</w:t>
            </w:r>
          </w:p>
        </w:tc>
        <w:tc>
          <w:tcPr>
            <w:tcW w:w="720" w:type="dxa"/>
            <w:vAlign w:val="bottom"/>
          </w:tcPr>
          <w:p>
            <w:pPr>
              <w:jc w:val="center"/>
              <w:ind w:left="1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Units</w:t>
            </w: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Units</w:t>
            </w: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Warrants</w:t>
            </w:r>
          </w:p>
        </w:tc>
        <w:tc>
          <w:tcPr>
            <w:tcW w:w="40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Units</w:t>
            </w: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Warrants</w:t>
            </w:r>
          </w:p>
        </w:tc>
        <w:tc>
          <w:tcPr>
            <w:tcW w:w="460" w:type="dxa"/>
            <w:vAlign w:val="bottom"/>
          </w:tcPr>
          <w:p>
            <w:pPr>
              <w:jc w:val="right"/>
              <w:ind w:right="146"/>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100"/>
              <w:spacing w:after="0"/>
              <w:rPr>
                <w:sz w:val="20"/>
                <w:szCs w:val="20"/>
                <w:color w:val="auto"/>
              </w:rPr>
            </w:pPr>
            <w:r>
              <w:rPr>
                <w:rFonts w:ascii="Arial" w:cs="Arial" w:eastAsia="Arial" w:hAnsi="Arial"/>
                <w:sz w:val="11"/>
                <w:szCs w:val="11"/>
                <w:b w:val="1"/>
                <w:bCs w:val="1"/>
                <w:color w:val="auto"/>
                <w:w w:val="94"/>
              </w:rPr>
              <w:t>Units</w:t>
            </w: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1100" w:type="dxa"/>
            <w:vAlign w:val="bottom"/>
            <w:shd w:val="clear" w:color="auto" w:fill="CCEEFF"/>
          </w:tcPr>
          <w:p>
            <w:pPr>
              <w:ind w:left="20"/>
              <w:spacing w:after="0" w:line="92" w:lineRule="exact"/>
              <w:rPr>
                <w:sz w:val="20"/>
                <w:szCs w:val="20"/>
                <w:color w:val="auto"/>
              </w:rPr>
            </w:pPr>
            <w:r>
              <w:rPr>
                <w:rFonts w:ascii="Arial" w:cs="Arial" w:eastAsia="Arial" w:hAnsi="Arial"/>
                <w:sz w:val="10"/>
                <w:szCs w:val="10"/>
                <w:color w:val="auto"/>
                <w:w w:val="96"/>
              </w:rPr>
              <w:t>Balance as of December</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88"/>
              </w:rPr>
              <w:t>400,000,000</w:t>
            </w: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2,613</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182,500,000</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182,500</w:t>
            </w:r>
          </w:p>
        </w:tc>
        <w:tc>
          <w:tcPr>
            <w:tcW w:w="74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5,426</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270,270,270</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310,104</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(112,504)</w:t>
            </w:r>
          </w:p>
        </w:tc>
        <w:tc>
          <w:tcPr>
            <w:tcW w:w="1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191</w:t>
            </w:r>
          </w:p>
        </w:tc>
        <w:tc>
          <w:tcPr>
            <w:tcW w:w="7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388,330</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21,452</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1"/>
                <w:szCs w:val="11"/>
                <w:color w:val="auto"/>
              </w:rPr>
              <w:t>21,452</w:t>
            </w:r>
          </w:p>
        </w:tc>
        <w:tc>
          <w:tcPr>
            <w:tcW w:w="0" w:type="dxa"/>
            <w:vAlign w:val="bottom"/>
          </w:tcPr>
          <w:p>
            <w:pPr>
              <w:spacing w:after="0"/>
              <w:rPr>
                <w:sz w:val="1"/>
                <w:szCs w:val="1"/>
                <w:color w:val="auto"/>
              </w:rPr>
            </w:pPr>
          </w:p>
        </w:tc>
      </w:tr>
      <w:tr>
        <w:trPr>
          <w:trHeight w:val="138"/>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31, 2020</w:t>
            </w: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00" w:type="dxa"/>
            <w:vAlign w:val="bottom"/>
          </w:tcPr>
          <w:p>
            <w:pPr>
              <w:ind w:left="140"/>
              <w:spacing w:after="0" w:line="112" w:lineRule="exact"/>
              <w:rPr>
                <w:sz w:val="20"/>
                <w:szCs w:val="20"/>
                <w:color w:val="auto"/>
              </w:rPr>
            </w:pPr>
            <w:r>
              <w:rPr>
                <w:rFonts w:ascii="Arial" w:cs="Arial" w:eastAsia="Arial" w:hAnsi="Arial"/>
                <w:sz w:val="11"/>
                <w:szCs w:val="11"/>
                <w:color w:val="auto"/>
                <w:w w:val="96"/>
              </w:rPr>
              <w:t>Issuance of Class A</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auto"/>
              </w:rPr>
              <w:t>185</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185</w:t>
            </w:r>
          </w:p>
        </w:tc>
        <w:tc>
          <w:tcPr>
            <w:tcW w:w="380" w:type="dxa"/>
            <w:vAlign w:val="bottom"/>
            <w:vMerge w:val="restart"/>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00" w:type="dxa"/>
            <w:vAlign w:val="bottom"/>
          </w:tcPr>
          <w:p>
            <w:pPr>
              <w:ind w:left="140"/>
              <w:spacing w:after="0"/>
              <w:rPr>
                <w:sz w:val="20"/>
                <w:szCs w:val="20"/>
                <w:color w:val="auto"/>
              </w:rPr>
            </w:pPr>
            <w:r>
              <w:rPr>
                <w:rFonts w:ascii="Arial" w:cs="Arial" w:eastAsia="Arial" w:hAnsi="Arial"/>
                <w:sz w:val="11"/>
                <w:szCs w:val="11"/>
                <w:color w:val="auto"/>
              </w:rPr>
              <w:t>voting units</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1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4"/>
              </w:rPr>
              <w:t>Unit-based incentive</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26,538</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1"/>
                <w:szCs w:val="11"/>
                <w:color w:val="auto"/>
              </w:rPr>
              <w:t>26,538</w:t>
            </w:r>
          </w:p>
        </w:tc>
        <w:tc>
          <w:tcPr>
            <w:tcW w:w="0" w:type="dxa"/>
            <w:vAlign w:val="bottom"/>
          </w:tcPr>
          <w:p>
            <w:pPr>
              <w:spacing w:after="0"/>
              <w:rPr>
                <w:sz w:val="1"/>
                <w:szCs w:val="1"/>
                <w:color w:val="auto"/>
              </w:rPr>
            </w:pPr>
          </w:p>
        </w:tc>
      </w:tr>
      <w:tr>
        <w:trPr>
          <w:trHeight w:val="138"/>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compensation</w:t>
            </w: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00" w:type="dxa"/>
            <w:vAlign w:val="bottom"/>
          </w:tcPr>
          <w:p>
            <w:pPr>
              <w:ind w:left="140"/>
              <w:spacing w:after="0" w:line="112" w:lineRule="exact"/>
              <w:rPr>
                <w:sz w:val="20"/>
                <w:szCs w:val="20"/>
                <w:color w:val="auto"/>
              </w:rPr>
            </w:pPr>
            <w:r>
              <w:rPr>
                <w:rFonts w:ascii="Arial" w:cs="Arial" w:eastAsia="Arial" w:hAnsi="Arial"/>
                <w:sz w:val="11"/>
                <w:szCs w:val="11"/>
                <w:color w:val="auto"/>
                <w:w w:val="98"/>
              </w:rPr>
              <w:t>Exercise of Class B</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9,953,454</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5,426</w:t>
            </w:r>
          </w:p>
        </w:tc>
        <w:tc>
          <w:tcPr>
            <w:tcW w:w="74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color w:val="auto"/>
                <w:w w:val="91"/>
              </w:rPr>
              <w:t>(5,426)</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00" w:type="dxa"/>
            <w:vAlign w:val="bottom"/>
          </w:tcPr>
          <w:p>
            <w:pPr>
              <w:ind w:left="140"/>
              <w:spacing w:after="0"/>
              <w:rPr>
                <w:sz w:val="20"/>
                <w:szCs w:val="20"/>
                <w:color w:val="auto"/>
              </w:rPr>
            </w:pPr>
            <w:r>
              <w:rPr>
                <w:rFonts w:ascii="Arial" w:cs="Arial" w:eastAsia="Arial" w:hAnsi="Arial"/>
                <w:sz w:val="11"/>
                <w:szCs w:val="11"/>
                <w:color w:val="auto"/>
              </w:rPr>
              <w:t>warrant</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1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Vesting of Class C</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969</w:t>
            </w: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969</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warrant</w:t>
            </w: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00" w:type="dxa"/>
            <w:vAlign w:val="bottom"/>
          </w:tcPr>
          <w:p>
            <w:pPr>
              <w:ind w:left="140"/>
              <w:spacing w:after="0" w:line="112" w:lineRule="exact"/>
              <w:rPr>
                <w:sz w:val="20"/>
                <w:szCs w:val="20"/>
                <w:color w:val="auto"/>
              </w:rPr>
            </w:pPr>
            <w:r>
              <w:rPr>
                <w:rFonts w:ascii="Arial" w:cs="Arial" w:eastAsia="Arial" w:hAnsi="Arial"/>
                <w:sz w:val="11"/>
                <w:szCs w:val="11"/>
                <w:color w:val="auto"/>
                <w:w w:val="95"/>
              </w:rPr>
              <w:t>Currency translation</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380"/>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ind w:right="26"/>
              <w:spacing w:after="0"/>
              <w:rPr>
                <w:sz w:val="20"/>
                <w:szCs w:val="20"/>
                <w:color w:val="auto"/>
              </w:rPr>
            </w:pPr>
            <w:r>
              <w:rPr>
                <w:rFonts w:ascii="Arial" w:cs="Arial" w:eastAsia="Arial" w:hAnsi="Arial"/>
                <w:sz w:val="11"/>
                <w:szCs w:val="11"/>
                <w:color w:val="auto"/>
              </w:rPr>
              <w:t>248</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248</w:t>
            </w:r>
          </w:p>
        </w:tc>
        <w:tc>
          <w:tcPr>
            <w:tcW w:w="380" w:type="dxa"/>
            <w:vAlign w:val="bottom"/>
            <w:vMerge w:val="restart"/>
          </w:tcPr>
          <w:p>
            <w:pPr>
              <w:ind w:left="24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00" w:type="dxa"/>
            <w:vAlign w:val="bottom"/>
          </w:tcPr>
          <w:p>
            <w:pPr>
              <w:ind w:left="140"/>
              <w:spacing w:after="0"/>
              <w:rPr>
                <w:sz w:val="20"/>
                <w:szCs w:val="20"/>
                <w:color w:val="auto"/>
              </w:rPr>
            </w:pPr>
            <w:r>
              <w:rPr>
                <w:rFonts w:ascii="Arial" w:cs="Arial" w:eastAsia="Arial" w:hAnsi="Arial"/>
                <w:sz w:val="11"/>
                <w:szCs w:val="11"/>
                <w:color w:val="auto"/>
                <w:w w:val="89"/>
              </w:rPr>
              <w:t>adjustment, net of tax</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(139,219)</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(139,219)</w:t>
            </w:r>
          </w:p>
        </w:tc>
        <w:tc>
          <w:tcPr>
            <w:tcW w:w="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1100" w:type="dxa"/>
            <w:vAlign w:val="bottom"/>
          </w:tcPr>
          <w:p>
            <w:pPr>
              <w:ind w:left="20"/>
              <w:spacing w:after="0" w:line="92" w:lineRule="exact"/>
              <w:rPr>
                <w:sz w:val="20"/>
                <w:szCs w:val="20"/>
                <w:color w:val="auto"/>
              </w:rPr>
            </w:pPr>
            <w:r>
              <w:rPr>
                <w:rFonts w:ascii="Arial" w:cs="Arial" w:eastAsia="Arial" w:hAnsi="Arial"/>
                <w:sz w:val="10"/>
                <w:szCs w:val="10"/>
                <w:color w:val="auto"/>
              </w:rPr>
              <w:t>Balance as of October</w:t>
            </w:r>
          </w:p>
        </w:tc>
        <w:tc>
          <w:tcPr>
            <w:tcW w:w="64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w w:val="88"/>
              </w:rPr>
              <w:t>400,000,000</w:t>
            </w:r>
          </w:p>
        </w:tc>
        <w:tc>
          <w:tcPr>
            <w:tcW w:w="52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  2,798</w:t>
            </w:r>
          </w:p>
        </w:tc>
        <w:tc>
          <w:tcPr>
            <w:tcW w:w="6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w w:val="98"/>
              </w:rPr>
              <w:t>192,453,454</w:t>
            </w:r>
          </w:p>
        </w:tc>
        <w:tc>
          <w:tcPr>
            <w:tcW w:w="64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  187,926</w:t>
            </w:r>
          </w:p>
        </w:tc>
        <w:tc>
          <w:tcPr>
            <w:tcW w:w="740" w:type="dxa"/>
            <w:vAlign w:val="bottom"/>
            <w:tcBorders>
              <w:top w:val="single" w:sz="8" w:color="auto"/>
            </w:tcBorders>
            <w:vMerge w:val="restart"/>
          </w:tcPr>
          <w:p>
            <w:pPr>
              <w:ind w:left="420"/>
              <w:spacing w:after="0"/>
              <w:rPr>
                <w:sz w:val="20"/>
                <w:szCs w:val="20"/>
                <w:color w:val="auto"/>
              </w:rPr>
            </w:pPr>
            <w:r>
              <w:rPr>
                <w:rFonts w:ascii="Arial" w:cs="Arial" w:eastAsia="Arial" w:hAnsi="Arial"/>
                <w:sz w:val="11"/>
                <w:szCs w:val="11"/>
                <w:color w:val="auto"/>
              </w:rPr>
              <w:t>—   $</w:t>
            </w:r>
          </w:p>
        </w:tc>
        <w:tc>
          <w:tcPr>
            <w:tcW w:w="40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w w:val="98"/>
              </w:rPr>
              <w:t>270,270,270</w:t>
            </w:r>
          </w:p>
        </w:tc>
        <w:tc>
          <w:tcPr>
            <w:tcW w:w="6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  310,104</w:t>
            </w:r>
          </w:p>
        </w:tc>
        <w:tc>
          <w:tcPr>
            <w:tcW w:w="580" w:type="dxa"/>
            <w:vAlign w:val="bottom"/>
            <w:tcBorders>
              <w:top w:val="single" w:sz="8" w:color="auto"/>
            </w:tcBorders>
            <w:vMerge w:val="restart"/>
          </w:tcPr>
          <w:p>
            <w:pPr>
              <w:ind w:left="380"/>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  969</w:t>
            </w:r>
          </w:p>
        </w:tc>
        <w:tc>
          <w:tcPr>
            <w:tcW w:w="7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   (251,723)</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439</w:t>
            </w:r>
          </w:p>
        </w:tc>
        <w:tc>
          <w:tcPr>
            <w:tcW w:w="7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  250,513</w:t>
            </w:r>
          </w:p>
        </w:tc>
        <w:tc>
          <w:tcPr>
            <w:tcW w:w="380" w:type="dxa"/>
            <w:vAlign w:val="bottom"/>
            <w:tcBorders>
              <w:top w:val="single" w:sz="8" w:color="auto"/>
            </w:tcBorders>
            <w:vMerge w:val="restart"/>
          </w:tcPr>
          <w:p>
            <w:pPr>
              <w:ind w:left="240"/>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1"/>
                <w:szCs w:val="11"/>
                <w:color w:val="auto"/>
              </w:rPr>
              <w:t>$  47,990</w:t>
            </w:r>
          </w:p>
        </w:tc>
        <w:tc>
          <w:tcPr>
            <w:tcW w:w="7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1"/>
                <w:szCs w:val="11"/>
                <w:color w:val="auto"/>
                <w:w w:val="89"/>
              </w:rPr>
              <w:t>$47,990</w:t>
            </w:r>
          </w:p>
        </w:tc>
        <w:tc>
          <w:tcPr>
            <w:tcW w:w="0" w:type="dxa"/>
            <w:vAlign w:val="bottom"/>
          </w:tcPr>
          <w:p>
            <w:pPr>
              <w:spacing w:after="0"/>
              <w:rPr>
                <w:sz w:val="1"/>
                <w:szCs w:val="1"/>
                <w:color w:val="auto"/>
              </w:rPr>
            </w:pPr>
          </w:p>
        </w:tc>
      </w:tr>
      <w:tr>
        <w:trPr>
          <w:trHeight w:val="136"/>
        </w:trPr>
        <w:tc>
          <w:tcPr>
            <w:tcW w:w="1100" w:type="dxa"/>
            <w:vAlign w:val="bottom"/>
          </w:tcPr>
          <w:p>
            <w:pPr>
              <w:ind w:left="20"/>
              <w:spacing w:after="0"/>
              <w:rPr>
                <w:sz w:val="20"/>
                <w:szCs w:val="20"/>
                <w:color w:val="auto"/>
              </w:rPr>
            </w:pPr>
            <w:r>
              <w:rPr>
                <w:rFonts w:ascii="Arial" w:cs="Arial" w:eastAsia="Arial" w:hAnsi="Arial"/>
                <w:sz w:val="11"/>
                <w:szCs w:val="11"/>
                <w:color w:val="auto"/>
              </w:rPr>
              <w:t>14, 2021</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right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7"/>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56"/>
        </w:trPr>
        <w:tc>
          <w:tcPr>
            <w:tcW w:w="6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7"/>
              <w:spacing w:after="0" w:line="155" w:lineRule="exact"/>
              <w:rPr>
                <w:sz w:val="20"/>
                <w:szCs w:val="20"/>
                <w:color w:val="auto"/>
              </w:rPr>
            </w:pPr>
            <w:r>
              <w:rPr>
                <w:rFonts w:ascii="Arial" w:cs="Arial" w:eastAsia="Arial" w:hAnsi="Arial"/>
                <w:sz w:val="16"/>
                <w:szCs w:val="16"/>
                <w:b w:val="1"/>
                <w:bCs w:val="1"/>
                <w:color w:val="auto"/>
                <w:w w:val="92"/>
              </w:rPr>
              <w:t>October 15, 2021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67"/>
              <w:spacing w:after="0" w:line="155" w:lineRule="exact"/>
              <w:rPr>
                <w:sz w:val="20"/>
                <w:szCs w:val="20"/>
                <w:color w:val="auto"/>
              </w:rPr>
            </w:pPr>
            <w:r>
              <w:rPr>
                <w:rFonts w:ascii="Arial" w:cs="Arial" w:eastAsia="Arial" w:hAnsi="Arial"/>
                <w:sz w:val="16"/>
                <w:szCs w:val="16"/>
                <w:b w:val="1"/>
                <w:bCs w:val="1"/>
                <w:color w:val="auto"/>
                <w:w w:val="92"/>
              </w:rPr>
              <w:t>January 1, 2021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right w:val="single" w:sz="8" w:color="auto"/>
            </w:tcBorders>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7"/>
              <w:spacing w:after="0" w:line="162" w:lineRule="exact"/>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Pr>
          <w:p>
            <w:pPr>
              <w:spacing w:after="0"/>
              <w:rPr>
                <w:sz w:val="18"/>
                <w:szCs w:val="18"/>
                <w:color w:val="auto"/>
              </w:rPr>
            </w:pPr>
          </w:p>
        </w:tc>
        <w:tc>
          <w:tcPr>
            <w:tcW w:w="1380" w:type="dxa"/>
            <w:vAlign w:val="bottom"/>
          </w:tcPr>
          <w:p>
            <w:pPr>
              <w:jc w:val="center"/>
              <w:ind w:right="27"/>
              <w:spacing w:after="0"/>
              <w:rPr>
                <w:sz w:val="20"/>
                <w:szCs w:val="20"/>
                <w:color w:val="auto"/>
              </w:rPr>
            </w:pPr>
            <w:r>
              <w:rPr>
                <w:rFonts w:ascii="Arial" w:cs="Arial" w:eastAsia="Arial" w:hAnsi="Arial"/>
                <w:sz w:val="16"/>
                <w:szCs w:val="16"/>
                <w:b w:val="1"/>
                <w:bCs w:val="1"/>
                <w:color w:val="auto"/>
                <w:w w:val="89"/>
              </w:rPr>
              <w:t>31, 2021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47"/>
              <w:spacing w:after="0"/>
              <w:rPr>
                <w:sz w:val="20"/>
                <w:szCs w:val="20"/>
                <w:color w:val="auto"/>
              </w:rPr>
            </w:pPr>
            <w:r>
              <w:rPr>
                <w:rFonts w:ascii="Arial" w:cs="Arial" w:eastAsia="Arial" w:hAnsi="Arial"/>
                <w:sz w:val="16"/>
                <w:szCs w:val="16"/>
                <w:b w:val="1"/>
                <w:bCs w:val="1"/>
                <w:color w:val="auto"/>
                <w:w w:val="90"/>
              </w:rPr>
              <w:t>October 14, 2021</w:t>
            </w:r>
          </w:p>
        </w:tc>
        <w:tc>
          <w:tcPr>
            <w:tcW w:w="0" w:type="dxa"/>
            <w:vAlign w:val="bottom"/>
          </w:tcPr>
          <w:p>
            <w:pPr>
              <w:spacing w:after="0"/>
              <w:rPr>
                <w:sz w:val="1"/>
                <w:szCs w:val="1"/>
                <w:color w:val="auto"/>
              </w:rPr>
            </w:pPr>
          </w:p>
        </w:tc>
      </w:tr>
      <w:tr>
        <w:trPr>
          <w:trHeight w:val="185"/>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(1,989,934)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(164,827)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(139,219)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5,422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9,512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lease expense</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31,557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Unit-based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44,892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33,877</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Forfeiture and cancellation of common units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Recognition of affiliate capital contribution</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Amortization of customer consideration asset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Impairment of long-lived assets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3,598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Goodwill and intangible assets impairments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1,822,089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Loss on disposal of assets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sale of shares of affiliate stock</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(Gain) loss from change in fair value of warrant liability</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79,373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(Gain) on extinguishment of software license liability</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Modification and vesting of Class C warrant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(6,601)</w:t>
            </w:r>
          </w:p>
        </w:tc>
        <w:tc>
          <w:tcPr>
            <w:tcW w:w="0" w:type="dxa"/>
            <w:vAlign w:val="bottom"/>
          </w:tcPr>
          <w:p>
            <w:pPr>
              <w:spacing w:after="0"/>
              <w:rPr>
                <w:sz w:val="1"/>
                <w:szCs w:val="1"/>
                <w:color w:val="auto"/>
              </w:rPr>
            </w:pPr>
          </w:p>
        </w:tc>
      </w:tr>
      <w:tr>
        <w:trPr>
          <w:trHeight w:val="182"/>
        </w:trPr>
        <w:tc>
          <w:tcPr>
            <w:tcW w:w="6500" w:type="dxa"/>
            <w:vAlign w:val="bottom"/>
          </w:tcPr>
          <w:p>
            <w:pPr>
              <w:ind w:left="460"/>
              <w:spacing w:after="0"/>
              <w:rPr>
                <w:sz w:val="20"/>
                <w:szCs w:val="20"/>
                <w:color w:val="auto"/>
              </w:rPr>
            </w:pPr>
            <w:r>
              <w:rPr>
                <w:rFonts w:ascii="Arial" w:cs="Arial" w:eastAsia="Arial" w:hAnsi="Arial"/>
                <w:sz w:val="14"/>
                <w:szCs w:val="14"/>
                <w:color w:val="auto"/>
              </w:rPr>
              <w:t>Prepaid insurance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(31,121)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Deposits with clearinghouse</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20,199</w:t>
            </w:r>
          </w:p>
        </w:tc>
        <w:tc>
          <w:tcPr>
            <w:tcW w:w="0" w:type="dxa"/>
            <w:vAlign w:val="bottom"/>
          </w:tcPr>
          <w:p>
            <w:pPr>
              <w:spacing w:after="0"/>
              <w:rPr>
                <w:sz w:val="1"/>
                <w:szCs w:val="1"/>
                <w:color w:val="auto"/>
              </w:rPr>
            </w:pPr>
          </w:p>
        </w:tc>
      </w:tr>
      <w:tr>
        <w:trPr>
          <w:trHeight w:val="182"/>
        </w:trPr>
        <w:tc>
          <w:tcPr>
            <w:tcW w:w="6500" w:type="dxa"/>
            <w:vAlign w:val="bottom"/>
          </w:tcPr>
          <w:p>
            <w:pPr>
              <w:ind w:left="46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(19,728)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23,292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Due to related party (affiliate in Predecessor period)</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2"/>
        </w:trPr>
        <w:tc>
          <w:tcPr>
            <w:tcW w:w="650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82"/>
        </w:trPr>
        <w:tc>
          <w:tcPr>
            <w:tcW w:w="6500" w:type="dxa"/>
            <w:vAlign w:val="bottom"/>
          </w:tcPr>
          <w:p>
            <w:pPr>
              <w:ind w:left="460"/>
              <w:spacing w:after="0"/>
              <w:rPr>
                <w:sz w:val="20"/>
                <w:szCs w:val="20"/>
                <w:color w:val="auto"/>
              </w:rPr>
            </w:pPr>
            <w:r>
              <w:rPr>
                <w:rFonts w:ascii="Arial" w:cs="Arial" w:eastAsia="Arial" w:hAnsi="Arial"/>
                <w:sz w:val="14"/>
                <w:szCs w:val="14"/>
                <w:color w:val="auto"/>
              </w:rPr>
              <w:t>Customer funds payable</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assets and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76"/>
        </w:trPr>
        <w:tc>
          <w:tcPr>
            <w:tcW w:w="650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(117,597)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(83,387)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(50,915)</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Capitalized internal-use software development costs and other capital expenditures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(30,543)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(3,578)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(12,109)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available-for-sale securities</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(306,593)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Proceeds from the maturity of available-for-sale securities</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165,175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disposal of assets</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Proceeds from sale of shares of affiliate stock</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acquired through business combination</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(171,961)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27,259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(10,342)</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Payment of finance lease liability</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Repurchase of redeemed Class A common stock</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(84,530)</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Repurchase and retirement of Class A common stock</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deferred underwriting fee</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Proceeds from the exercise of warrants</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37,117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PIPE, net of issuance costs</w:t>
            </w:r>
          </w:p>
        </w:tc>
        <w:tc>
          <w:tcPr>
            <w:tcW w:w="5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312,000</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256,925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Effect of exchange rate changes.</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76"/>
        </w:trPr>
        <w:tc>
          <w:tcPr>
            <w:tcW w:w="6500" w:type="dxa"/>
            <w:vAlign w:val="bottom"/>
          </w:tcPr>
          <w:p>
            <w:pPr>
              <w:ind w:left="240"/>
              <w:spacing w:after="0"/>
              <w:rPr>
                <w:sz w:val="20"/>
                <w:szCs w:val="20"/>
                <w:color w:val="auto"/>
              </w:rPr>
            </w:pPr>
            <w:r>
              <w:rPr>
                <w:rFonts w:ascii="Arial" w:cs="Arial" w:eastAsia="Arial" w:hAnsi="Arial"/>
                <w:sz w:val="14"/>
                <w:szCs w:val="14"/>
                <w:color w:val="auto"/>
              </w:rPr>
              <w:t>Net increase (decrease) in cash, cash equivalents, restricted cash and customer funds</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(292,992)</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200,490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(61,106)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customer funds at the beginning of the period</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408,415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207,925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91,943</w:t>
            </w:r>
          </w:p>
        </w:tc>
        <w:tc>
          <w:tcPr>
            <w:tcW w:w="0" w:type="dxa"/>
            <w:vAlign w:val="bottom"/>
          </w:tcPr>
          <w:p>
            <w:pPr>
              <w:spacing w:after="0"/>
              <w:rPr>
                <w:sz w:val="1"/>
                <w:szCs w:val="1"/>
                <w:color w:val="auto"/>
              </w:rPr>
            </w:pPr>
          </w:p>
        </w:tc>
      </w:tr>
      <w:tr>
        <w:trPr>
          <w:trHeight w:val="196"/>
        </w:trPr>
        <w:tc>
          <w:tcPr>
            <w:tcW w:w="650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customer funds at the end of the period</w:t>
            </w: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115,423</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408,415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30,837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operating lease right-of-use asset acquired</w:t>
            </w: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11,006</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Class A voting units in exchange of capital contribution</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3"/>
        </w:trPr>
        <w:tc>
          <w:tcPr>
            <w:tcW w:w="6500" w:type="dxa"/>
            <w:vAlign w:val="bottom"/>
          </w:tcPr>
          <w:p>
            <w:pPr>
              <w:ind w:left="240"/>
              <w:spacing w:after="0" w:line="143" w:lineRule="exact"/>
              <w:rPr>
                <w:sz w:val="20"/>
                <w:szCs w:val="20"/>
                <w:color w:val="auto"/>
              </w:rPr>
            </w:pPr>
            <w:r>
              <w:rPr>
                <w:rFonts w:ascii="Arial" w:cs="Arial" w:eastAsia="Arial" w:hAnsi="Arial"/>
                <w:sz w:val="14"/>
                <w:szCs w:val="14"/>
                <w:color w:val="auto"/>
                <w:w w:val="96"/>
              </w:rPr>
              <w:t>Capitalized internal-use software development costs and other capital expenditures included in accounts</w:t>
            </w:r>
          </w:p>
        </w:tc>
        <w:tc>
          <w:tcPr>
            <w:tcW w:w="5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3,900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1,929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88"/>
        </w:trPr>
        <w:tc>
          <w:tcPr>
            <w:tcW w:w="6500" w:type="dxa"/>
            <w:vAlign w:val="bottom"/>
          </w:tcPr>
          <w:p>
            <w:pPr>
              <w:ind w:left="240"/>
              <w:spacing w:after="0"/>
              <w:rPr>
                <w:sz w:val="20"/>
                <w:szCs w:val="20"/>
                <w:color w:val="auto"/>
              </w:rPr>
            </w:pPr>
            <w:r>
              <w:rPr>
                <w:rFonts w:ascii="Arial" w:cs="Arial" w:eastAsia="Arial" w:hAnsi="Arial"/>
                <w:sz w:val="14"/>
                <w:szCs w:val="14"/>
                <w:color w:val="auto"/>
              </w:rPr>
              <w:t>payable and accrued liabilities</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Cashless exercise of private placement warrants</w:t>
            </w: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64,978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6500" w:type="dxa"/>
            <w:vAlign w:val="bottom"/>
          </w:tcPr>
          <w:p>
            <w:pPr>
              <w:ind w:left="20"/>
              <w:spacing w:after="0" w:line="139" w:lineRule="exact"/>
              <w:rPr>
                <w:sz w:val="20"/>
                <w:szCs w:val="20"/>
                <w:color w:val="auto"/>
              </w:rPr>
            </w:pPr>
            <w:r>
              <w:rPr>
                <w:rFonts w:ascii="Arial" w:cs="Arial" w:eastAsia="Arial" w:hAnsi="Arial"/>
                <w:sz w:val="14"/>
                <w:szCs w:val="14"/>
                <w:b w:val="1"/>
                <w:bCs w:val="1"/>
                <w:color w:val="auto"/>
                <w:w w:val="95"/>
              </w:rPr>
              <w:t>Reconciliation of cash, cash equivalents, restricted cash and customer funds to consolidated balance</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sheets: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98,332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391,364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13,911</w:t>
            </w:r>
          </w:p>
        </w:tc>
        <w:tc>
          <w:tcPr>
            <w:tcW w:w="0" w:type="dxa"/>
            <w:vAlign w:val="bottom"/>
          </w:tcPr>
          <w:p>
            <w:pPr>
              <w:spacing w:after="0"/>
              <w:rPr>
                <w:sz w:val="1"/>
                <w:szCs w:val="1"/>
                <w:color w:val="auto"/>
              </w:rPr>
            </w:pPr>
          </w:p>
        </w:tc>
      </w:tr>
      <w:tr>
        <w:trPr>
          <w:trHeight w:val="182"/>
        </w:trPr>
        <w:tc>
          <w:tcPr>
            <w:tcW w:w="650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16,500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restricted cash and customer funds</w:t>
            </w: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115,423</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408,415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30,837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As a result of the VIH Business Combination, ICE and its affiliates are no longer our affiliates. Refer to Note 8 for our related party disclosures.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the Consolidated Financial Statements</w:t>
      </w:r>
    </w:p>
    <w:p>
      <w:pPr>
        <w:spacing w:after="0" w:line="225" w:lineRule="exact"/>
        <w:rPr>
          <w:sz w:val="20"/>
          <w:szCs w:val="20"/>
          <w:color w:val="auto"/>
        </w:rPr>
      </w:pPr>
    </w:p>
    <w:p>
      <w:pPr>
        <w:ind w:right="7720" w:firstLine="8"/>
        <w:spacing w:after="0" w:line="534" w:lineRule="auto"/>
        <w:tabs>
          <w:tab w:leader="none" w:pos="32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placement warrant, generating total gross proceeds of $7.5 million.</w:t>
      </w:r>
    </w:p>
    <w:p>
      <w:pPr>
        <w:spacing w:after="0" w:line="1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Following the closing of the Initial Public Offering on September 25, 2020 and the partial exercise of the underwriter’s over-allotment on October 1, 2020, an amount of $207.4 million ($10.00 per Unit) from the proceeds of the sale of the Units in the Initial Public Offering and the sale of the private placement warrants, net of transaction costs, was placed in a trust account (the “Trust Account”).</w:t>
      </w:r>
    </w:p>
    <w:p>
      <w:pPr>
        <w:spacing w:after="0" w:line="175"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6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for further discussion on the VIH Business Combination.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Our Class A common stock and warrants are listed on the New York Stock Exchange under the ticker symbols “BKKT” and “BKKT WS,”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simplified solutions focused in the following areas: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Crypto</w:t>
      </w:r>
    </w:p>
    <w:p>
      <w:pPr>
        <w:spacing w:after="0" w:line="266" w:lineRule="exact"/>
        <w:rPr>
          <w:sz w:val="20"/>
          <w:szCs w:val="20"/>
          <w:color w:val="auto"/>
        </w:rPr>
      </w:pPr>
    </w:p>
    <w:p>
      <w:pPr>
        <w:jc w:val="both"/>
        <w:ind w:left="660" w:right="20" w:hanging="328"/>
        <w:spacing w:after="0" w:line="303" w:lineRule="auto"/>
        <w:tabs>
          <w:tab w:leader="none" w:pos="655" w:val="left"/>
        </w:tabs>
        <w:numPr>
          <w:ilvl w:val="0"/>
          <w:numId w:val="67"/>
        </w:numPr>
        <w:rPr>
          <w:rFonts w:ascii="Arial" w:cs="Arial" w:eastAsia="Arial" w:hAnsi="Arial"/>
          <w:sz w:val="18"/>
          <w:szCs w:val="18"/>
          <w:color w:val="0C0C0C"/>
        </w:rPr>
      </w:pPr>
      <w:r>
        <w:rPr>
          <w:rFonts w:ascii="Arial" w:cs="Arial" w:eastAsia="Arial" w:hAnsi="Arial"/>
          <w:sz w:val="18"/>
          <w:szCs w:val="18"/>
          <w:b w:val="1"/>
          <w:bCs w:val="1"/>
          <w:i w:val="1"/>
          <w:iCs w:val="1"/>
          <w:color w:val="0C0C0C"/>
        </w:rPr>
        <w:t xml:space="preserve">Custody. </w:t>
      </w:r>
      <w:r>
        <w:rPr>
          <w:rFonts w:ascii="Arial" w:cs="Arial" w:eastAsia="Arial" w:hAnsi="Arial"/>
          <w:sz w:val="18"/>
          <w:szCs w:val="18"/>
          <w:color w:val="0C0C0C"/>
        </w:rPr>
        <w:t>Our institutional-grade qualified custody solution caters to more experienced market participants. Crypto that we custody is held by our</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subsidiary, Bakkt Trust Company LLC (“Bakkt Trust”), a limited purpose trust company that is supervised by the New York State Department of Financial Services (“NYDFS”) and governed by an independent Board of Managers.</w:t>
      </w:r>
    </w:p>
    <w:p>
      <w:pPr>
        <w:spacing w:after="0" w:line="170" w:lineRule="exact"/>
        <w:rPr>
          <w:rFonts w:ascii="Arial" w:cs="Arial" w:eastAsia="Arial" w:hAnsi="Arial"/>
          <w:sz w:val="18"/>
          <w:szCs w:val="18"/>
          <w:color w:val="0C0C0C"/>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0C0C0C"/>
        </w:rPr>
        <w:t>Crypto Connect</w:t>
      </w:r>
      <w:r>
        <w:rPr>
          <w:rFonts w:ascii="Arial" w:cs="Arial" w:eastAsia="Arial" w:hAnsi="Arial"/>
          <w:sz w:val="16"/>
          <w:szCs w:val="16"/>
          <w:b w:val="1"/>
          <w:bCs w:val="1"/>
          <w:color w:val="0C0C0C"/>
        </w:rPr>
        <w:t>.</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00000"/>
        </w:rPr>
        <w:t>Bakkt Marketplace, LLC (“Bakkt Marketplace”) operates</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a platform provides consumers, businesses and institutions with the</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0C0C0C"/>
        </w:rPr>
        <w:t>ability to buy, sell and store crypto in a simple, intuitive digital experience accessed via application programming interfaces (“APIs”) or embedded web experience. We aim to enable businesses in various industries - such as fintechs, financial institutions and wallet providers - to provide their customers with the ability to transact in crypto directly in their trusted environments.</w:t>
      </w:r>
    </w:p>
    <w:p>
      <w:pPr>
        <w:spacing w:after="0" w:line="211" w:lineRule="exact"/>
        <w:rPr>
          <w:rFonts w:ascii="Arial" w:cs="Arial" w:eastAsia="Arial" w:hAnsi="Arial"/>
          <w:sz w:val="16"/>
          <w:szCs w:val="16"/>
          <w:color w:val="auto"/>
        </w:rPr>
      </w:pPr>
    </w:p>
    <w:p>
      <w:pPr>
        <w:ind w:left="660" w:hanging="328"/>
        <w:spacing w:after="0" w:line="291"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18"/>
          <w:szCs w:val="18"/>
          <w:b w:val="1"/>
          <w:bCs w:val="1"/>
          <w:i w:val="1"/>
          <w:iCs w:val="1"/>
          <w:color w:val="0C0C0C"/>
        </w:rPr>
        <w:t>Crypto Rewards</w:t>
      </w:r>
      <w:r>
        <w:rPr>
          <w:rFonts w:ascii="Arial" w:cs="Arial" w:eastAsia="Arial" w:hAnsi="Arial"/>
          <w:sz w:val="18"/>
          <w:szCs w:val="18"/>
          <w:b w:val="1"/>
          <w:bCs w:val="1"/>
          <w:color w:val="0C0C0C"/>
        </w:rPr>
        <w:t>.</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We are in the process of enabling customers of all sizes to offer loyalty and rewards to their customers in the form of crypto –</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either by earning crypto rewards, or by redeeming existing reward currencies, such as points or miles, into crypto.</w:t>
      </w:r>
    </w:p>
    <w:p>
      <w:pPr>
        <w:spacing w:after="0" w:line="215" w:lineRule="exact"/>
        <w:rPr>
          <w:rFonts w:ascii="Arial" w:cs="Arial" w:eastAsia="Arial" w:hAnsi="Arial"/>
          <w:sz w:val="22"/>
          <w:szCs w:val="22"/>
          <w:color w:val="auto"/>
        </w:rPr>
      </w:pPr>
    </w:p>
    <w:p>
      <w:pPr>
        <w:jc w:val="both"/>
        <w:ind w:left="660" w:hanging="328"/>
        <w:spacing w:after="0" w:line="279"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18"/>
          <w:szCs w:val="18"/>
          <w:b w:val="1"/>
          <w:bCs w:val="1"/>
          <w:i w:val="1"/>
          <w:iCs w:val="1"/>
          <w:color w:val="0C0C0C"/>
        </w:rPr>
        <w:t xml:space="preserve">Crypto Payouts. </w:t>
      </w:r>
      <w:r>
        <w:rPr>
          <w:rFonts w:ascii="Arial" w:cs="Arial" w:eastAsia="Arial" w:hAnsi="Arial"/>
          <w:sz w:val="18"/>
          <w:szCs w:val="18"/>
          <w:color w:val="0C0C0C"/>
        </w:rPr>
        <w:t>We are in the process of enabling consumers to automatically invest a portion of payments into crypto. Crypto payouts allow for</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new cases (for instance, for gig economy or marketplace participants such as freelancers, content providers, and delivery workers to receive their wages in crypto).</w:t>
      </w:r>
    </w:p>
    <w:p>
      <w:pPr>
        <w:spacing w:after="0" w:line="197"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8"/>
          <w:szCs w:val="18"/>
          <w:color w:val="231F20"/>
        </w:rPr>
        <w:t>Bakkt Trust is a limited-purpose trust company that operates, in conjunction with ICE, regulated infrastructure for trading, clearing, and custody services for physically-delivered bitcoin futures. Bakkt Marketplace holds a New York State virtual currency license, money transmitter licenses from all states throughout the U.S. where such licenses are required, and is registered as a money services business with the Financial Crimes Enforcement Network of the United States Department of the Treasury. Bakkt Trust’s custody solution provides support to Bakkt Marketplace with respect to Bitcoin and Ether functionalilty.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Loyalty</w:t>
      </w:r>
    </w:p>
    <w:p>
      <w:pPr>
        <w:spacing w:after="0" w:line="266" w:lineRule="exact"/>
        <w:rPr>
          <w:sz w:val="20"/>
          <w:szCs w:val="20"/>
          <w:color w:val="auto"/>
        </w:rPr>
      </w:pPr>
    </w:p>
    <w:p>
      <w:pPr>
        <w:ind w:left="640" w:hanging="308"/>
        <w:spacing w:after="0"/>
        <w:tabs>
          <w:tab w:leader="none" w:pos="640" w:val="left"/>
        </w:tabs>
        <w:numPr>
          <w:ilvl w:val="1"/>
          <w:numId w:val="68"/>
        </w:numPr>
        <w:rPr>
          <w:rFonts w:ascii="Arial" w:cs="Arial" w:eastAsia="Arial" w:hAnsi="Arial"/>
          <w:sz w:val="19"/>
          <w:szCs w:val="19"/>
          <w:color w:val="0C0C0C"/>
        </w:rPr>
      </w:pPr>
      <w:r>
        <w:rPr>
          <w:rFonts w:ascii="Arial" w:cs="Arial" w:eastAsia="Arial" w:hAnsi="Arial"/>
          <w:sz w:val="17"/>
          <w:szCs w:val="17"/>
          <w:color w:val="0C0C0C"/>
        </w:rPr>
        <w:t>We offer a full spectrum of content that customers can make available to their customers when redeeming loyalty currencies. Our redemption</w:t>
      </w:r>
    </w:p>
    <w:p>
      <w:pPr>
        <w:spacing w:after="0" w:line="38" w:lineRule="exact"/>
        <w:rPr>
          <w:rFonts w:ascii="Arial" w:cs="Arial" w:eastAsia="Arial" w:hAnsi="Arial"/>
          <w:sz w:val="19"/>
          <w:szCs w:val="19"/>
          <w:color w:val="0C0C0C"/>
        </w:rPr>
      </w:pPr>
    </w:p>
    <w:p>
      <w:pPr>
        <w:jc w:val="both"/>
        <w:ind w:left="660"/>
        <w:spacing w:after="0" w:line="325" w:lineRule="auto"/>
        <w:rPr>
          <w:rFonts w:ascii="Arial" w:cs="Arial" w:eastAsia="Arial" w:hAnsi="Arial"/>
          <w:sz w:val="19"/>
          <w:szCs w:val="19"/>
          <w:color w:val="0C0C0C"/>
        </w:rPr>
      </w:pPr>
      <w:r>
        <w:rPr>
          <w:rFonts w:ascii="Arial" w:cs="Arial" w:eastAsia="Arial" w:hAnsi="Arial"/>
          <w:sz w:val="16"/>
          <w:szCs w:val="16"/>
          <w:color w:val="0C0C0C"/>
        </w:rPr>
        <w:t>solutions span a variety of rewards categories including merchandise (such as Apple products and services), gift cards and digital experiences. Our travel solution offers a retail e-commerce booking platform, as well as live-agent booking and servicing. Our platform provides a unified shopping</w:t>
      </w:r>
    </w:p>
    <w:p>
      <w:pPr>
        <w:spacing w:after="0" w:line="1" w:lineRule="exact"/>
        <w:rPr>
          <w:rFonts w:ascii="Arial" w:cs="Arial" w:eastAsia="Arial" w:hAnsi="Arial"/>
          <w:sz w:val="19"/>
          <w:szCs w:val="19"/>
          <w:color w:val="0C0C0C"/>
        </w:rPr>
      </w:pPr>
    </w:p>
    <w:p>
      <w:pPr>
        <w:jc w:val="both"/>
        <w:ind w:left="660" w:right="20"/>
        <w:spacing w:after="0" w:line="303" w:lineRule="auto"/>
        <w:rPr>
          <w:rFonts w:ascii="Arial" w:cs="Arial" w:eastAsia="Arial" w:hAnsi="Arial"/>
          <w:sz w:val="19"/>
          <w:szCs w:val="19"/>
          <w:color w:val="0C0C0C"/>
        </w:rPr>
      </w:pPr>
      <w:r>
        <w:rPr>
          <w:rFonts w:ascii="Arial" w:cs="Arial" w:eastAsia="Arial" w:hAnsi="Arial"/>
          <w:sz w:val="18"/>
          <w:szCs w:val="18"/>
          <w:color w:val="0C0C0C"/>
        </w:rPr>
        <w:t>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w:t>
      </w:r>
    </w:p>
    <w:p>
      <w:pPr>
        <w:spacing w:after="0" w:line="157" w:lineRule="exact"/>
        <w:rPr>
          <w:rFonts w:ascii="Arial" w:cs="Arial" w:eastAsia="Arial" w:hAnsi="Arial"/>
          <w:sz w:val="19"/>
          <w:szCs w:val="19"/>
          <w:color w:val="0C0C0C"/>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a result of the VIH Business Combination, we evaluated if VIH or Opco was the predecessor for accounting purposes. In connection therewith, we considered the application of Rule 405 of Regulation C, the interpretive guidance of the staff of the SEC, including factors for registrants to consider in determining the predecessor, and analyzed the following: (1) the order in which the entities were acquired, (2) the size of the entities, (3) the fair value of the entities, (4)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the historical and ongoing management structure, and (5) how management discusses our business in this Form 10-K.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Refer to Note 4 for further discussion on the VIH Business Combination.</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9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We base our estimates on historical experience and various other assumptions that we believe to be reasonable under the circumstances.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and the impairment of intangible assets and goodwill, as well as fair market value of Opco common units, incentive units and participation units in the Predecessor period. Actual results may materially differ from management’s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have one operating and reportable segment. Operating segments are defined as components of an enterprise about which separate financial information is evaluated regularly by the chief operating decision maker, who is our chief executive officer (“CEO”), in deciding how to allocate resources and assessing performance. All material operations are within the United States. Our chief operating decision maker allocates resources and assesses performance based upon financial information at the consolidated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56" w:lineRule="exact"/>
        <w:rPr>
          <w:sz w:val="20"/>
          <w:szCs w:val="20"/>
          <w:color w:val="auto"/>
        </w:rPr>
      </w:pPr>
    </w:p>
    <w:p>
      <w:pPr>
        <w:jc w:val="both"/>
        <w:ind w:right="20" w:firstLine="648"/>
        <w:spacing w:after="0" w:line="395" w:lineRule="auto"/>
        <w:rPr>
          <w:sz w:val="20"/>
          <w:szCs w:val="20"/>
          <w:color w:val="auto"/>
        </w:rPr>
      </w:pPr>
      <w:r>
        <w:rPr>
          <w:rFonts w:ascii="Arial" w:cs="Arial" w:eastAsia="Arial" w:hAnsi="Arial"/>
          <w:sz w:val="16"/>
          <w:szCs w:val="16"/>
          <w:color w:val="auto"/>
        </w:rPr>
        <w:t>We consider all short-term, highly liquid investments with maturities from the purchase date of three months or less to be cash equivalents. Cash equivalents consists of amounts invested in money market funds of $0.2 million and $343.1 million as of December 31, 2022 and 2021, respectively.</w:t>
      </w:r>
    </w:p>
    <w:p>
      <w:pPr>
        <w:spacing w:after="0" w:line="1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classify all cash and cash equivalents that are not available for immediate or general business use as restricted. Restricted cash includes amounts set aside due to regulatory requirements. Refer to Note 13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Funds and Customer Funds Payable</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Customer funds represents fiat currency deposited in digital wallets. In accordance with state money transmitter laws, we may invest customer cash deposits in certain permissible investments. As of December 31, 2022, we had not made any such investments. We classify the assets as current since they are readily available for customer use with a corresponding customer funds payable liability.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Currencies and Foreign Currency Transactions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19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Transactions denominated in currencies other than the functional currency are remeasured based on the exchange rates at the time of the transaction. 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5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We classify rights to consideration in exchange for services or goods as accounts receivables.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$0.2 million and $0.2 million as of December 31, 2022 and 2021, respectively. There were no write-offs of receivables during the year ended December 31, 2022, and the periods from October 15, 2021 through December 31, 2021 and January 1, 2021 through October 14,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software are stated at cost, less accumulated depreciation and amortization.</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Costs related to software we develop or obtain for internal use are included in “Property, equipment and software, net”. Costs incurred during the preliminary or maintenance development stage are expensed, and costs incurred during the application development stage are capitalized and are amortized over the useful life of the software.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are computed using the straight-line method over the following estimated useful lives of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040" w:type="dxa"/>
            <w:vAlign w:val="bottom"/>
            <w:tcBorders>
              <w:right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14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October 15, 2021</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520" w:type="dxa"/>
            <w:vAlign w:val="bottom"/>
            <w:tcBorders>
              <w:right w:val="single" w:sz="8" w:color="auto"/>
            </w:tcBorders>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through</w:t>
            </w:r>
          </w:p>
        </w:tc>
        <w:tc>
          <w:tcPr>
            <w:tcW w:w="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1520" w:type="dxa"/>
            <w:vAlign w:val="bottom"/>
            <w:tcBorders>
              <w:right w:val="single" w:sz="8" w:color="auto"/>
            </w:tcBorders>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through October</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1"/>
                <w:szCs w:val="21"/>
                <w:color w:val="auto"/>
              </w:rPr>
            </w:pPr>
          </w:p>
        </w:tc>
        <w:tc>
          <w:tcPr>
            <w:tcW w:w="394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14, 2021</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 software</w:t>
            </w:r>
          </w:p>
        </w:tc>
        <w:tc>
          <w:tcPr>
            <w:tcW w:w="25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 years</w:t>
            </w:r>
          </w:p>
        </w:tc>
        <w:tc>
          <w:tcPr>
            <w:tcW w:w="15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3 years</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finance lease</w:t>
            </w:r>
          </w:p>
        </w:tc>
        <w:tc>
          <w:tcPr>
            <w:tcW w:w="25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2-5 years</w:t>
            </w:r>
          </w:p>
        </w:tc>
        <w:tc>
          <w:tcPr>
            <w:tcW w:w="1520" w:type="dxa"/>
            <w:vAlign w:val="bottom"/>
            <w:tcBorders>
              <w:right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2-5 years</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 years</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7-10 years</w:t>
            </w:r>
          </w:p>
        </w:tc>
        <w:tc>
          <w:tcPr>
            <w:tcW w:w="15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7-10 years</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7-10 years</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5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7 years</w:t>
            </w:r>
          </w:p>
        </w:tc>
        <w:tc>
          <w:tcPr>
            <w:tcW w:w="1520" w:type="dxa"/>
            <w:vAlign w:val="bottom"/>
            <w:tcBorders>
              <w:right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2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 years</w:t>
            </w:r>
          </w:p>
        </w:tc>
        <w:tc>
          <w:tcPr>
            <w:tcW w:w="15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3 years</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918"/>
        </w:trPr>
        <w:tc>
          <w:tcPr>
            <w:tcW w:w="4180" w:type="dxa"/>
            <w:vAlign w:val="bottom"/>
          </w:tcPr>
          <w:p>
            <w:pPr>
              <w:spacing w:after="0"/>
              <w:rPr>
                <w:sz w:val="24"/>
                <w:szCs w:val="24"/>
                <w:color w:val="auto"/>
              </w:rPr>
            </w:pPr>
          </w:p>
        </w:tc>
        <w:tc>
          <w:tcPr>
            <w:tcW w:w="2520" w:type="dxa"/>
            <w:vAlign w:val="bottom"/>
          </w:tcPr>
          <w:p>
            <w:pPr>
              <w:jc w:val="right"/>
              <w:ind w:right="830"/>
              <w:spacing w:after="0"/>
              <w:rPr>
                <w:sz w:val="20"/>
                <w:szCs w:val="20"/>
                <w:color w:val="auto"/>
              </w:rPr>
            </w:pPr>
            <w:r>
              <w:rPr>
                <w:rFonts w:ascii="Arial" w:cs="Arial" w:eastAsia="Arial" w:hAnsi="Arial"/>
                <w:sz w:val="18"/>
                <w:szCs w:val="18"/>
                <w:color w:val="auto"/>
              </w:rPr>
              <w:t>-94-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8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19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7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When determining lease term, we consider renewal options that are reasonably certain to exercise and termination options that are reasonably certain to not be exercised, in addition to the non-cancellable lease term.</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For operating leases, expense is generally recognized on a straight-line basis over the lease term and is recorded within “Selling, general and administrative”.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and amortization of right-of-use assets is recorded within “Depreciation and amortization”.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$11.5 million, $1.2 million and $3.6 million related to long-lived assets during the year ended December 31, 2022, and the periods from October 15, 2021 through December 31, 2021 and January 1, 2021 through October 14, 2021, respectively. Refer to Note 6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7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recognizes that the assumptions are inherently uncertain.</w:t>
      </w:r>
    </w:p>
    <w:p>
      <w:pPr>
        <w:spacing w:after="0" w:line="17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For business combinations effected through a common control transaction, we measure the recognized net assets of the acquiree at the carrying amounts of the net assets previously recognized by our related party. We reflect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operations of entities acquired through a common control transaction in our financial statements as of the first date in the reporting period or as of the date that the entity was acquired by our related party, as applicable.</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acquisition-related costs, other than the costs to issue debt or equity securities, are accounted for as expenses in the period in which they 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 xml:space="preserve">Goodwill and intangible assets that have indefinite useful lives are accounted for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7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recorded $1,822.1 million of impairment charges related to goodwill and other intangible assets during the year ended December 31, 2022. We did not record any impairment charges related to goodwill and other intangible assets during the periods from October 15, 2021 through December 31, 2021 and January 1, 2021 through October 14, 2021. Refer to Note 5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We recognize revenue when we transfer promised goods or services to customers in an amount that reflects the consideration to which we expect to be entitled in exchange for those goods or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 Services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Crypto Services revenues are derived from our custody services, our crypto marketplace and the Triparty agreement,.</w:t>
      </w:r>
    </w:p>
    <w:p>
      <w:pPr>
        <w:spacing w:after="0" w:line="248" w:lineRule="exact"/>
        <w:rPr>
          <w:sz w:val="20"/>
          <w:szCs w:val="20"/>
          <w:color w:val="auto"/>
        </w:rPr>
      </w:pPr>
    </w:p>
    <w:p>
      <w:pPr>
        <w:jc w:val="both"/>
        <w:ind w:right="20" w:firstLine="648"/>
        <w:spacing w:after="0" w:line="367" w:lineRule="auto"/>
        <w:rPr>
          <w:sz w:val="20"/>
          <w:szCs w:val="20"/>
          <w:color w:val="auto"/>
        </w:rPr>
      </w:pPr>
      <w:r>
        <w:rPr>
          <w:rFonts w:ascii="Arial" w:cs="Arial" w:eastAsia="Arial" w:hAnsi="Arial"/>
          <w:sz w:val="16"/>
          <w:szCs w:val="16"/>
          <w:b w:val="1"/>
          <w:bCs w:val="1"/>
          <w:color w:val="auto"/>
        </w:rPr>
        <w:t xml:space="preserve">Custody: </w:t>
      </w:r>
      <w:r>
        <w:rPr>
          <w:rFonts w:ascii="Arial" w:cs="Arial" w:eastAsia="Arial" w:hAnsi="Arial"/>
          <w:sz w:val="16"/>
          <w:szCs w:val="16"/>
          <w:color w:val="auto"/>
        </w:rPr>
        <w:t>For customers with custody accounts related to physically-delivered bitcoin futures contracts and options contracts (collectively, “PDF</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we do not charge a fee specifically for the custody service. For customers using custody services on a standalone basis, we charge a fee, which is generally based on a fixed fee and represents fixed consideration. We invoice customers on a quarterly basis. Our performance obligation related to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storage and custody of a customer’s cryptoasset represents an obligation to provide custody services for crypto. The contract for custodial services may be terminated by the applicable institution or high net worth individual at any time upon final withdrawal of all crypto, without incurring a penalty. As a result, we believe our contracts represent day-to-day contracts with each day representing a renewal. These renewals are priced consistently with the original contract and with other similar customers and as such, we do not believe that they represent a material right.</w:t>
      </w:r>
    </w:p>
    <w:p>
      <w:pPr>
        <w:spacing w:after="0" w:line="16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“Net revenues” in the statements of operations.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Revenue from our custody services is included in “Subscription and services revenue” in the disaggregation of revenue by service type table within Note 3.</w:t>
      </w:r>
    </w:p>
    <w:p>
      <w:pPr>
        <w:spacing w:after="0" w:line="18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0C0C0C"/>
        </w:rPr>
        <w:t>Crypto</w:t>
      </w:r>
      <w:r>
        <w:rPr>
          <w:rFonts w:ascii="Arial" w:cs="Arial" w:eastAsia="Arial" w:hAnsi="Arial"/>
          <w:sz w:val="18"/>
          <w:szCs w:val="18"/>
          <w:b w:val="1"/>
          <w:bCs w:val="1"/>
          <w:color w:val="000000"/>
        </w:rPr>
        <w:t>:</w:t>
      </w:r>
      <w:r>
        <w:rPr>
          <w:rFonts w:ascii="Arial" w:cs="Arial" w:eastAsia="Arial" w:hAnsi="Arial"/>
          <w:sz w:val="18"/>
          <w:szCs w:val="18"/>
          <w:b w:val="1"/>
          <w:bCs w:val="1"/>
          <w:color w:val="0C0C0C"/>
        </w:rPr>
        <w:t xml:space="preserve"> </w:t>
      </w:r>
      <w:r>
        <w:rPr>
          <w:rFonts w:ascii="Arial" w:cs="Arial" w:eastAsia="Arial" w:hAnsi="Arial"/>
          <w:sz w:val="18"/>
          <w:szCs w:val="18"/>
          <w:color w:val="000000"/>
        </w:rPr>
        <w:t>Crypto services platform revenues are transaction fees earned by Bakkt Marketplace. As part of our operation of the crypto services</w:t>
      </w:r>
      <w:r>
        <w:rPr>
          <w:rFonts w:ascii="Arial" w:cs="Arial" w:eastAsia="Arial" w:hAnsi="Arial"/>
          <w:sz w:val="18"/>
          <w:szCs w:val="18"/>
          <w:b w:val="1"/>
          <w:bCs w:val="1"/>
          <w:color w:val="0C0C0C"/>
        </w:rPr>
        <w:t xml:space="preserve"> </w:t>
      </w:r>
      <w:r>
        <w:rPr>
          <w:rFonts w:ascii="Arial" w:cs="Arial" w:eastAsia="Arial" w:hAnsi="Arial"/>
          <w:sz w:val="18"/>
          <w:szCs w:val="18"/>
          <w:color w:val="000000"/>
        </w:rPr>
        <w:t>platform, we transact in bitcoin and ether with consumers. Consumer crypto transactions were not material for year ended December 31, 2022 and for the periods from October 15, 2021 through December 31, 2021 and January 1, 2021 through October 14, 2021.</w:t>
      </w:r>
    </w:p>
    <w:p>
      <w:pPr>
        <w:spacing w:after="0" w:line="17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Additionally, as part of our operation of the crypto platform, we transact in crypto with our trading clients in order to adjust our cryptoasset inventory based on actual consumer activity to maintain an inventory consistent with our inventory policy. Transactions in crypto with our trading clients in the normal course of business were not material for the year ended December 31, 2022 and for the periods from October 15, 2021 through December 31, 2021 and January 1, 2021 through October 14, 2021.</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We maintain an inventory reserve of crypto to facilitate consumer transactions if needed. We may adjust our inventory reserve levels under our inventory policy. Sales of crypto resulting from inventory reserve adjustments are not part of our normal course of business. Accordingly, proceeds from the sale of crypto outside of the normal course of business are included in “Other income (expense), net,” net of the cost of cryptoasset sold, in the statements of operations. We did not recognize any income from the sale of crypto during the year ended December 31, 2022 or the period from October 15, 2021 through December 31, 2021. We recognized income from the sale of crypto, net of the cost of crypto sold, of $1.0 million for period from January 1, 2021 through October 14, 2021.</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7"/>
          <w:szCs w:val="17"/>
          <w:b w:val="1"/>
          <w:bCs w:val="1"/>
          <w:color w:val="auto"/>
        </w:rPr>
        <w:t xml:space="preserve">Triparty Agreement: </w:t>
      </w:r>
      <w:r>
        <w:rPr>
          <w:rFonts w:ascii="Arial" w:cs="Arial" w:eastAsia="Arial" w:hAnsi="Arial"/>
          <w:sz w:val="17"/>
          <w:szCs w:val="17"/>
          <w:color w:val="auto"/>
        </w:rPr>
        <w:t>The Digital Currency Trading, Clearing, and Warehouse Services Agreement with ICE Futures U.S., Inc. (“IFUS”) and ICE</w:t>
      </w:r>
      <w:r>
        <w:rPr>
          <w:rFonts w:ascii="Arial" w:cs="Arial" w:eastAsia="Arial" w:hAnsi="Arial"/>
          <w:sz w:val="17"/>
          <w:szCs w:val="17"/>
          <w:b w:val="1"/>
          <w:bCs w:val="1"/>
          <w:color w:val="auto"/>
        </w:rPr>
        <w:t xml:space="preserve"> </w:t>
      </w:r>
      <w:r>
        <w:rPr>
          <w:rFonts w:ascii="Arial" w:cs="Arial" w:eastAsia="Arial" w:hAnsi="Arial"/>
          <w:sz w:val="17"/>
          <w:szCs w:val="17"/>
          <w:color w:val="auto"/>
        </w:rPr>
        <w:t>Clear US, Inc. (“ICUS”) (the “Triparty Agreement”) governs the trading, clearing and custody services for PDF Contracts. We have concluded that we have a single performance obligation to provide a stand-ready custody function that supports the trading and clearing services provided by IFUS and ICUS, respectively. We have concluded that the related activities that collectively comprise this single performance obligation are not separately identifiable within the context of the Triparty Agreement, as all are necessary in order for IFUS and ICUS to offer PDF Contracts.</w:t>
      </w:r>
    </w:p>
    <w:p>
      <w:pPr>
        <w:spacing w:after="0" w:line="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consider the transaction price to be the net transaction fee received from IFUS and ICUS or paid to IFUS and ICUS. Rebates offered by IFUS to support market liquidity and trading volume represent consideration payable to a customer and reduce the transaction price; as such, these rebates are included in “Net revenues”. Because these rebates are measured and resolved within the same reporting period, it is not necessary for us to estimate these at a given reporting period date.</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determine the obligation period associated with Triparty Agreement revenue using the portfolio method based on our historical transaction experience. Therefore, we recognize revenue for the stand-ready custody services that we provide to IFUS and ICUS on a straight-line basis over the average performance obligation period, which is less than one month.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We also recognize a capital contribution for the cost of the trading and clearing services provided by IFUS and ICUS pursuant to the Contribution Agreement, which reduces the revenue recognized as part of the net transaction fee. See Note 10 for more information.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from the Triparty Agreement is included in “Transaction revenue, net” in the disaggregation of revenue by service type table within Note</w:t>
      </w:r>
    </w:p>
    <w:p>
      <w:pPr>
        <w:spacing w:after="0" w:line="73" w:lineRule="exact"/>
        <w:rPr>
          <w:sz w:val="20"/>
          <w:szCs w:val="20"/>
          <w:color w:val="auto"/>
        </w:rPr>
      </w:pPr>
    </w:p>
    <w:p>
      <w:pPr>
        <w:ind w:firstLine="8"/>
        <w:spacing w:after="0" w:line="308" w:lineRule="auto"/>
        <w:tabs>
          <w:tab w:leader="none" w:pos="2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Revenue from the Triparty Agreement was not material during the year ended December 31, 2022 or the periods from October 15, 2021 through December 31, 2021 and January 1, 2021 through October 14,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redemption platform</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contracts related to our loyalty redemption platform consist of two performance obligations: (1) access to our </w:t>
      </w:r>
      <w:r>
        <w:rPr>
          <w:rFonts w:ascii="Arial" w:cs="Arial" w:eastAsia="Arial" w:hAnsi="Arial"/>
          <w:sz w:val="18"/>
          <w:szCs w:val="18"/>
          <w:color w:val="0C0C0C"/>
        </w:rPr>
        <w:t>software as a service</w:t>
      </w:r>
      <w:r>
        <w:rPr>
          <w:rFonts w:ascii="Arial" w:cs="Arial" w:eastAsia="Arial" w:hAnsi="Arial"/>
          <w:sz w:val="18"/>
          <w:szCs w:val="18"/>
          <w:color w:val="auto"/>
        </w:rPr>
        <w:t xml:space="preserve"> </w:t>
      </w:r>
      <w:r>
        <w:rPr>
          <w:rFonts w:ascii="Arial" w:cs="Arial" w:eastAsia="Arial" w:hAnsi="Arial"/>
          <w:sz w:val="18"/>
          <w:szCs w:val="18"/>
          <w:color w:val="0C0C0C"/>
        </w:rPr>
        <w:t>(“SaaS”)</w:t>
      </w:r>
      <w:r>
        <w:rPr>
          <w:rFonts w:ascii="Arial" w:cs="Arial" w:eastAsia="Arial" w:hAnsi="Arial"/>
          <w:sz w:val="18"/>
          <w:szCs w:val="18"/>
          <w:color w:val="000000"/>
        </w:rPr>
        <w:t>-based redemption platform and customer support services and (2) facilitation of order fulfillment services. We are the principal related to</w:t>
      </w:r>
      <w:r>
        <w:rPr>
          <w:rFonts w:ascii="Arial" w:cs="Arial" w:eastAsia="Arial" w:hAnsi="Arial"/>
          <w:sz w:val="18"/>
          <w:szCs w:val="18"/>
          <w:color w:val="0C0C0C"/>
        </w:rPr>
        <w:t xml:space="preserve"> </w:t>
      </w:r>
      <w:r>
        <w:rPr>
          <w:rFonts w:ascii="Arial" w:cs="Arial" w:eastAsia="Arial" w:hAnsi="Arial"/>
          <w:sz w:val="18"/>
          <w:szCs w:val="18"/>
          <w:color w:val="000000"/>
        </w:rPr>
        <w:t>providing access to our redemption platform. We are acting as the agent to facilitate order fulfillment services on behalf of the loyalty program sponsor. Revenues generated from our loyalty redemption platform are included in “Net revenues” in the consolidated statements of operations and include the following:</w:t>
      </w:r>
    </w:p>
    <w:p>
      <w:pPr>
        <w:spacing w:after="0" w:line="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Platform subscription fees: </w:t>
      </w:r>
      <w:r>
        <w:rPr>
          <w:rFonts w:ascii="Arial" w:cs="Arial" w:eastAsia="Arial" w:hAnsi="Arial"/>
          <w:sz w:val="16"/>
          <w:szCs w:val="16"/>
          <w:color w:val="auto"/>
        </w:rPr>
        <w:t>Monthly fixed fee charged to customers to access the redemption platform and receive customer support services.</w:t>
      </w:r>
    </w:p>
    <w:p>
      <w:pPr>
        <w:spacing w:after="0" w:line="76" w:lineRule="exact"/>
        <w:rPr>
          <w:rFonts w:ascii="Arial" w:cs="Arial" w:eastAsia="Arial" w:hAnsi="Arial"/>
          <w:sz w:val="16"/>
          <w:szCs w:val="16"/>
          <w:color w:val="auto"/>
        </w:rPr>
      </w:pPr>
    </w:p>
    <w:p>
      <w:pPr>
        <w:jc w:val="both"/>
        <w:ind w:left="660"/>
        <w:spacing w:after="0" w:line="301" w:lineRule="auto"/>
        <w:rPr>
          <w:rFonts w:ascii="Arial" w:cs="Arial" w:eastAsia="Arial" w:hAnsi="Arial"/>
          <w:sz w:val="16"/>
          <w:szCs w:val="16"/>
          <w:color w:val="auto"/>
        </w:rPr>
      </w:pPr>
      <w:r>
        <w:rPr>
          <w:rFonts w:ascii="Arial" w:cs="Arial" w:eastAsia="Arial" w:hAnsi="Arial"/>
          <w:sz w:val="18"/>
          <w:szCs w:val="18"/>
          <w:color w:val="auto"/>
        </w:rPr>
        <w:t>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spacing w:after="0" w:line="64"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Transaction fees: </w:t>
      </w:r>
      <w:r>
        <w:rPr>
          <w:rFonts w:ascii="Arial" w:cs="Arial" w:eastAsia="Arial" w:hAnsi="Arial"/>
          <w:sz w:val="16"/>
          <w:szCs w:val="16"/>
          <w:color w:val="auto"/>
        </w:rPr>
        <w:t>Transaction fees are earned for most transactions processed through our platform. These fees are allocated to our performance</w:t>
      </w:r>
    </w:p>
    <w:p>
      <w:pPr>
        <w:spacing w:after="0" w:line="76" w:lineRule="exact"/>
        <w:rPr>
          <w:rFonts w:ascii="Arial" w:cs="Arial" w:eastAsia="Arial" w:hAnsi="Arial"/>
          <w:sz w:val="16"/>
          <w:szCs w:val="16"/>
          <w:color w:val="auto"/>
        </w:rPr>
      </w:pPr>
    </w:p>
    <w:p>
      <w:pPr>
        <w:jc w:val="both"/>
        <w:ind w:left="660" w:right="20"/>
        <w:spacing w:after="0" w:line="303" w:lineRule="auto"/>
        <w:rPr>
          <w:rFonts w:ascii="Arial" w:cs="Arial" w:eastAsia="Arial" w:hAnsi="Arial"/>
          <w:sz w:val="16"/>
          <w:szCs w:val="16"/>
          <w:color w:val="auto"/>
        </w:rPr>
      </w:pPr>
      <w:r>
        <w:rPr>
          <w:rFonts w:ascii="Arial" w:cs="Arial" w:eastAsia="Arial" w:hAnsi="Arial"/>
          <w:sz w:val="18"/>
          <w:szCs w:val="18"/>
          <w:color w:val="auto"/>
        </w:rPr>
        <w:t>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62" w:lineRule="exact"/>
        <w:rPr>
          <w:rFonts w:ascii="Arial" w:cs="Arial" w:eastAsia="Arial" w:hAnsi="Arial"/>
          <w:sz w:val="16"/>
          <w:szCs w:val="16"/>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Revenue share fees: </w:t>
      </w:r>
      <w:r>
        <w:rPr>
          <w:rFonts w:ascii="Arial" w:cs="Arial" w:eastAsia="Arial" w:hAnsi="Arial"/>
          <w:sz w:val="16"/>
          <w:szCs w:val="16"/>
          <w:color w:val="auto"/>
        </w:rPr>
        <w:t>We are entitled to revenue share fees in the form of rebates from third-party commerce merchants and other clients which</w:t>
      </w:r>
    </w:p>
    <w:p>
      <w:pPr>
        <w:spacing w:after="0" w:line="76" w:lineRule="exact"/>
        <w:rPr>
          <w:rFonts w:ascii="Arial" w:cs="Arial" w:eastAsia="Arial" w:hAnsi="Arial"/>
          <w:sz w:val="16"/>
          <w:szCs w:val="16"/>
          <w:color w:val="auto"/>
        </w:rPr>
      </w:pPr>
    </w:p>
    <w:p>
      <w:pPr>
        <w:ind w:left="660" w:right="20"/>
        <w:spacing w:after="0" w:line="377" w:lineRule="auto"/>
        <w:rPr>
          <w:rFonts w:ascii="Arial" w:cs="Arial" w:eastAsia="Arial" w:hAnsi="Arial"/>
          <w:sz w:val="16"/>
          <w:szCs w:val="16"/>
          <w:color w:val="auto"/>
        </w:rPr>
      </w:pPr>
      <w:r>
        <w:rPr>
          <w:rFonts w:ascii="Arial" w:cs="Arial" w:eastAsia="Arial" w:hAnsi="Arial"/>
          <w:sz w:val="16"/>
          <w:szCs w:val="16"/>
          <w:color w:val="auto"/>
        </w:rPr>
        <w:t>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spacing w:after="0" w:line="25" w:lineRule="exact"/>
        <w:rPr>
          <w:rFonts w:ascii="Arial" w:cs="Arial" w:eastAsia="Arial" w:hAnsi="Arial"/>
          <w:sz w:val="16"/>
          <w:szCs w:val="16"/>
          <w:color w:val="auto"/>
        </w:rPr>
      </w:pPr>
    </w:p>
    <w:p>
      <w:pPr>
        <w:jc w:val="both"/>
        <w:ind w:left="660" w:hanging="328"/>
        <w:spacing w:after="0" w:line="328"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Service fees: </w:t>
      </w:r>
      <w:r>
        <w:rPr>
          <w:rFonts w:ascii="Arial" w:cs="Arial" w:eastAsia="Arial" w:hAnsi="Arial"/>
          <w:sz w:val="16"/>
          <w:szCs w:val="16"/>
          <w:color w:val="auto"/>
        </w:rPr>
        <w:t>We earn fees for certain software development activities associated with the implementation of new customers on our loyalty</w:t>
      </w:r>
      <w:r>
        <w:rPr>
          <w:rFonts w:ascii="Arial" w:cs="Arial" w:eastAsia="Arial" w:hAnsi="Arial"/>
          <w:sz w:val="16"/>
          <w:szCs w:val="16"/>
          <w:b w:val="1"/>
          <w:bCs w:val="1"/>
          <w:color w:val="auto"/>
        </w:rPr>
        <w:t xml:space="preserve"> </w:t>
      </w:r>
      <w:r>
        <w:rPr>
          <w:rFonts w:ascii="Arial" w:cs="Arial" w:eastAsia="Arial" w:hAnsi="Arial"/>
          <w:sz w:val="16"/>
          <w:szCs w:val="16"/>
          <w:color w:val="auto"/>
        </w:rPr>
        <w:t>redemption platform and other development activities if a customer requests that we customize certain features and functionalities for their loyalty</w:t>
      </w: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auto"/>
        </w:rPr>
        <w:t>program. We also earn fees for providing call center services for customers. We recognize revenue from software development activities on a straight-line basis, beginning when the internally developed software resulting from such implementation or other development activities are</w:t>
      </w:r>
    </w:p>
    <w:p>
      <w:pPr>
        <w:spacing w:after="0" w:line="1" w:lineRule="exact"/>
        <w:rPr>
          <w:rFonts w:ascii="Arial" w:cs="Arial" w:eastAsia="Arial" w:hAnsi="Arial"/>
          <w:sz w:val="16"/>
          <w:szCs w:val="16"/>
          <w:color w:val="auto"/>
        </w:rPr>
      </w:pP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auto"/>
        </w:rPr>
        <w:t>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w:t>
      </w:r>
    </w:p>
    <w:p>
      <w:pPr>
        <w:spacing w:after="0" w:line="1"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activities are performed. We recognize deferred revenue when all such fees are billed. We recognize revenue from call center services in the period in which we provide such services. Revenue from our services fees is included in “Subscription and services revenue” in the disaggregation of revenue table by service type in Note 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the following practical expedients under ASC 606:</w:t>
      </w:r>
    </w:p>
    <w:p>
      <w:pPr>
        <w:spacing w:after="0" w:line="14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Assessing the performance obligation period for Triparty Agreement transactions on a portfolio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Excluding sales taxes from the measurement of the transaction price;</w:t>
      </w:r>
    </w:p>
    <w:p>
      <w:pPr>
        <w:spacing w:after="0" w:line="144"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adjusting the transaction price for the existence of a significant financing component if the timing difference between a customer’s payment and our performance is one year or less;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 providing disclosures about the transaction price allocated to unsatisfied performance obligations for contracts with a duration of one year or</w:t>
      </w:r>
    </w:p>
    <w:p>
      <w:pPr>
        <w:spacing w:after="0" w:line="72"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less or when the consideration is variable and allocated entirely to a wholly unsatisfied performance obligation or a wholly unsatisfied promise to transfer a distinct good or service that forms part of a single performance obligation.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Additionally, we have elected the practical expedient under ASC 340-40 to not capitalize incremental costs to obtain a contract with a customer if the amortization period would have been one year or less.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3 for additional disclosures related to our recognition of revenue.</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color w:val="auto"/>
        </w:rPr>
        <w:t xml:space="preserve">Safeguarding obligation for crypto: </w:t>
      </w:r>
      <w:r>
        <w:rPr>
          <w:rFonts w:ascii="Arial" w:cs="Arial" w:eastAsia="Arial" w:hAnsi="Arial"/>
          <w:sz w:val="18"/>
          <w:szCs w:val="18"/>
          <w:color w:val="auto"/>
        </w:rPr>
        <w:t>On March 31, 2022, the Securities and Exchange Commission issued Staff Accounting Bulletin (“SAB”) Number</w:t>
      </w:r>
      <w:r>
        <w:rPr>
          <w:rFonts w:ascii="Arial" w:cs="Arial" w:eastAsia="Arial" w:hAnsi="Arial"/>
          <w:sz w:val="18"/>
          <w:szCs w:val="18"/>
          <w:b w:val="1"/>
          <w:bCs w:val="1"/>
          <w:color w:val="auto"/>
        </w:rPr>
        <w:t xml:space="preserve"> </w:t>
      </w:r>
      <w:r>
        <w:rPr>
          <w:rFonts w:ascii="Arial" w:cs="Arial" w:eastAsia="Arial" w:hAnsi="Arial"/>
          <w:sz w:val="18"/>
          <w:szCs w:val="18"/>
          <w:color w:val="auto"/>
        </w:rPr>
        <w:t>121 (“SAB 121”), which provides the SEC staff’s view that it would be appropriate for an entity that has an obligation to safeguard crypto held for platform users to record a liability and corresponding asset on its balance sheet at the fair value of the crypto. We adopted the guidance in SAB 121 during the quarter ended June 30, 2022.</w:t>
      </w:r>
    </w:p>
    <w:p>
      <w:pPr>
        <w:spacing w:after="0" w:line="19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provide bitcoin and ether custody services for our consumer platform users and for standalone custody customers. We do not own crypto held in a custodial capacity on behalf of our customers. We hold the cryptographic key information on behalf of our custodial customers. We also maintain the internal recordkeeping of those assets and are obligated to safeguard the assets and protect them from loss or theft.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4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25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Compensation and benefits expense primarily consists of salaries and wages, bonuses, contract labor fees, share-based compensation, unit-based compensation, payroll taxes and benefits associated with the compensation of our employees, excluding the accelerated unit-based compensation discussed in “Acquisition-related expenses,” and any contract labor not capitalized.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8"/>
          <w:szCs w:val="18"/>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Professional services expenses consist of costs associated with audit, tax, legal and other professional services and are recognized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Communication</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Technology and communication expenses include costs incurred in operating and maintaining our platform, including software licenses, software maintenance and support, hosting and infrastructure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Selling, general and administrative expenses consist primarily of costs associated with advertising, marketing, insurance and rent. Advertising costs are expensed as incurred. Total advertising costs for the year ended December 31, 2022 and for the periods from October 15, 2021 through December 31, 2021 and January 1, 2021 through October 14, 2021, were $8.8 million, $2.6 million and $16.2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Expenses</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incur incremental costs relating to acquisitions and other strategic opportunities. This includes fees for investment banking advisors, lawyers, accountants, tax advisors and public relations firms, as well as costs associated with other external costs directly related to the proposed or closed transactions. See Note 4 for additional information related to acquisition-related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Share-based compensation expense relates to the restricted stock units (“RSUs”) and performance stock units (“PSUs”) granted during the Successor period. Our RSUs and PSUs are measured at fair value on the date of grant and recognized as expense in “Compensation and benefits”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 of the probable outcome of the performance conditions at each reporting period. The fair value of our RSUs and PSUs is determined as the closing price of our Class A common stock on the date of grant. We account for forfeitures as they occur. See Note 11 for additional information about share-based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w:t>
      </w:r>
    </w:p>
    <w:p>
      <w:pPr>
        <w:spacing w:after="0" w:line="25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Successor period unit-based compensation expense relates to the replacement common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consolidated statements of operations over the requisite service period. A portion of the prior year Successor period expense relates to the acceleration of compensation expense given the satisfaction of non-substantive service obligations upon the Closing Date for certain participation units. Additionally, we recognize variable compensation expense for liability-classified participation units based on changes to the fair value of the awards at each reporting date. We account for forfeitures as they occur. Any cancellations of common incentive units due to clawbacks or similar provisions are recognized in “Other income (expense), net” at the lesser of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recognized compensation cost associated with the unit-based payment arrangement or the fair value of the consideration received.</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Predecessor period unit-based compensation expense related to incentive units and participation units granted to employees and was measured at fair value on the date of grant and recognized as expense in “Compensation and benefits”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We accounted for forfeitures in the Predecessor period as they occurred. See Note 11 for additional information about unit-based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Accounting</w:t>
      </w:r>
    </w:p>
    <w:p>
      <w:pPr>
        <w:spacing w:after="0" w:line="270"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6"/>
          <w:szCs w:val="16"/>
          <w:color w:val="auto"/>
        </w:rPr>
        <w:t xml:space="preserve">We account for our Class A common stock warrants in accordance with applicable accounting guidance provided in ASC Topic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Hedging—Contracts in Entity’s Own Equity</w:t>
      </w:r>
      <w:r>
        <w:rPr>
          <w:rFonts w:ascii="Arial" w:cs="Arial" w:eastAsia="Arial" w:hAnsi="Arial"/>
          <w:sz w:val="16"/>
          <w:szCs w:val="16"/>
          <w:color w:val="auto"/>
        </w:rPr>
        <w:t>, as either derivative liabilities or as equity instruments depending on the specific terms of the warrant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w:t>
      </w:r>
    </w:p>
    <w:p>
      <w:pPr>
        <w:spacing w:after="0" w:line="2" w:lineRule="exact"/>
        <w:rPr>
          <w:sz w:val="20"/>
          <w:szCs w:val="20"/>
          <w:color w:val="auto"/>
        </w:rPr>
      </w:pPr>
    </w:p>
    <w:p>
      <w:pPr>
        <w:jc w:val="both"/>
        <w:ind w:firstLine="8"/>
        <w:spacing w:after="0" w:line="303"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See Note 9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70"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 redemptions or direct exchanges or Opco Common Units by the noncontrolling members of Opco will result in a change in ownership and reduce the amount recorded as noncontrolling interest and increase additional paid-in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assets and liabilities on a net basis on the consolidated balance sheets. We recognize interest and penalties related to uncertain tax positions in income tax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 xml:space="preserve">We account for our financial assets and liabilities that are recognized and/or disclosed at fair value on a recurring basis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for identical assets or liabilities in active markets.</w:t>
      </w:r>
    </w:p>
    <w:p>
      <w:pPr>
        <w:spacing w:after="0" w:line="252" w:lineRule="exact"/>
        <w:rPr>
          <w:sz w:val="20"/>
          <w:szCs w:val="20"/>
          <w:color w:val="auto"/>
        </w:rPr>
      </w:pPr>
    </w:p>
    <w:p>
      <w:pPr>
        <w:jc w:val="both"/>
        <w:ind w:left="660"/>
        <w:spacing w:after="0" w:line="301" w:lineRule="auto"/>
        <w:rPr>
          <w:sz w:val="20"/>
          <w:szCs w:val="20"/>
          <w:color w:val="auto"/>
        </w:rPr>
      </w:pPr>
      <w:r>
        <w:rPr>
          <w:rFonts w:ascii="Arial" w:cs="Arial" w:eastAsia="Arial" w:hAnsi="Arial"/>
          <w:sz w:val="18"/>
          <w:szCs w:val="18"/>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77" w:lineRule="exact"/>
        <w:rPr>
          <w:sz w:val="20"/>
          <w:szCs w:val="20"/>
          <w:color w:val="auto"/>
        </w:rPr>
      </w:pPr>
    </w:p>
    <w:p>
      <w:pPr>
        <w:jc w:val="both"/>
        <w:ind w:left="660"/>
        <w:spacing w:after="0" w:line="324" w:lineRule="auto"/>
        <w:rPr>
          <w:sz w:val="20"/>
          <w:szCs w:val="20"/>
          <w:color w:val="auto"/>
        </w:rPr>
      </w:pPr>
      <w:r>
        <w:rPr>
          <w:rFonts w:ascii="Arial" w:cs="Arial" w:eastAsia="Arial" w:hAnsi="Arial"/>
          <w:sz w:val="18"/>
          <w:szCs w:val="18"/>
          <w:color w:val="auto"/>
        </w:rPr>
        <w:t>Level 3 — Unobservable inputs reflecting our view about the assumptions that market participants would use in measuring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2022, and 2021, three customer balances represented approximately 65% and 53%, respectively, of total accounts receivable.</w:t>
      </w:r>
    </w:p>
    <w:p>
      <w:pPr>
        <w:spacing w:after="0" w:line="2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For the year ended December 31, 2022 and for the periods from October 15, 2021 through December 31, 2021 and January 1, 2021 through October 14, 2021, our top three customers represented approximately 52%, 46% and 55%, respectively, of total revenue. Three customers, that each represented over 10% of our net revenue, combined to account for net revenue of $28.6 million during the year ended December 31, 2022. Five customers, that each represented over 10% of our net revenue, combined to account for net revenue of $7.8 million during the period from October 15, 2021 through December 31, 2021. Three customers, that each represented over 10% of our net revenue, combined to account for net revenue of $15.3 million during the period from January 1, 2021 through October 14,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We were required to hold shares of Intercontinental Exchange, Inc. (“ICE”) stock for ICUS membership privileges prior to the withdrawal of our ICUS membership on May 20, 2020. These shares were carried at cost basis and evaluated periodically for impairment. Upon withdrawal of its ICUS membership, these shares were remeasured at fair value, with realized and unrealized gains and losses being reflected as “Other income (expense), net”. In June 2021, we sold all of our shares of ICE stock, resulting in a realized loss on the sale of shares of affiliate stock of $0.1 million for the period from January 1, 2021 through October 14, 2021.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We classify our investments in debt securities as available-for-sale investments. Debt securities consist of U.S. Treasury debt securities. These investments are held in the custody of a major financial institution.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Investments are classified as current or non-current depending on their maturity dates and when they are expected to be converted into cash.</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vMerge w:val="restart"/>
          </w:tcPr>
          <w:p>
            <w:pPr>
              <w:ind w:left="1060"/>
              <w:spacing w:after="0"/>
              <w:rPr>
                <w:sz w:val="20"/>
                <w:szCs w:val="20"/>
                <w:color w:val="auto"/>
              </w:rPr>
            </w:pPr>
            <w:r>
              <w:rPr>
                <w:rFonts w:ascii="Arial" w:cs="Arial" w:eastAsia="Arial" w:hAnsi="Arial"/>
                <w:sz w:val="18"/>
                <w:szCs w:val="18"/>
                <w:b w:val="1"/>
                <w:bCs w:val="1"/>
                <w:color w:val="auto"/>
              </w:rPr>
              <w:t>Standard/Description</w:t>
            </w:r>
          </w:p>
        </w:tc>
        <w:tc>
          <w:tcPr>
            <w:tcW w:w="37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Effective Date and Adoption</w:t>
            </w:r>
          </w:p>
        </w:tc>
        <w:tc>
          <w:tcPr>
            <w:tcW w:w="3760" w:type="dxa"/>
            <w:vAlign w:val="bottom"/>
            <w:tcBorders>
              <w:top w:val="single" w:sz="8" w:color="auto"/>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Effect on Financial Statements</w:t>
            </w: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right w:val="single" w:sz="8" w:color="auto"/>
            </w:tcBorders>
            <w:vMerge w:val="continue"/>
          </w:tcPr>
          <w:p>
            <w:pPr>
              <w:spacing w:after="0"/>
              <w:rPr>
                <w:sz w:val="12"/>
                <w:szCs w:val="12"/>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Considerations</w:t>
            </w:r>
          </w:p>
        </w:tc>
        <w:tc>
          <w:tcPr>
            <w:tcW w:w="3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760" w:type="dxa"/>
            <w:vAlign w:val="bottom"/>
            <w:tcBorders>
              <w:left w:val="single" w:sz="8" w:color="auto"/>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vMerge w:val="continue"/>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ASU 2020-06, Debt—Debt with Conversion and</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early adopted on January 1, 2021.</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standard is effective for annual periods</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Other Options (Subtopic 470-20) and Derivatives</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beginning after December 15, 2023, including</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and Hedging— Contracts in Entity’s Own Equity</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interim periods therein, with early adoption</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(Subtopic 815-40).</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permitted. The adoption of the new standard did</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not have a material impact on our consolidated</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statement amounts.</w:t>
            </w: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 2021-08, Business Combinations (Topic</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early adopted on October 15, 2021 on 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standard is effective for annual periods</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805): Accounting for Contract Assets and Contract</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prospective basis.</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beginning after December 15, 2022, including</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Liabilities from Contracts with Customers. This</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interim periods therein, with early adoption</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standard requires that an acquirer recognize, and</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permitted. We applied the guidance to the VIH</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9"/>
              </w:rPr>
              <w:t>measure contract assets and liabilities acquired in a</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Combination as it relates to the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business combination in accordance with ASU</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measurement of deferred revenue at the acquisition</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2014-09, Revenue from Contracts with Customers</w:t>
            </w:r>
          </w:p>
        </w:tc>
        <w:tc>
          <w:tcPr>
            <w:tcW w:w="374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(Topic 606), or ASU 2021-08.</w:t>
            </w:r>
          </w:p>
        </w:tc>
        <w:tc>
          <w:tcPr>
            <w:tcW w:w="374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We do not believe that any recently issued, but not yet effective, accounting standards, if currently adopted, would have a material effect on the Company’s financial statements.</w:t>
      </w:r>
    </w:p>
    <w:p>
      <w:pPr>
        <w:spacing w:after="0" w:line="16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85"/>
              </w:rPr>
              <w:t>Successor</w:t>
            </w:r>
          </w:p>
        </w:tc>
        <w:tc>
          <w:tcPr>
            <w:tcW w:w="11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Year ended</w:t>
            </w:r>
          </w:p>
        </w:tc>
        <w:tc>
          <w:tcPr>
            <w:tcW w:w="148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October 15, 2021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line="184" w:lineRule="exact"/>
              <w:rPr>
                <w:sz w:val="20"/>
                <w:szCs w:val="20"/>
                <w:color w:val="auto"/>
              </w:rPr>
            </w:pPr>
            <w:r>
              <w:rPr>
                <w:rFonts w:ascii="Arial" w:cs="Arial" w:eastAsia="Arial" w:hAnsi="Arial"/>
                <w:sz w:val="18"/>
                <w:szCs w:val="18"/>
                <w:b w:val="1"/>
                <w:bCs w:val="1"/>
                <w:color w:val="auto"/>
                <w:w w:val="88"/>
              </w:rPr>
              <w:t>December 31,</w:t>
            </w:r>
          </w:p>
        </w:tc>
        <w:tc>
          <w:tcPr>
            <w:tcW w:w="1600" w:type="dxa"/>
            <w:vAlign w:val="bottom"/>
            <w:tcBorders>
              <w:right w:val="single" w:sz="8" w:color="auto"/>
            </w:tcBorders>
            <w:gridSpan w:val="3"/>
          </w:tcPr>
          <w:p>
            <w:pPr>
              <w:ind w:left="20"/>
              <w:spacing w:after="0" w:line="184" w:lineRule="exact"/>
              <w:rPr>
                <w:sz w:val="20"/>
                <w:szCs w:val="20"/>
                <w:color w:val="auto"/>
              </w:rPr>
            </w:pPr>
            <w:r>
              <w:rPr>
                <w:rFonts w:ascii="Arial" w:cs="Arial" w:eastAsia="Arial" w:hAnsi="Arial"/>
                <w:sz w:val="18"/>
                <w:szCs w:val="18"/>
                <w:b w:val="1"/>
                <w:bCs w:val="1"/>
                <w:color w:val="auto"/>
                <w:w w:val="96"/>
              </w:rPr>
              <w:t>through December</w:t>
            </w:r>
          </w:p>
        </w:tc>
        <w:tc>
          <w:tcPr>
            <w:tcW w:w="80" w:type="dxa"/>
            <w:vAlign w:val="bottom"/>
          </w:tcPr>
          <w:p>
            <w:pPr>
              <w:spacing w:after="0"/>
              <w:rPr>
                <w:sz w:val="16"/>
                <w:szCs w:val="16"/>
                <w:color w:val="auto"/>
              </w:rPr>
            </w:pPr>
          </w:p>
        </w:tc>
        <w:tc>
          <w:tcPr>
            <w:tcW w:w="148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0"/>
              </w:rPr>
              <w:t>through October</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Service Type</w:t>
            </w:r>
          </w:p>
        </w:tc>
        <w:tc>
          <w:tcPr>
            <w:tcW w:w="2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31, 2021</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14, 2021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 revenue, net</w:t>
            </w:r>
            <w:r>
              <w:rPr>
                <w:rFonts w:ascii="Arial" w:cs="Arial" w:eastAsia="Arial" w:hAnsi="Arial"/>
                <w:sz w:val="23"/>
                <w:szCs w:val="23"/>
                <w:color w:val="auto"/>
                <w:vertAlign w:val="superscript"/>
              </w:rPr>
              <w:t>(a)</w:t>
            </w: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and service revenue</w:t>
            </w:r>
          </w:p>
        </w:tc>
        <w:tc>
          <w:tcPr>
            <w:tcW w:w="2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17,319</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reductions related to the Contribution Agreement and consideration payable to certain</w:t>
      </w:r>
    </w:p>
    <w:p>
      <w:pPr>
        <w:spacing w:after="0" w:line="72" w:lineRule="exact"/>
        <w:rPr>
          <w:rFonts w:ascii="Arial" w:cs="Arial" w:eastAsia="Arial" w:hAnsi="Arial"/>
          <w:sz w:val="16"/>
          <w:szCs w:val="16"/>
          <w:color w:val="auto"/>
        </w:rPr>
      </w:pPr>
    </w:p>
    <w:p>
      <w:pPr>
        <w:jc w:val="both"/>
        <w:ind w:left="340"/>
        <w:spacing w:after="0" w:line="325" w:lineRule="auto"/>
        <w:rPr>
          <w:rFonts w:ascii="Arial" w:cs="Arial" w:eastAsia="Arial" w:hAnsi="Arial"/>
          <w:sz w:val="16"/>
          <w:szCs w:val="16"/>
          <w:color w:val="auto"/>
        </w:rPr>
      </w:pPr>
      <w:r>
        <w:rPr>
          <w:rFonts w:ascii="Arial" w:cs="Arial" w:eastAsia="Arial" w:hAnsi="Arial"/>
          <w:sz w:val="16"/>
          <w:szCs w:val="16"/>
          <w:color w:val="auto"/>
        </w:rPr>
        <w:t>customers of $0.6 million for the year ended December 31, 2022, and less than $0.1 million and $2.1 million for the periods from October 15, 2021 through December 31, 2021 and from January 1, 2021 through October 14, 2021, respectively. Included in these amounts are amounts earned from</w:t>
      </w:r>
    </w:p>
    <w:p>
      <w:pPr>
        <w:spacing w:after="0" w:line="1" w:lineRule="exact"/>
        <w:rPr>
          <w:rFonts w:ascii="Arial" w:cs="Arial" w:eastAsia="Arial" w:hAnsi="Arial"/>
          <w:sz w:val="16"/>
          <w:szCs w:val="16"/>
          <w:color w:val="auto"/>
        </w:rPr>
      </w:pPr>
    </w:p>
    <w:p>
      <w:pPr>
        <w:ind w:left="340"/>
        <w:spacing w:after="0" w:line="308" w:lineRule="auto"/>
        <w:rPr>
          <w:rFonts w:ascii="Arial" w:cs="Arial" w:eastAsia="Arial" w:hAnsi="Arial"/>
          <w:sz w:val="16"/>
          <w:szCs w:val="16"/>
          <w:color w:val="auto"/>
        </w:rPr>
      </w:pPr>
      <w:r>
        <w:rPr>
          <w:rFonts w:ascii="Arial" w:cs="Arial" w:eastAsia="Arial" w:hAnsi="Arial"/>
          <w:sz w:val="18"/>
          <w:szCs w:val="18"/>
          <w:color w:val="auto"/>
        </w:rPr>
        <w:t>related parties of less than $0.1 million for the year ended December 31, 2022, and less than $0.1 million and $0.3 million for the periods from October 15, 2021 through December 31, 2021 and from January 1, 2021 through October 14, 2021,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1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r>
      <w:tr>
        <w:trPr>
          <w:trHeight w:val="169"/>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Year ended</w:t>
            </w:r>
          </w:p>
        </w:tc>
        <w:tc>
          <w:tcPr>
            <w:tcW w:w="1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October 15, 2021</w:t>
            </w: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January 1, 2021</w:t>
            </w:r>
          </w:p>
        </w:tc>
      </w:tr>
      <w:tr>
        <w:trPr>
          <w:trHeight w:val="175"/>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640" w:type="dxa"/>
            <w:vAlign w:val="bottom"/>
            <w:tcBorders>
              <w:right w:val="single" w:sz="8" w:color="auto"/>
            </w:tcBorders>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89"/>
              </w:rPr>
              <w:t>through December</w:t>
            </w:r>
          </w:p>
        </w:tc>
        <w:tc>
          <w:tcPr>
            <w:tcW w:w="80" w:type="dxa"/>
            <w:vAlign w:val="bottom"/>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through October</w:t>
            </w:r>
          </w:p>
        </w:tc>
      </w:tr>
      <w:tr>
        <w:trPr>
          <w:trHeight w:val="24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Platform</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31, 2021</w:t>
            </w:r>
          </w:p>
        </w:tc>
        <w:tc>
          <w:tcPr>
            <w:tcW w:w="16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14, 2021</w:t>
            </w:r>
          </w:p>
        </w:tc>
      </w:tr>
      <w:tr>
        <w:trPr>
          <w:trHeight w:val="26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redemption platform</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16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29,179</w:t>
            </w:r>
          </w:p>
        </w:tc>
      </w:tr>
      <w:tr>
        <w:trPr>
          <w:trHeight w:val="28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Crypto services</w:t>
            </w:r>
            <w:r>
              <w:rPr>
                <w:rFonts w:ascii="Arial" w:cs="Arial" w:eastAsia="Arial" w:hAnsi="Arial"/>
                <w:sz w:val="23"/>
                <w:szCs w:val="23"/>
                <w:color w:val="auto"/>
                <w:vertAlign w:val="superscript"/>
              </w:rPr>
              <w:t>(b)</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4"/>
              </w:rPr>
              <w:t>(1,223)</w:t>
            </w:r>
          </w:p>
        </w:tc>
      </w:tr>
      <w:tr>
        <w:trPr>
          <w:trHeight w:val="275"/>
        </w:trPr>
        <w:tc>
          <w:tcPr>
            <w:tcW w:w="6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27,956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reductions related to the Contribution Agreement and consideration payable to certain</w:t>
      </w:r>
    </w:p>
    <w:p>
      <w:pPr>
        <w:spacing w:after="0" w:line="72" w:lineRule="exact"/>
        <w:rPr>
          <w:rFonts w:ascii="Arial" w:cs="Arial" w:eastAsia="Arial" w:hAnsi="Arial"/>
          <w:sz w:val="16"/>
          <w:szCs w:val="16"/>
          <w:color w:val="auto"/>
        </w:rPr>
      </w:pPr>
    </w:p>
    <w:p>
      <w:pPr>
        <w:jc w:val="both"/>
        <w:ind w:left="340"/>
        <w:spacing w:after="0" w:line="325" w:lineRule="auto"/>
        <w:rPr>
          <w:rFonts w:ascii="Arial" w:cs="Arial" w:eastAsia="Arial" w:hAnsi="Arial"/>
          <w:sz w:val="16"/>
          <w:szCs w:val="16"/>
          <w:color w:val="auto"/>
        </w:rPr>
      </w:pPr>
      <w:r>
        <w:rPr>
          <w:rFonts w:ascii="Arial" w:cs="Arial" w:eastAsia="Arial" w:hAnsi="Arial"/>
          <w:sz w:val="16"/>
          <w:szCs w:val="16"/>
          <w:color w:val="auto"/>
        </w:rPr>
        <w:t>customers of $0.6 million for the year ended December 31, 2022, and less than $0.1 million and $2.1 million for the periods from October 15, 2021 through December 31, 2021 and from January 1, 2021 through October 14, 2021, respectively. Included in these amounts are amounts earned from</w:t>
      </w:r>
    </w:p>
    <w:p>
      <w:pPr>
        <w:spacing w:after="0" w:line="1" w:lineRule="exact"/>
        <w:rPr>
          <w:rFonts w:ascii="Arial" w:cs="Arial" w:eastAsia="Arial" w:hAnsi="Arial"/>
          <w:sz w:val="16"/>
          <w:szCs w:val="16"/>
          <w:color w:val="auto"/>
        </w:rPr>
      </w:pPr>
    </w:p>
    <w:p>
      <w:pPr>
        <w:ind w:left="340"/>
        <w:spacing w:after="0" w:line="308" w:lineRule="auto"/>
        <w:rPr>
          <w:rFonts w:ascii="Arial" w:cs="Arial" w:eastAsia="Arial" w:hAnsi="Arial"/>
          <w:sz w:val="16"/>
          <w:szCs w:val="16"/>
          <w:color w:val="auto"/>
        </w:rPr>
      </w:pPr>
      <w:r>
        <w:rPr>
          <w:rFonts w:ascii="Arial" w:cs="Arial" w:eastAsia="Arial" w:hAnsi="Arial"/>
          <w:sz w:val="18"/>
          <w:szCs w:val="18"/>
          <w:color w:val="auto"/>
        </w:rPr>
        <w:t>related parties of less than $0.1 million for the year ended December 31, 2022, and less than $0.1 million and $0.3 million for the periods from October 15, 2021 through December 31, 2021 and from January 1, 2021 through October 14, 2021, respectively.</w:t>
      </w:r>
    </w:p>
    <w:p>
      <w:pPr>
        <w:spacing w:after="0" w:line="18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recognized revenue from foreign jurisdictions of $3.8 million for the year ended December 31, 2022, and $0.8 million and $2.6 million for the periods from October 15, 2021 through December 31, 2021 and from January 1, 2021 through October 14, 2021,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See Note 2 for 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year ended December 31, 2022 and for the periods from October 15, 2021 through December 31, 2021 and January 1, 2021 through October 14, 2021 was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85"/>
              </w:rPr>
              <w:t>Successor</w:t>
            </w:r>
          </w:p>
        </w:tc>
        <w:tc>
          <w:tcPr>
            <w:tcW w:w="11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r>
      <w:tr>
        <w:trPr>
          <w:trHeight w:val="169"/>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Year ended</w:t>
            </w:r>
          </w:p>
        </w:tc>
        <w:tc>
          <w:tcPr>
            <w:tcW w:w="1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October 15, 2021</w:t>
            </w: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January 1, 2021</w:t>
            </w:r>
          </w:p>
        </w:tc>
      </w:tr>
      <w:tr>
        <w:trPr>
          <w:trHeight w:val="175"/>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164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b w:val="1"/>
                <w:bCs w:val="1"/>
                <w:color w:val="auto"/>
                <w:w w:val="98"/>
              </w:rPr>
              <w:t>through December</w:t>
            </w:r>
          </w:p>
        </w:tc>
        <w:tc>
          <w:tcPr>
            <w:tcW w:w="80" w:type="dxa"/>
            <w:vAlign w:val="bottom"/>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through October</w:t>
            </w:r>
          </w:p>
        </w:tc>
      </w:tr>
      <w:tr>
        <w:trPr>
          <w:trHeight w:val="239"/>
        </w:trPr>
        <w:tc>
          <w:tcPr>
            <w:tcW w:w="6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31, 2021</w:t>
            </w:r>
          </w:p>
        </w:tc>
        <w:tc>
          <w:tcPr>
            <w:tcW w:w="16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14, 2021</w:t>
            </w:r>
          </w:p>
        </w:tc>
      </w:tr>
      <w:tr>
        <w:trPr>
          <w:trHeight w:val="26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3"/>
              </w:rPr>
              <w:t>9,448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9,423</w:t>
            </w:r>
          </w:p>
        </w:tc>
        <w:tc>
          <w:tcPr>
            <w:tcW w:w="16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8"/>
              </w:rPr>
              <w:t>8,385</w:t>
            </w:r>
          </w:p>
        </w:tc>
      </w:tr>
      <w:tr>
        <w:trPr>
          <w:trHeight w:val="284"/>
        </w:trPr>
        <w:tc>
          <w:tcPr>
            <w:tcW w:w="646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160" w:type="dxa"/>
            <w:vAlign w:val="bottom"/>
          </w:tcPr>
          <w:p>
            <w:pPr>
              <w:spacing w:after="0"/>
              <w:rPr>
                <w:sz w:val="24"/>
                <w:szCs w:val="24"/>
                <w:color w:val="auto"/>
              </w:rPr>
            </w:pPr>
          </w:p>
        </w:tc>
        <w:tc>
          <w:tcPr>
            <w:tcW w:w="1320" w:type="dxa"/>
            <w:vAlign w:val="bottom"/>
          </w:tcPr>
          <w:p>
            <w:pPr>
              <w:jc w:val="center"/>
              <w:ind w:left="670"/>
              <w:spacing w:after="0"/>
              <w:rPr>
                <w:sz w:val="20"/>
                <w:szCs w:val="20"/>
                <w:color w:val="auto"/>
              </w:rPr>
            </w:pPr>
            <w:r>
              <w:rPr>
                <w:rFonts w:ascii="Arial" w:cs="Arial" w:eastAsia="Arial" w:hAnsi="Arial"/>
                <w:sz w:val="18"/>
                <w:szCs w:val="18"/>
                <w:color w:val="auto"/>
                <w:w w:val="91"/>
              </w:rPr>
              <w:t>(4,739)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center"/>
              <w:ind w:left="450"/>
              <w:spacing w:after="0"/>
              <w:rPr>
                <w:sz w:val="20"/>
                <w:szCs w:val="20"/>
                <w:color w:val="auto"/>
              </w:rPr>
            </w:pPr>
            <w:r>
              <w:rPr>
                <w:rFonts w:ascii="Arial" w:cs="Arial" w:eastAsia="Arial" w:hAnsi="Arial"/>
                <w:sz w:val="18"/>
                <w:szCs w:val="18"/>
                <w:color w:val="auto"/>
                <w:w w:val="91"/>
              </w:rPr>
              <w:t>(1,350)</w:t>
            </w: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left="690"/>
              <w:spacing w:after="0"/>
              <w:rPr>
                <w:sz w:val="20"/>
                <w:szCs w:val="20"/>
                <w:color w:val="auto"/>
              </w:rPr>
            </w:pPr>
            <w:r>
              <w:rPr>
                <w:rFonts w:ascii="Arial" w:cs="Arial" w:eastAsia="Arial" w:hAnsi="Arial"/>
                <w:sz w:val="18"/>
                <w:szCs w:val="18"/>
                <w:color w:val="auto"/>
                <w:w w:val="94"/>
              </w:rPr>
              <w:t>(3,524)</w:t>
            </w:r>
          </w:p>
        </w:tc>
      </w:tr>
      <w:tr>
        <w:trPr>
          <w:trHeight w:val="28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Increases due to cash received, net of amounts recognized in revenue during the period</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2,375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1,375</w:t>
            </w:r>
          </w:p>
        </w:tc>
        <w:tc>
          <w:tcPr>
            <w:tcW w:w="16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88"/>
              </w:rPr>
              <w:t>4,562</w:t>
            </w:r>
          </w:p>
        </w:tc>
      </w:tr>
      <w:tr>
        <w:trPr>
          <w:trHeight w:val="290"/>
        </w:trPr>
        <w:tc>
          <w:tcPr>
            <w:tcW w:w="646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3"/>
              </w:rPr>
              <w:t>7,084</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3"/>
              </w:rPr>
              <w:t>9,448</w:t>
            </w: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88"/>
              </w:rPr>
              <w:t>9,423</w:t>
            </w:r>
          </w:p>
        </w:tc>
      </w:tr>
      <w:tr>
        <w:trPr>
          <w:trHeight w:val="912"/>
        </w:trPr>
        <w:tc>
          <w:tcPr>
            <w:tcW w:w="6460" w:type="dxa"/>
            <w:vAlign w:val="bottom"/>
          </w:tcPr>
          <w:p>
            <w:pPr>
              <w:ind w:left="54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8"/>
        </w:trPr>
        <w:tc>
          <w:tcPr>
            <w:tcW w:w="6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December 31, 2022, the aggregate amount of the transaction price allocated to the remaining performance obligations related to partially completed contracts was $27.5 million, comprised of $20.4 million of subscription fees and $7.1 million of service fees that are deferred. We will recognize our subscription fees as revenue over a weighted-average period of 35 months (ranges from 2 months – 45 months) and our service fees as revenue over approximately 17 months.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December 31, 2021, the aggregate amount of the transaction price allocated to the remaining performance obligations related to partially completed contracts is $26.0 million, comprised of $16.6 million of subscription fees and $9.4 million of service fees that are deferred. We will recognize our subscription fees as revenue over a weighted-average period of 50 months (ranges from 10 months – 57 months) and our service fees as revenue over approximately 36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year ended December 31, 2022, we did not incur any incremental costs to obtain and/or fulfill contracts with customers. For the periods from October 15, 2021 through December 31, 2021 and January 1, 2021 through October 14, 2021, we incurred $0.1 million and $0.7 million in incremental costs to obtain and/or costs to fulfill contracts with customers, respectively.</w:t>
      </w:r>
    </w:p>
    <w:p>
      <w:pPr>
        <w:spacing w:after="0" w:line="171"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Asset Acquisition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VIH Business Combination</w:t>
      </w:r>
    </w:p>
    <w:p>
      <w:pPr>
        <w:spacing w:after="0" w:line="252"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The VIH Business Combination was completed on October 15, 2021. The VIH Business Combination was accounted for as a business combination under ASC 805. Opco constitutes a business, with inputs, processes, and outputs. Accordingly, the acquisition of Opco constitutes the acquisition of a business for purposes of ASC 805, and due to the change in control, has been accounted for using the acquisition method with the Company as the accounting acquirer and Opco as the accounting acquiree. We are the accounting acquirer based on an evaluation of the following factors:</w:t>
      </w:r>
    </w:p>
    <w:p>
      <w:pPr>
        <w:spacing w:after="0" w:line="53" w:lineRule="exact"/>
        <w:rPr>
          <w:sz w:val="20"/>
          <w:szCs w:val="20"/>
          <w:color w:val="auto"/>
        </w:rPr>
      </w:pPr>
    </w:p>
    <w:p>
      <w:pPr>
        <w:ind w:left="660" w:right="20" w:hanging="328"/>
        <w:spacing w:after="0" w:line="308"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the sole managing member of Opco, the managing member has full and complete charge of all affairs of Opco and the existing non-managing member equity holders of Opco do not have substantive participating or kick out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Sponsor and Opco jointly designated six of the initial eight members of the Board;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Equity Holders do not hold a controlling interest in the Company or Opco due to (1) the limitation imposed by the Voting Agreement entered into</w:t>
      </w:r>
    </w:p>
    <w:p>
      <w:pPr>
        <w:spacing w:after="0" w:line="72" w:lineRule="exact"/>
        <w:rPr>
          <w:rFonts w:ascii="Arial" w:cs="Arial" w:eastAsia="Arial" w:hAnsi="Arial"/>
          <w:sz w:val="16"/>
          <w:szCs w:val="16"/>
          <w:color w:val="auto"/>
        </w:rPr>
      </w:pP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auto"/>
        </w:rPr>
        <w:t>between the Company and ICE at Closing on ICE and its affiliates’ voting power to 30% of the total voting power of all shares of our Class A common stock, par value $0.0001 per share (“Class A common stock”), and our Class V common stock, par value $0.0001 per share (“Class V</w:t>
      </w:r>
    </w:p>
    <w:p>
      <w:pPr>
        <w:spacing w:after="0" w:line="1" w:lineRule="exact"/>
        <w:rPr>
          <w:rFonts w:ascii="Arial" w:cs="Arial" w:eastAsia="Arial" w:hAnsi="Arial"/>
          <w:sz w:val="16"/>
          <w:szCs w:val="16"/>
          <w:color w:val="auto"/>
        </w:rPr>
      </w:pP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auto"/>
        </w:rPr>
        <w:t>common stock” and, together with the Class A common stock, the “Common Stock”) that are issued and outstanding and entitled to vote as of the relevant record date so long as it owns shares of Common Stock representing more than 50% of the total voting power of the Company, and (2)</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ICE and its affiliates do not unilaterally control the Board, as only one out of the eight members of the Board is affiliated with ICE, and the majority of the Board are independent directors not affiliated with ICE.</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These factors support the conclusion that the Company acquired a controlling interest in Opco and is the accounting acquirer. We are the primary beneficiary of Opco, which is a variable interest entity, since we have the power to direct the activities of Opco that most significantly impact Opco’s economic performance through our role as the managing member, and our ownership of Opco, which results in the right (and obligation) to receive benefits (and absorb losses) of Opco that could potentially be significant to us. Therefore, the VIH Business Combination constituted a change in control and was accounted for using the acquisition method. Under the acquisition method, as the accounting acquirer, VIH’s net assets and stockholders equity retain their carrying values. The estimated fair value of the purchase price is allocated to the assets acquired and the liabilities assumed from Opco based on their estimated acquisition-date fair values. Opening</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successor cash and equity represent the carrying value of the accounting acquirer’s cash and equity and are not comparable to the predecessor cash and equity of Opco.</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Included in the opening cash balance as of October 15, 2021 was $207.4 million from the proceeds of the sale of the units in VIH’s Initial Public Offering and the sale of the private placement warrants, net of transaction costs, that was previously held in the Trust Account. The cash proceeds from the Trust Account were used for transaction expenses, deferred underwriting commission, redemption of shares as described below, and the operating activities of the Company following the VIH Business Combination.</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We paid $84.5 million of cash for the repurchase of 8,452,042 shares Class A ordinary shares, for shareholders who elected to execute their redemption right, as presented within the financing activities of our statement of cash flows. The remaining 12,285,160 outstanding Class A ordinary shares of the Company, par value $0.0001 per share (the “Class A Ordinary Shares”), and 5,184,300 Class B ordinary shares of the Company, par value $0.0001 per share (the “Class B Ordinary Shares”), were exchanged for an equivalent number of shares of Class A common stock.</w:t>
      </w:r>
    </w:p>
    <w:p>
      <w:pPr>
        <w:spacing w:after="0" w:line="16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auto"/>
        </w:rPr>
        <w:t>We incurred $1.6 million of expenses directly related to the VIH Business Combination from October 15, 2021 through December 31, 2021, which are reflected as “Acquisition-related expenses” in the consolidated statements of operations. Opco incurred $24.8 million of expenses directly related to the VIH Business Combination from January 1, 2021 through October 14, 2021, which are reflected as “Acquisition-related expenses” in the consolidated statements of operations, including a $12.1 million success fee for an investment bank advising Opco. At Closing, we paid $7.3 million of deferred underwriting costs related to VIH’s initial public offering and $13.0 million of fees related to the $325.0 million in proceeds from the investors purchasing an aggregate of 32,500,000 shares of Class A common stock in connection with the VIH Business Combination (the “PIPE Investment”). The cash inflow from the PIPE Investment is presented net of issuance costs within the financing section of the statement of cash flows. The fees associated with the PIPE were treated as a reduction of equity. Additionally, at Closing, we paid $0.9 million as a prepayment on Directors and Officers (“D&amp;O”) insurance which is included in “Other current assets” in the balance sheets.</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Additionally,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were outstanding and 793,352 reserved for issuance upon the exercise of a warrant agreement. Opco Equity Holders (as defined below) converted 400,000,000 Opco Class A voting units, 192,453,454 Opco Class B voting units, and 270,270,270 Opco Class C voting units to 189,933,286 shares of Class V common stock on a pro rata basis. Opco Class C warrants were exchanged for the 793,352 shares of Class V common stock referenced above. Opco incentive units were exchanged for 17,473,362 shares of Class V common stock.</w:t>
      </w:r>
    </w:p>
    <w:p>
      <w:pPr>
        <w:spacing w:after="0" w:line="19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dated as of October 15, 2021, as amended on May 15, 2022, between the Company and certain holders of Opco common units (the “Exchange Agreement”). Following the Closing, the Company owned approximately 20.3% of the Opco common units, with the remaining Opco common units being owned by the equity owners of Opco prior to the VIH Business Combination (the “Opco Equity Holders”).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estimated fair value of the purchase consideration paid to Opco Equity Holders (in thousands, except per unit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Consideration</w:t>
            </w:r>
          </w:p>
        </w:tc>
      </w:tr>
      <w:tr>
        <w:trPr>
          <w:trHeight w:val="223"/>
        </w:trPr>
        <w:tc>
          <w:tcPr>
            <w:tcW w:w="96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Equity consideration paid to Opco Equity Holders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1,904,648</w:t>
            </w:r>
          </w:p>
        </w:tc>
      </w:tr>
      <w:tr>
        <w:trPr>
          <w:trHeight w:val="230"/>
        </w:trPr>
        <w:tc>
          <w:tcPr>
            <w:tcW w:w="9640" w:type="dxa"/>
            <w:vAlign w:val="bottom"/>
          </w:tcPr>
          <w:p>
            <w:pPr>
              <w:ind w:left="20"/>
              <w:spacing w:after="0" w:line="230" w:lineRule="exact"/>
              <w:rPr>
                <w:sz w:val="20"/>
                <w:szCs w:val="20"/>
                <w:color w:val="auto"/>
              </w:rPr>
            </w:pPr>
            <w:r>
              <w:rPr>
                <w:rFonts w:ascii="Arial" w:cs="Arial" w:eastAsia="Arial" w:hAnsi="Arial"/>
                <w:sz w:val="18"/>
                <w:szCs w:val="18"/>
                <w:color w:val="auto"/>
              </w:rPr>
              <w:t>Cash paid for redeemed Opco Incentive Units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9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Cash paid for seller transaction costs</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13,454</w:t>
            </w:r>
          </w:p>
        </w:tc>
      </w:tr>
      <w:tr>
        <w:trPr>
          <w:trHeight w:val="223"/>
        </w:trPr>
        <w:tc>
          <w:tcPr>
            <w:tcW w:w="9640" w:type="dxa"/>
            <w:vAlign w:val="bottom"/>
          </w:tcPr>
          <w:p>
            <w:pPr>
              <w:ind w:left="240"/>
              <w:spacing w:after="0"/>
              <w:rPr>
                <w:sz w:val="20"/>
                <w:szCs w:val="20"/>
                <w:color w:val="auto"/>
              </w:rPr>
            </w:pPr>
            <w:r>
              <w:rPr>
                <w:rFonts w:ascii="Arial" w:cs="Arial" w:eastAsia="Arial" w:hAnsi="Arial"/>
                <w:sz w:val="18"/>
                <w:szCs w:val="18"/>
                <w:color w:val="auto"/>
              </w:rPr>
              <w:t>Total purchase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1,919,590</w:t>
            </w:r>
          </w:p>
        </w:tc>
      </w:tr>
      <w:tr>
        <w:trPr>
          <w:trHeight w:val="20"/>
        </w:trPr>
        <w:tc>
          <w:tcPr>
            <w:tcW w:w="9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42" w:lineRule="auto"/>
        <w:tabs>
          <w:tab w:leader="none" w:pos="648"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The equity consideration paid to Opco Equity Holders is equal to the estimated fair value of noncontrolling interest on the acquisition date. Equity consideration paid to Opco Equity Holders consisted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189,933</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per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Opco common units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1,796,769</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Opco common incentive units based on services rendered</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107,879</w:t>
            </w: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consideration paid to Opco Equity 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1,904,648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line="271" w:lineRule="auto"/>
        <w:tabs>
          <w:tab w:leader="none" w:pos="648"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color w:val="auto"/>
        </w:rPr>
        <w:t>Represents the cash paid to certain Opco Equity Holders in exchange for the redemption of 40% of the first one-third of their Opco common incentive units and preferred incentive units which vested at the effective time of the VIH Business Combination (see Note 11).</w:t>
      </w:r>
    </w:p>
    <w:p>
      <w:pPr>
        <w:spacing w:after="0" w:line="6" w:lineRule="exact"/>
        <w:rPr>
          <w:rFonts w:ascii="Arial" w:cs="Arial" w:eastAsia="Arial" w:hAnsi="Arial"/>
          <w:sz w:val="22"/>
          <w:szCs w:val="22"/>
          <w:color w:val="auto"/>
          <w:vertAlign w:val="superscript"/>
        </w:rPr>
      </w:pPr>
    </w:p>
    <w:p>
      <w:pPr>
        <w:ind w:left="660" w:hanging="328"/>
        <w:spacing w:after="0" w:line="242" w:lineRule="auto"/>
        <w:tabs>
          <w:tab w:leader="none" w:pos="648"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Represents Opco’s liability to pay transaction costs as of the VIH Business Combination date, which was settled with cash received from the VIH Business Combination.</w:t>
      </w:r>
    </w:p>
    <w:p>
      <w:pPr>
        <w:spacing w:after="0" w:line="240"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We recorded the allocation of the purchase price to Opco’s assets acquired and liabilities assumed based on their fair values as of October 15, 2021. The purchase price allocation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restricted cash and customer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17,009</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Property, equipment and software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clearinghouse, noncurrent (affiliate in Predecessor period)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393,070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1,527,071</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23"/>
        </w:trPr>
        <w:tc>
          <w:tcPr>
            <w:tcW w:w="976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1,995,485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(52,997)</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Due to related party (affiliate in Predecessor period)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Deferred revenue, current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(4,665)</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 liability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(4,758)</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3"/>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(75,895)</w:t>
            </w: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1,919,590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goodwill of $1,527.1 million represents the excess purchase price over the fair value of the net tangible and identifiable intangible assets acquired and liabilities assumed. Qualitative factors that contribute to the recognition of goodwill include certain intangible assets that are not recognized as separate identifiable intangible assets apart from goodwill. Intangible assets not recognized apart from goodwill consist primarily of expertise and industry know-how of the workforce, back-office infrastructure, strong market position and the assembled workforce of Opco. None of the goodwill recognized is expected to be deductible for income tax purposes.</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weighted average amortization period for the acquired intangible assets is 5.7 years. The fair value of the intangible assets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5"/>
        </w:trPr>
        <w:tc>
          <w:tcPr>
            <w:tcW w:w="818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Useful Lives (in</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818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years)</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8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Trademarks / trade names </w:t>
            </w:r>
            <w:r>
              <w:rPr>
                <w:rFonts w:ascii="Arial" w:cs="Arial" w:eastAsia="Arial" w:hAnsi="Arial"/>
                <w:sz w:val="23"/>
                <w:szCs w:val="23"/>
                <w:color w:val="auto"/>
                <w:vertAlign w:val="superscript"/>
              </w:rPr>
              <w:t>(1)</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39,470</w:t>
            </w: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Licenses </w:t>
            </w:r>
            <w:r>
              <w:rPr>
                <w:rFonts w:ascii="Arial" w:cs="Arial" w:eastAsia="Arial" w:hAnsi="Arial"/>
                <w:sz w:val="23"/>
                <w:szCs w:val="23"/>
                <w:color w:val="auto"/>
                <w:vertAlign w:val="superscript"/>
              </w:rPr>
              <w:t>(2)</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241,320</w:t>
            </w: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3"/>
                <w:szCs w:val="23"/>
                <w:color w:val="auto"/>
                <w:vertAlign w:val="superscript"/>
              </w:rPr>
              <w:t>(3)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44,970</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Technology </w:t>
            </w:r>
            <w:r>
              <w:rPr>
                <w:rFonts w:ascii="Arial" w:cs="Arial" w:eastAsia="Arial" w:hAnsi="Arial"/>
                <w:sz w:val="23"/>
                <w:szCs w:val="23"/>
                <w:color w:val="auto"/>
                <w:vertAlign w:val="superscript"/>
              </w:rPr>
              <w:t>(4)</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67,310</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acquired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trademarks / trade names represent those that Opco originated which were valued using the relief-from-royalty method.</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licenses represent those that Opco acquired that were valued using the with-and-without method.</w:t>
      </w:r>
    </w:p>
    <w:p>
      <w:pPr>
        <w:spacing w:after="0" w:line="29" w:lineRule="exact"/>
        <w:rPr>
          <w:rFonts w:ascii="Arial" w:cs="Arial" w:eastAsia="Arial" w:hAnsi="Arial"/>
          <w:sz w:val="23"/>
          <w:szCs w:val="23"/>
          <w:color w:val="auto"/>
          <w:vertAlign w:val="superscript"/>
        </w:rPr>
      </w:pPr>
    </w:p>
    <w:p>
      <w:pPr>
        <w:ind w:left="660" w:right="20" w:hanging="328"/>
        <w:spacing w:after="0" w:line="239"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customer relationships represent the existing customer relationships of Opco that were valued by applying the multi-period excess earnings methodology.</w:t>
      </w:r>
    </w:p>
    <w:p>
      <w:pPr>
        <w:spacing w:after="0" w:line="27" w:lineRule="exact"/>
        <w:rPr>
          <w:rFonts w:ascii="Arial" w:cs="Arial" w:eastAsia="Arial" w:hAnsi="Arial"/>
          <w:sz w:val="23"/>
          <w:szCs w:val="23"/>
          <w:color w:val="auto"/>
          <w:vertAlign w:val="superscript"/>
        </w:rPr>
      </w:pPr>
    </w:p>
    <w:p>
      <w:pPr>
        <w:ind w:left="660" w:hanging="328"/>
        <w:spacing w:after="0" w:line="242" w:lineRule="auto"/>
        <w:tabs>
          <w:tab w:leader="none" w:pos="648"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The technology represents technologies acquired and developed by Opco for the purpose of operating its platform, which were valued using the relief-from-royalty method.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Apex Crypto</w:t>
      </w:r>
    </w:p>
    <w:p>
      <w:pPr>
        <w:spacing w:after="0" w:line="25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131313"/>
        </w:rPr>
        <w:t>On November 2, 2022, we entered into a definitive agreement with Apex Fintech Solutions, Inc. (“AFS”) pursuant to which we agreed to acquire all of the membership interests of Apex Crypto, LLC (“Apex”), a financial technology company with an integrated crypto trading platform, for consideration consisting of an initial purchase price of $55.0 million in cash, up to $45.0 million in shares of our Class A common stock that may be earned if Apex achieves certain profitability growth targets for the fourth quarter of 2022, and up to an additional $100.0 million in shares of our Class A common stock depending on Apex’s achievement of certain financial targets through 2025. Subsequent to December 31, 2022, we determined the actual achievement of the Q4 2022 profitability growth target would result in approximately $9.0 million Class A common stock being issued when the transaction closes. The transaction, which is subject to regulatory approvals, is expected to close in the first half of 2023. Under the terms of the transaction, Bakkt and AFS will, among other things, enter into a commercial agreement that memorializes the continued relationship and provision of Bakkt crypto solutions to AFS’s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Bumped Acquisition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On February 8, 2023, we acquired 100% of the units of Bumped Financial, LLC (“Bumped”), a broker-dealer registered with the SEC and the Financial Industry Regulatory Authority, Inc. (“FINRA”), for cash consideration of $575,000. This acquisition required Bumped to file a Continuing Membership Application (“CMA”) with FINRA, and FINRA is currently reviewing the CMA to ensure that Bumped will continue to meet its regulatory obligations if the filing is approved.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goodwill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Impairment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7"/>
        <w:spacing w:after="0"/>
        <w:rPr>
          <w:sz w:val="20"/>
          <w:szCs w:val="20"/>
          <w:color w:val="auto"/>
        </w:rPr>
      </w:pPr>
      <w:r>
        <w:rPr>
          <w:rFonts w:ascii="Arial" w:cs="Arial" w:eastAsia="Arial" w:hAnsi="Arial"/>
          <w:sz w:val="18"/>
          <w:szCs w:val="18"/>
          <w:b w:val="1"/>
          <w:bCs w:val="1"/>
          <w:color w:val="auto"/>
        </w:rPr>
        <w:t>Successor</w:t>
      </w:r>
    </w:p>
    <w:p>
      <w:pPr>
        <w:spacing w:after="0" w:line="40" w:lineRule="exact"/>
        <w:rPr>
          <w:sz w:val="20"/>
          <w:szCs w:val="20"/>
          <w:color w:val="auto"/>
        </w:rPr>
      </w:pPr>
    </w:p>
    <w:p>
      <w:pPr>
        <w:ind w:left="687"/>
        <w:spacing w:after="0"/>
        <w:rPr>
          <w:sz w:val="20"/>
          <w:szCs w:val="20"/>
          <w:color w:val="auto"/>
        </w:rPr>
      </w:pPr>
      <w:r>
        <w:rPr>
          <w:rFonts w:ascii="Arial" w:cs="Arial" w:eastAsia="Arial" w:hAnsi="Arial"/>
          <w:sz w:val="17"/>
          <w:szCs w:val="17"/>
          <w:color w:val="auto"/>
        </w:rPr>
        <w:t>1,527,118</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(1,511,264)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5" w:lineRule="exact"/>
        <w:rPr>
          <w:sz w:val="20"/>
          <w:szCs w:val="20"/>
          <w:color w:val="auto"/>
        </w:rPr>
      </w:pPr>
    </w:p>
    <w:p>
      <w:pPr>
        <w:ind w:left="907" w:hanging="907"/>
        <w:spacing w:after="0"/>
        <w:tabs>
          <w:tab w:leader="none" w:pos="907" w:val="left"/>
        </w:tabs>
        <w:numPr>
          <w:ilvl w:val="0"/>
          <w:numId w:val="82"/>
        </w:numPr>
        <w:rPr>
          <w:rFonts w:ascii="Arial" w:cs="Arial" w:eastAsia="Arial" w:hAnsi="Arial"/>
          <w:sz w:val="17"/>
          <w:szCs w:val="17"/>
          <w:color w:val="auto"/>
        </w:rPr>
      </w:pPr>
      <w:r>
        <w:rPr>
          <w:rFonts w:ascii="Arial" w:cs="Arial" w:eastAsia="Arial" w:hAnsi="Arial"/>
          <w:sz w:val="17"/>
          <w:szCs w:val="17"/>
          <w:color w:val="auto"/>
        </w:rPr>
        <w:t>15,852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429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429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53" w:space="720"/>
            <w:col w:w="1467"/>
          </w:cols>
          <w:pgMar w:left="320" w:top="125" w:right="339" w:bottom="1440" w:gutter="0" w:footer="0" w:header="0"/>
        </w:sectPr>
      </w:pPr>
    </w:p>
    <w:p>
      <w:pPr>
        <w:spacing w:after="0" w:line="16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commenced our annual strategic planning process in the third quarter of 2022, which included updating expected cryptoasset product activations in light of the cryptoasset market volatility and elongation of decision timeframes for activations of cryptoasset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determinative factors, including the elongated timing for expected cryptoasset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8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During the fourth quarter of 2022 a number of high-profile bankruptcies among cryptoasset companies exacerbated the volatility in the market for our services we observed in earlier in the year. This created a further depression of our stock price and created additional uncertainty about our ability to achieve the growth we expected when the impairment test as of September 30, 2022 was performed. Accordingly, we concluded our indefnite-lived intangible assets, long-lived assets and goodwill should be quantitatively tested for impairment as of December 31, 2022.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concluded the carrying value of the reporting unit exceeded its fair value and recorded an incremental goodwill impairment of $121.4 million.</w:t>
      </w:r>
    </w:p>
    <w:p>
      <w:pPr>
        <w:spacing w:after="0" w:line="289"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cryptoasset trading volumes and subscription services. The income approach utilizes our projected cash flow estimates to determine fair value, which are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are commensurate with the risks and uncertainty inherent in our business. Assumptions used, such as forecasted growth rates, capital expenditures, and our cost of capital, are consistent with our internal projections and operating plans.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spacing w:after="0" w:line="13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licenses intangible asset involved the use of an income approach which estimated the value of the in place licenses as compared to cash flows if the licenses had to be obtained at a delay. Significant judgments used in this analysis are consistent with the inputs used in the income approach for the goodwill impairment analysis and the assumed time to obtain the licenses.</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18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7"/>
          <w:szCs w:val="17"/>
          <w:color w:val="auto"/>
        </w:rPr>
        <w:t>The discount rate used in the valuations described above was 15.5%, which was 400 basis points higher than the discount rate assumed in the valuation of these intangibles for the VIH Business Combination. The higher discount rate reflects the higher risk-free rate and beta observed as of September 30, 2022 and December 31, 2022 as compared to the October 15, 2021 VIH Business Combination valuation date.</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goodwill was impacted by foreign currency translation of less than $0.1 million during the year ended December 31, 2022 and the periods from October 15, 2021 through December 31, 2021 and January 1, 2021 through October 14,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3"/>
              </w:rPr>
              <w:t>December 31, 2022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56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4"/>
                <w:szCs w:val="14"/>
                <w:color w:val="auto"/>
              </w:rPr>
            </w:pPr>
          </w:p>
        </w:tc>
        <w:tc>
          <w:tcPr>
            <w:tcW w:w="12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5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6"/>
                <w:szCs w:val="16"/>
                <w:color w:val="auto"/>
              </w:rPr>
            </w:pPr>
          </w:p>
        </w:tc>
        <w:tc>
          <w:tcPr>
            <w:tcW w:w="126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6"/>
                <w:szCs w:val="16"/>
                <w:color w:val="auto"/>
              </w:rPr>
            </w:pPr>
          </w:p>
        </w:tc>
        <w:tc>
          <w:tcPr>
            <w:tcW w:w="14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Impairment</w:t>
            </w:r>
          </w:p>
        </w:tc>
        <w:tc>
          <w:tcPr>
            <w:tcW w:w="260" w:type="dxa"/>
            <w:vAlign w:val="bottom"/>
          </w:tcPr>
          <w:p>
            <w:pPr>
              <w:spacing w:after="0"/>
              <w:rPr>
                <w:sz w:val="16"/>
                <w:szCs w:val="16"/>
                <w:color w:val="auto"/>
              </w:rPr>
            </w:pPr>
          </w:p>
        </w:tc>
        <w:tc>
          <w:tcPr>
            <w:tcW w:w="1220" w:type="dxa"/>
            <w:vAlign w:val="bottom"/>
          </w:tcPr>
          <w:p>
            <w:pPr>
              <w:jc w:val="center"/>
              <w:ind w:right="170"/>
              <w:spacing w:after="0" w:line="189"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5"/>
              </w:rPr>
              <w:t>Indefinite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241,320</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39,470</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4.2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44,970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38,163</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393,070</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3"/>
              </w:rPr>
              <w:t>December 31, 2021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56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4"/>
                <w:szCs w:val="14"/>
                <w:color w:val="auto"/>
              </w:rPr>
            </w:pPr>
          </w:p>
        </w:tc>
        <w:tc>
          <w:tcPr>
            <w:tcW w:w="12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5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5"/>
                <w:szCs w:val="15"/>
                <w:color w:val="auto"/>
              </w:rPr>
            </w:pPr>
          </w:p>
        </w:tc>
        <w:tc>
          <w:tcPr>
            <w:tcW w:w="126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Impairment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Indefinite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39,470</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4.2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color w:val="auto"/>
                <w:w w:val="99"/>
              </w:rPr>
              <w:t>8</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44,970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393,070</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388,469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Amortization of intangible assets for the year ended December 31, 2022 was $21.8 million and is included in “Depreciation and amortization” in the consolidated statements of operations. Amortization of intangible assets for the periods from October 15, 2021 through December 31, 2021 and January 1, 2021 through October 14, 2021 was $4.6 million and $5.1 million, respectively, and is included in “Depreciation and amortization” in the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gridSpan w:val="4"/>
          </w:tcPr>
          <w:p>
            <w:pPr>
              <w:spacing w:after="0"/>
              <w:rPr>
                <w:sz w:val="20"/>
                <w:szCs w:val="20"/>
                <w:color w:val="auto"/>
              </w:rPr>
            </w:pPr>
            <w:r>
              <w:rPr>
                <w:rFonts w:ascii="Arial" w:cs="Arial" w:eastAsia="Arial" w:hAnsi="Arial"/>
                <w:sz w:val="18"/>
                <w:szCs w:val="18"/>
                <w:color w:val="auto"/>
              </w:rPr>
              <w:t>Estimated future amortization for definite-lived intangible assets as of December 31, 2022 was as follows (in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18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Consolidated Balance Sheet Components</w:t>
            </w: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5"/>
                <w:szCs w:val="15"/>
                <w:color w:val="auto"/>
              </w:rPr>
            </w:pPr>
          </w:p>
        </w:tc>
        <w:tc>
          <w:tcPr>
            <w:tcW w:w="130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accounts receivable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4"/>
                <w:szCs w:val="14"/>
                <w:color w:val="auto"/>
              </w:rPr>
            </w:pPr>
          </w:p>
        </w:tc>
        <w:tc>
          <w:tcPr>
            <w:tcW w:w="13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Property, equipment and software, gross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440"/>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For the year ended December 31, 2022, and for the periods from October 15, 2021 through December 31, 2021 and January 1, 2021 through October 14, 2021, depreciation and amortization expense related to property, equipment and software amounted to $3.5 million, $0.8 million and $4.4 million, respectively, of which $1.7 million, $0.4 million and $3.6 million, respectively, related to amortization expense of capitalized internal-use software placed in service.</w:t>
      </w:r>
    </w:p>
    <w:p>
      <w:pPr>
        <w:spacing w:after="0" w:line="177"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8"/>
          <w:szCs w:val="18"/>
          <w:color w:val="auto"/>
        </w:rPr>
        <w:t>The Company conducted a quantitative impairment test of long-lived assets as of December 31, 2022 and concluded internal use software associated with the mobile app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We entered into a software license agreement that required a minimum usage fee of $0.7 million annually for the contract term. The license was capitalized at the present value of minimum license payments over the contract term. We recognized a corresponding liability for the license payments. The software license was being amortized over the contract term. During the period from October 15, 2021 through December 31, 2021, we terminated the software license agreement. As a result of the termination, we recorded an impairment charge of $1.2 million for the impairment of the related asset to a fair value of $0 and income of $1.3 million for the extinguishment of the related liability based on Level 3 inputs. The impairment charge and income are reflected as “Impairment of long-lived assets” and “Other income (expense), net”,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6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Deposits with clearinghouse, noncurrent, consisted of the default resource contribution as described in Note 8. The default resource contribution amounted to $15.2 million and $15.2 million as of December 31, 2022 and 2021, respectively.</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On January 19, 2021, ICUS self-certified a rule change with the CFTC, reducing Bakkt Trust’s financial contribution to the ICUS guaranty fund to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680" w:type="dxa"/>
            <w:vAlign w:val="bottom"/>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5"/>
                <w:szCs w:val="15"/>
                <w:color w:val="auto"/>
              </w:rPr>
            </w:pPr>
          </w:p>
        </w:tc>
        <w:tc>
          <w:tcPr>
            <w:tcW w:w="130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680" w:type="dxa"/>
            <w:vAlign w:val="bottom"/>
            <w:tcBorders>
              <w:bottom w:val="single" w:sz="8" w:color="CCEEFF"/>
            </w:tcBorders>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6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8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Accounts payable and accrued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4"/>
                <w:szCs w:val="14"/>
                <w:color w:val="auto"/>
              </w:rPr>
            </w:pPr>
          </w:p>
        </w:tc>
        <w:tc>
          <w:tcPr>
            <w:tcW w:w="13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20,130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Purchasing card payable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Salaries and benefits payable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64,090</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4"/>
                <w:szCs w:val="14"/>
                <w:color w:val="auto"/>
              </w:rPr>
            </w:pPr>
          </w:p>
        </w:tc>
        <w:tc>
          <w:tcPr>
            <w:tcW w:w="13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5"/>
                <w:szCs w:val="15"/>
                <w:color w:val="auto"/>
              </w:rPr>
            </w:pPr>
          </w:p>
        </w:tc>
        <w:tc>
          <w:tcPr>
            <w:tcW w:w="130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units liability, noncurrent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24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On October 15, 2021, we entered into a Tax Receivable Agreement (“TRA”) with certain Opco Equity Holders.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2022, 22,475,871 Opco common units were exchanged for Class A common stock. Refer to Note 14 regarding the contingency related to the TRA.</w:t>
      </w:r>
    </w:p>
    <w:p>
      <w:pPr>
        <w:spacing w:after="0" w:line="15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December 2018, we entered into an intercompany services agreement with ICE to provide management and technical support services. For the period January 1, 2021 through October 14, 2021, $1.5 million of expense was recorded in connection with this agreement and is reflected as “Related party expenses (affiliate in Predecessor period)” in the consolidated statements of operations. Prior to the VIH Business Combination, ICE also made various payroll distributions and payments to vendors on behalf of Opco and made unitary state income tax payments on behalf of DACC Technologies, Inc. and Digital Asset Custody Company, Inc. (collectively with DACC Technologies, Inc., “DACC”). We recorded no expense during the year ended December 31, 2022 under this agreement.</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Upon consummation of the VIH Business Combination, we entered into a Transition Services Agreement (the “TSA”) with ICE, which superseded the intercompany services agreement pursuant to which ICE will provide insurance, digital warehouse, data center, technical support, and other transition-related services in exchange for quarterly service fees to be paid by us. We recognized $1.2 million and $0.6 million of expense related to the TSA for the year ended December 31, 2022 and the period from October 15, 2021 through December 31, 2021, respectively, which are reflected as “Related party expenses (affiliate in Predecessor period)” in the consolidated statements of operations and “Due to related party (affiliate in Predecessor period)” in the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Agreements</w:t>
      </w:r>
    </w:p>
    <w:p>
      <w:pPr>
        <w:spacing w:after="0" w:line="252"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We recognized revenues related to the Triparty Agreement of less than $0.1 million, less than $0.1 million and $0.1 million for the year ended December 31, 2022 and the periods from October 15, 2021 through December 31, 2021 and January 1, 2021 through October 14, 2021, respectively, net of rebates and incentive payments (contra-revenue) of less than $0.1 million, less than $0.1 million and $0.2 million for the year ended December 31, 2022 and the periods from October 15, 2021 through December 31, 2021 and January 1, 2021 through October 14, 2021, respectively.</w:t>
      </w:r>
    </w:p>
    <w:p>
      <w:pPr>
        <w:spacing w:after="0" w:line="14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The Triparty Agreement also required Bakkt Trust to make, and, subject to certain limits, to replenish as needed a $35.4 million default resource contribution to ICUS, to be used by ICUS in accordance with the ICUS rules. As described in Note 6, the contribution requirement was reduced to $15.0 million in 2021. The contribution is included in the “Deposits with clearinghouse” noncurrent balance. Interest earned on the contribution, net of certain fees and costs, is paid to Bakkt Trust from ICUS. We did not earn any interest for year ended December 31, 2022 or the periods from October 15, 2021 through December 31, 2021 and January 1, 2021 through October 14, 2021.</w:t>
      </w:r>
    </w:p>
    <w:p>
      <w:pPr>
        <w:spacing w:after="0" w:line="18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Prior to the VIH Business Combination, we also recognized a capital contribution for the cost of the trading and clearing services provided by IFUS and ICUS pursuant to the Contribution Agreement, which reduced revenue attributable to the Triparty Agreement by $0.2 million for the period from January 1, 2021 through October 14, 2021 (Note 10). We did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not recognize a material reduction in revenue related to this capital contribution for the year ended December 31, 2022 or the period from October 15, 2021 through December 31, 2021.</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Pursuant to a separate triparty agreement among ICE Futures Singapore (“IFS”), ICE Clear Singapore (“ICS”) and Opco, IFS and ICS provide trade execution and clearing services to customers that trade the cash-settled futures. To date, the cash settled contracts have not resulted in material net revenues payable to Opco. We expect the cash-settled futures contracts to be discontinued in the first quarter of 2023 and do not expect this to have a material impact on our business.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December 31, 2022 and 2021, we had $1.2 million and $0.6 million, respectively, reflected as “Due to related party (affiliate in Predecessor period)” in the consolidated balance sheets related to the intercompany services agreement and Triparty Agreement. As of December 31, 2022, we did not have any amounts recorded within “Accounts receivable, net” in the consolidated balance sheets related to the intercompany services agreement and Triparty Agreement. As of December 31, 2021, we had $0.1 million recorded within “Accounts receivable, net” in the consolidated balance sheets related to the intercompany services agreement and Triparty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Relationships with ICE</w:t>
      </w:r>
    </w:p>
    <w:p>
      <w:pPr>
        <w:spacing w:after="0" w:line="25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consolidated statements of operations. In June 2021, Bakkt Clearing sold all of its shares of ICE stock. For the period from January 1, 2021 through October 14, 2021, we recorded a realized loss on the sale of shares of affiliate stock of $0.1 million.</w:t>
      </w:r>
    </w:p>
    <w:p>
      <w:pPr>
        <w:spacing w:after="0" w:line="160"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7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As of December 31, 2022 and December 31, 2021, there were 7,140,808 and 7,141,035 public warrants outstanding, respectively. There were no private placement warrants outstanding at either year end. Public warrants may only be exercised for a whole number of shares. No fractional shares will be issued upon exercise of a public warrant. Each warrant entitles its holders to purchase one share of Class A common stock at an exercise price of $11.50 per share. The public warrants and private placement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6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year ended December 31, 2022, we issued 221 shares of Class A common stock in exchange for the exercise of 221 public warrants. We received less than $0.1 million in proceeds from the exercise of the public warrants. We recognized a gain from the change in fair value of the warrant liability during the year ended December 31, 2022 of $16.6 million, which is reflected in “Gain (loss) from change in fair value of warrant liability” in the consolidated statements of operations.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period from October 15, 2021 through December 31, 2021, we issued 7,194,928 shares of Class A common stock in exchange for the exercise of 3,227,566 public warrants and the cashless exercise of 6,147,440 private placement warrants. We received $37.1 million in proceeds from the exercise of the public warrants. We recognized a loss from the change in fair value of the warrant liability during the period from October 15, 2021 through December 31, 2021 of $79.4 million.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280" w:firstLine="8"/>
        <w:spacing w:after="0" w:line="534" w:lineRule="auto"/>
        <w:tabs>
          <w:tab w:leader="none" w:pos="319"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2022, no shares of preferred stock have been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2022 and December 31, 2021, there were 80,926,843 and 57,164,388 shares of Class A common stock issued and outstanding,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December 31, 2022, no dividends have been declared.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66"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dated October 15, 2021, to exchange their Paired Interests for Class A common stock, or, at our election, cash in lieu thereof. Since the expiration of the six-month lock-up period on April 16, 2022, holders of Paired Interests exchanged an aggregate of 22.5 million Paired Interests for shares of our Class A common stock, and the Company did not elect to settle any such exchanges in cash. As of December 31, 2022 and December 31, 2021, there were 183,482,777 and 206,271,792 shares of Class V common stock issued and outstanding,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shall not be declared or paid on the Class V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summarizes the ownership interests in Bakkt Opco Holdings, LLC as of December 31, 2022 and December 31, 2021.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December 31, 2021</w:t>
            </w:r>
          </w:p>
        </w:tc>
      </w:tr>
      <w:tr>
        <w:trPr>
          <w:trHeight w:val="178"/>
        </w:trPr>
        <w:tc>
          <w:tcPr>
            <w:tcW w:w="4620" w:type="dxa"/>
            <w:vAlign w:val="bottom"/>
          </w:tcPr>
          <w:p>
            <w:pPr>
              <w:spacing w:after="0"/>
              <w:rPr>
                <w:sz w:val="15"/>
                <w:szCs w:val="15"/>
                <w:color w:val="auto"/>
              </w:rPr>
            </w:pPr>
          </w:p>
        </w:tc>
        <w:tc>
          <w:tcPr>
            <w:tcW w:w="1740" w:type="dxa"/>
            <w:vAlign w:val="bottom"/>
          </w:tcPr>
          <w:p>
            <w:pPr>
              <w:jc w:val="right"/>
              <w:ind w:right="630"/>
              <w:spacing w:after="0" w:line="177" w:lineRule="exact"/>
              <w:rPr>
                <w:sz w:val="20"/>
                <w:szCs w:val="20"/>
                <w:color w:val="auto"/>
              </w:rPr>
            </w:pPr>
            <w:r>
              <w:rPr>
                <w:rFonts w:ascii="Arial" w:cs="Arial" w:eastAsia="Arial" w:hAnsi="Arial"/>
                <w:sz w:val="18"/>
                <w:szCs w:val="18"/>
                <w:b w:val="1"/>
                <w:bCs w:val="1"/>
                <w:color w:val="auto"/>
              </w:rPr>
              <w:t>Opco</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ind w:right="650"/>
              <w:spacing w:after="0" w:line="177" w:lineRule="exact"/>
              <w:rPr>
                <w:sz w:val="20"/>
                <w:szCs w:val="20"/>
                <w:color w:val="auto"/>
              </w:rPr>
            </w:pPr>
            <w:r>
              <w:rPr>
                <w:rFonts w:ascii="Arial" w:cs="Arial" w:eastAsia="Arial" w:hAnsi="Arial"/>
                <w:sz w:val="18"/>
                <w:szCs w:val="18"/>
                <w:b w:val="1"/>
                <w:bCs w:val="1"/>
                <w:color w:val="auto"/>
              </w:rPr>
              <w:t>Opco</w:t>
            </w:r>
          </w:p>
        </w:tc>
        <w:tc>
          <w:tcPr>
            <w:tcW w:w="1500" w:type="dxa"/>
            <w:vAlign w:val="bottom"/>
          </w:tcPr>
          <w:p>
            <w:pPr>
              <w:spacing w:after="0"/>
              <w:rPr>
                <w:sz w:val="15"/>
                <w:szCs w:val="15"/>
                <w:color w:val="auto"/>
              </w:rPr>
            </w:pPr>
          </w:p>
        </w:tc>
      </w:tr>
      <w:tr>
        <w:trPr>
          <w:trHeight w:val="234"/>
        </w:trPr>
        <w:tc>
          <w:tcPr>
            <w:tcW w:w="4620" w:type="dxa"/>
            <w:vAlign w:val="bottom"/>
          </w:tcPr>
          <w:p>
            <w:pPr>
              <w:spacing w:after="0"/>
              <w:rPr>
                <w:sz w:val="20"/>
                <w:szCs w:val="20"/>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Ownership %</w:t>
            </w: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80,926,843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57,164,388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183,482,777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206,271,792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264,409,620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263,436,180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The weighted average ownership percentages for the applicable reporting periods are used to attribute net loss and other comprehensive loss to Bakkt Holdings, Inc. and the noncontrolling interest holders. The noncontrolling interest holders’ weighted average ownership percentage for the year ended December 31, 2022 and the period from October 15, 2021 through December 31, 2021 was 72.6% and 78.9%,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Prior to the VIH Business Combination, Opco had three classes of voting units – Class A, Class B and Class C voting units – and incentive units granted under the Opco Incentive Equity Plan (the “Opco Plan”). See Note 11 for further information.</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In December 2018, pursuant to the contribution agreement between Opco and ICE in connection with ICE’s formation of Opco (the “Contribution Agreement”), ICE committed to contribute developed assets and licenses in exchange for 400,000,000 Class A voting units. The primary value contributed by ICE was the access to the trading and clearing services to be provided for the duration of the Triparty Agreement. Prior to 2020, ICE had contributed developed technology assets of $1.7 million, which is included in “Property, equipment and software, net” (see Note 6). The contribution from ICE and associated increase in “Members’ equity” for the Class A voting units issued was recognized over time as the services were provided. During the period from January 1, 2021 through October 14, 2021, ICE contributed $0.2 million of exchange and clearing license value based on costs incurred by IFUS and ICUS for executing and clearing bitcoin futures under the Triparty Agreement. This is shown as a reduction to “Net revenues” in the consolidated statements of operations and an increase to “Members’ equity” in the balance sheets. The reduction to revenue for the year ended December 31, 2022 and the period from October 15, 2021 through December 31, 2021 was immaterial.</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Each Class B voting unit was convertible at the option of the voting unit holder any time into Class A voting units using a defined conversion price formula. All Class B voting units were to convert automatically to Class A voting units in the event of an initial public offering.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connection with the VIH Business Combination (Note 4),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B Warrant</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February 19, 2020, Opco issued a warrant to a strategic partner to purchase 15,000,000 of Opco’s Class B voting units (“Class B Warrant”), at an exercise price of $1.00 per unit, exercisable upon issuance, that expired 3 years from issuance.</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fair value of the Class B Warrant at the issuance date was measured using the Black-Scholes model. The key inputs used in the valuation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of February 19,</w:t>
            </w:r>
          </w:p>
        </w:tc>
      </w:tr>
      <w:tr>
        <w:trPr>
          <w:trHeight w:val="234"/>
        </w:trPr>
        <w:tc>
          <w:tcPr>
            <w:tcW w:w="96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40.00 %</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3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Estimates were determined as follows (i) expected term based on the warrant’s contractual period, (ii) based on the blended volatilities of comparable public companies, (iii) risk-free interest rates based on the U.S. Treasury yield for the expected term, and (iv) an expected dividend yield of zero percent was used since we did not yet and do not yet presently expect to pay dividends.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6, 2021, the strategic partner elected to net exercise its Class B Warrant in exchange for 9,953,454 of Class B voting units.</w:t>
      </w:r>
    </w:p>
    <w:p>
      <w:pPr>
        <w:spacing w:after="0" w:line="25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Since the strategic partner was also a customer of the Company, the issuance of the warrant was determined to be consideration payable to a customer and was recognized as a unit-based sales incentive at fair value on the warrant’s issuance date of $5.4 million, with a corresponding asset recognized and amortized over the term of the customer contract as a reduction to revenue. In October 2021, we updated our assessment of future revenue from its relationship with the strategic partner and determined that the carrying value of the customer consideration asset exceeded the revenue less cost to provide service expected to be recognized from this relationship. As a result, we recorded an impairment charge of $3.6 million to measure the fair value of the customer consideration asset at $0 based on Level 3 inputs. The impairment charge is reflected as “Impairment of long-lived assets”. Accordingly, Successor period transaction fees no longer reflect a reduction for the recognition of the customer consideration asset.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$1.6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August 2021, Opco amended the Class C Warrant to change the service conditions for 781,515 warrant units. The service conditions for the remaining 2,822,085 units were unchanged.</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Opco accounted for the amendment as a modification and remeasured the fair value of the modified warrant units on the modification date using the Black-Scholes model. The fair value of the modified warrant units on modification date was estimated to be $1.0 million. The key inputs used in the valuation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120" w:type="dxa"/>
            <w:vAlign w:val="bottom"/>
          </w:tcPr>
          <w:p>
            <w:pPr>
              <w:jc w:val="right"/>
              <w:spacing w:after="0"/>
              <w:rPr>
                <w:sz w:val="20"/>
                <w:szCs w:val="20"/>
                <w:color w:val="auto"/>
              </w:rPr>
            </w:pPr>
            <w:r>
              <w:rPr>
                <w:rFonts w:ascii="Arial" w:cs="Arial" w:eastAsia="Arial" w:hAnsi="Arial"/>
                <w:sz w:val="18"/>
                <w:szCs w:val="18"/>
                <w:color w:val="auto"/>
              </w:rPr>
              <w:t>0.41 %</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120" w:type="dxa"/>
            <w:vAlign w:val="bottom"/>
          </w:tcPr>
          <w:p>
            <w:pPr>
              <w:jc w:val="right"/>
              <w:spacing w:after="0"/>
              <w:rPr>
                <w:sz w:val="20"/>
                <w:szCs w:val="20"/>
                <w:color w:val="auto"/>
              </w:rPr>
            </w:pPr>
            <w:r>
              <w:rPr>
                <w:rFonts w:ascii="Arial" w:cs="Arial" w:eastAsia="Arial" w:hAnsi="Arial"/>
                <w:sz w:val="18"/>
                <w:szCs w:val="18"/>
                <w:color w:val="auto"/>
              </w:rPr>
              <w:t>3.06</w:t>
            </w:r>
          </w:p>
        </w:tc>
      </w:tr>
    </w:tbl>
    <w:p>
      <w:pPr>
        <w:spacing w:after="0" w:line="2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77"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In connection with the VIH Business Combination, the modified warrant units automatically converted into the right to purchase 793,352 Paired Interests in Opco at an exercise price of $1.11 per Paired Interest. As of December 31, 2022 and December 31, 2021, 172,055 modified warrant units have vested but have not been exercised, and the remaining 621,297 warrant units have not vested or been exercised. We recorded $1.0 million of expense during the period from January 1, 2021 through October 14, 2021 upon the vesting of the modified warrant units which is reflected in “Selling, general and administrative” in the consolidated statements of operations. No expenses were recorded in the year ended December 31, 2022 or the period from October 15, 2021 through December 31, 2021 since the service conditions were not probable of being met in those periods.</w:t>
      </w:r>
    </w:p>
    <w:p>
      <w:pPr>
        <w:spacing w:after="0" w:line="151" w:lineRule="exact"/>
        <w:rPr>
          <w:sz w:val="20"/>
          <w:szCs w:val="20"/>
          <w:color w:val="auto"/>
        </w:rPr>
      </w:pPr>
    </w:p>
    <w:p>
      <w:pPr>
        <w:ind w:right="7560" w:firstLine="8"/>
        <w:spacing w:after="0" w:line="526" w:lineRule="auto"/>
        <w:tabs>
          <w:tab w:leader="none" w:pos="309"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year ended December 31, 2022, we granted 10,251,747 RSUs and 5,116,984 PSUs, which represents 100% of the target award, to employees and directors. We recorded $31.6 million and $1.0 million of share-based compensation expense for the year ended December 31, 2022 and for the period from October 15, 2021 through December 31, 2021, respectively, which is included in “Compensation and benefits” in the consolidated statements of operations. We recorded $23.9 million and $1.0 million of share-based compensation expense related to RSUs for the year ended December 31, 2022 and for the period from October 15, 2021 through December 31, 2021, respectively. We recorded $7.7 million of share-based compensation expense related to PSUs for the year ended December 31, 2022. We did not record any share-based compensation expense related to PSUs for the period from October 15, 2021 through December 31,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Unrecognized compensation expense as of December 31, 2022 was $29.9 million for the RSUs and PSUs. The unrecognized compensation expense will be recognized over a weighted-average period of 2.05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RSU and PSU activity under the 2021 Incentive Plan for the year ended December 31, 2022 and the period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 through December 31, 2021 (in thousands, except per unit data):</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5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Remaining</w:t>
            </w:r>
          </w:p>
        </w:tc>
        <w:tc>
          <w:tcPr>
            <w:tcW w:w="15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00" w:type="dxa"/>
            <w:vAlign w:val="bottom"/>
          </w:tcPr>
          <w:p>
            <w:pPr>
              <w:spacing w:after="0"/>
              <w:rPr>
                <w:sz w:val="15"/>
                <w:szCs w:val="15"/>
                <w:color w:val="auto"/>
              </w:rPr>
            </w:pPr>
          </w:p>
        </w:tc>
        <w:tc>
          <w:tcPr>
            <w:tcW w:w="148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220" w:type="dxa"/>
            <w:vAlign w:val="bottom"/>
          </w:tcPr>
          <w:p>
            <w:pPr>
              <w:spacing w:after="0"/>
              <w:rPr>
                <w:sz w:val="15"/>
                <w:szCs w:val="15"/>
                <w:color w:val="auto"/>
              </w:rPr>
            </w:pPr>
          </w:p>
        </w:tc>
        <w:tc>
          <w:tcPr>
            <w:tcW w:w="12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3"/>
        </w:trPr>
        <w:tc>
          <w:tcPr>
            <w:tcW w:w="5020" w:type="dxa"/>
            <w:vAlign w:val="bottom"/>
          </w:tcPr>
          <w:p>
            <w:pPr>
              <w:ind w:left="1900"/>
              <w:spacing w:after="0"/>
              <w:rPr>
                <w:sz w:val="20"/>
                <w:szCs w:val="20"/>
                <w:color w:val="auto"/>
              </w:rPr>
            </w:pPr>
            <w:r>
              <w:rPr>
                <w:rFonts w:ascii="Arial" w:cs="Arial" w:eastAsia="Arial" w:hAnsi="Arial"/>
                <w:sz w:val="18"/>
                <w:szCs w:val="18"/>
                <w:b w:val="1"/>
                <w:bCs w:val="1"/>
                <w:color w:val="auto"/>
              </w:rPr>
              <w:t>RSUs and PSUs</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of Shares</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1"/>
                <w:szCs w:val="21"/>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1"/>
                <w:szCs w:val="21"/>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October 15, 2021</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19,669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60,583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During the year ended December 31, 2022, we recorded $2.0 million of share-based compensation expense related to the accelerated vesting for certain employees that were terminated. We also recorded reversal of share-based compensation expense of $1.9 million during the year ended December 31, 2022 for pre-vesting forfeitures of RSUs, a portion of which is described below.</w:t>
      </w:r>
    </w:p>
    <w:p>
      <w:pPr>
        <w:spacing w:after="0" w:line="188"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spacing w:after="0" w:line="15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fair value of the RSUs and PSUs used in determining share-based compensation expense is based on the closing price of our common stock on the grant date.</w:t>
      </w:r>
    </w:p>
    <w:p>
      <w:pPr>
        <w:spacing w:after="0" w:line="157"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PSUs provide an opportunity for the recipient to receive a number of shares of our common stock based on our performance during fiscal years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based upon the achievement of the final annual target. Upon vesting, each performance stock unit equals one share of common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stock of the Company. We accrue compensation expense for the PSUs based on our assessment of the probable outcome of the performance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56"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6"/>
          <w:szCs w:val="16"/>
          <w:color w:val="auto"/>
        </w:rPr>
        <w:t>In December 2018, Opco established the Opco Plan. The purpose of the Opco Plan was to provide incentives to selected employees, directors, and service providers to promote long-term growth and profitability. Three types of awards may be granted under the Opco Plan: (1) preferred incentive units,</w:t>
      </w:r>
    </w:p>
    <w:p>
      <w:pPr>
        <w:spacing w:after="0" w:line="1" w:lineRule="exact"/>
        <w:rPr>
          <w:sz w:val="20"/>
          <w:szCs w:val="20"/>
          <w:color w:val="auto"/>
        </w:rPr>
      </w:pPr>
    </w:p>
    <w:p>
      <w:pPr>
        <w:ind w:firstLine="8"/>
        <w:spacing w:after="0" w:line="324" w:lineRule="auto"/>
        <w:tabs>
          <w:tab w:leader="none" w:pos="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common incentive units, and (3) participation units. The total number of units that Opco was authorized to issue under the Opco Plan was 156,000,000, which were granted at the discretion of the Compensation Committee of the Board of Directors of the Company.</w:t>
      </w:r>
    </w:p>
    <w:p>
      <w:pPr>
        <w:spacing w:after="0" w:line="157"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w:t>
      </w:r>
    </w:p>
    <w:p>
      <w:pPr>
        <w:spacing w:after="0" w:line="1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w:t>
      </w:r>
    </w:p>
    <w:p>
      <w:pPr>
        <w:spacing w:after="0" w:line="177"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spacing w:after="0" w:line="16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As such, Opco classified the incentive units as “Mezzanine equity” on the balance sheet due to this put option which represented a redemption feature.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w:t>
      </w:r>
    </w:p>
    <w:p>
      <w:pPr>
        <w:spacing w:after="0" w:line="17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 Upon consummation of the VIH Business Combination, we paid $1.5 million to award holders for the redemption. This amount is included in the purchase consideration paid to Opco Equity Holders (Note 4). As this obligation was contingent upon consummation of the VIH Business Combination, Opco did not recognize any additional unit-based compensation expense as a result of the modification for the period from January 1, 2021 through October 14, 2021.</w:t>
      </w:r>
    </w:p>
    <w:p>
      <w:pPr>
        <w:spacing w:after="0" w:line="1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Upon consummation of the VIH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These payments are included in “Other assets and liabilities” in the statements of cash flows.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Unit-based compensation expense for the year ended December 31, 2022 and the period from October 15, 2021 through December 31, 2021, was as follows (in thousands):</w:t>
      </w:r>
    </w:p>
    <w:p>
      <w:pPr>
        <w:spacing w:after="0" w:line="193"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6"/>
                <w:szCs w:val="16"/>
                <w:b w:val="1"/>
                <w:bCs w:val="1"/>
                <w:color w:val="auto"/>
                <w:w w:val="90"/>
              </w:rPr>
              <w:t>October 15, 2021</w:t>
            </w:r>
          </w:p>
        </w:tc>
        <w:tc>
          <w:tcPr>
            <w:tcW w:w="0" w:type="dxa"/>
            <w:vAlign w:val="bottom"/>
          </w:tcPr>
          <w:p>
            <w:pPr>
              <w:spacing w:after="0"/>
              <w:rPr>
                <w:sz w:val="1"/>
                <w:szCs w:val="1"/>
                <w:color w:val="auto"/>
              </w:rPr>
            </w:pPr>
          </w:p>
        </w:tc>
      </w:tr>
      <w:tr>
        <w:trPr>
          <w:trHeight w:val="162"/>
        </w:trPr>
        <w:tc>
          <w:tcPr>
            <w:tcW w:w="818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Type of unit</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through December</w:t>
            </w:r>
          </w:p>
        </w:tc>
        <w:tc>
          <w:tcPr>
            <w:tcW w:w="0" w:type="dxa"/>
            <w:vAlign w:val="bottom"/>
          </w:tcPr>
          <w:p>
            <w:pPr>
              <w:spacing w:after="0"/>
              <w:rPr>
                <w:sz w:val="1"/>
                <w:szCs w:val="1"/>
                <w:color w:val="auto"/>
              </w:rPr>
            </w:pPr>
          </w:p>
        </w:tc>
      </w:tr>
      <w:tr>
        <w:trPr>
          <w:trHeight w:val="216"/>
        </w:trPr>
        <w:tc>
          <w:tcPr>
            <w:tcW w:w="8180" w:type="dxa"/>
            <w:vAlign w:val="bottom"/>
            <w:vMerge w:val="continue"/>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2022</w:t>
            </w:r>
          </w:p>
        </w:tc>
        <w:tc>
          <w:tcPr>
            <w:tcW w:w="120" w:type="dxa"/>
            <w:vAlign w:val="bottom"/>
          </w:tcPr>
          <w:p>
            <w:pPr>
              <w:spacing w:after="0"/>
              <w:rPr>
                <w:sz w:val="18"/>
                <w:szCs w:val="18"/>
                <w:color w:val="auto"/>
              </w:rPr>
            </w:pPr>
          </w:p>
        </w:tc>
        <w:tc>
          <w:tcPr>
            <w:tcW w:w="136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31, 2021</w:t>
            </w:r>
          </w:p>
        </w:tc>
        <w:tc>
          <w:tcPr>
            <w:tcW w:w="0" w:type="dxa"/>
            <w:vAlign w:val="bottom"/>
          </w:tcPr>
          <w:p>
            <w:pPr>
              <w:spacing w:after="0"/>
              <w:rPr>
                <w:sz w:val="1"/>
                <w:szCs w:val="1"/>
                <w:color w:val="auto"/>
              </w:rPr>
            </w:pPr>
          </w:p>
        </w:tc>
      </w:tr>
      <w:tr>
        <w:trPr>
          <w:trHeight w:val="223"/>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Unit-based compensation expense for the period from January 1, 2021 through October 14, 2021,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r>
      <w:tr>
        <w:trPr>
          <w:trHeight w:val="169"/>
        </w:trPr>
        <w:tc>
          <w:tcPr>
            <w:tcW w:w="9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January 1,</w:t>
            </w:r>
          </w:p>
        </w:tc>
      </w:tr>
      <w:tr>
        <w:trPr>
          <w:trHeight w:val="175"/>
        </w:trPr>
        <w:tc>
          <w:tcPr>
            <w:tcW w:w="9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2021 through</w:t>
            </w:r>
          </w:p>
        </w:tc>
      </w:tr>
      <w:tr>
        <w:trPr>
          <w:trHeight w:val="243"/>
        </w:trPr>
        <w:tc>
          <w:tcPr>
            <w:tcW w:w="9760" w:type="dxa"/>
            <w:vAlign w:val="bottom"/>
            <w:tcBorders>
              <w:bottom w:val="single" w:sz="8" w:color="auto"/>
            </w:tcBorders>
          </w:tcPr>
          <w:p>
            <w:pPr>
              <w:ind w:left="4420"/>
              <w:spacing w:after="0"/>
              <w:rPr>
                <w:sz w:val="20"/>
                <w:szCs w:val="20"/>
                <w:color w:val="auto"/>
              </w:rPr>
            </w:pPr>
            <w:r>
              <w:rPr>
                <w:rFonts w:ascii="Arial" w:cs="Arial" w:eastAsia="Arial" w:hAnsi="Arial"/>
                <w:sz w:val="18"/>
                <w:szCs w:val="18"/>
                <w:b w:val="1"/>
                <w:bCs w:val="1"/>
                <w:color w:val="auto"/>
              </w:rPr>
              <w:t>Type of unit</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October 14, 2021</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incentive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Common incentive unit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33,877</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Included in the unit-based compensation expense for the period from October 15, 2021 through December 31, 2021 is $47.2 million of accelerated expense related to the incremental fair value of Successor common incentive and participation units based on remeasurement of the fair value of common incentive units and participation units in the Opco Plan on the Closing Date, as well as acceleration of expense for non-substantive service. This increase in expense was partially offset by the reversal of expense previously recorded for forfeitures of preferred and common incentive units made by certain former employees.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Included in the unit-based compensation expense for the period January 1, 2021 through October 14, 2021 is $30.6 million of accelerated expense related to the one-third of the incentive units and participation units in the Opco Plan which vested upon consummation of the VIH Business Combination.</w:t>
      </w:r>
    </w:p>
    <w:p>
      <w:pPr>
        <w:spacing w:after="0" w:line="1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2022.</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Unrecognized compensation expense as of December 31, 2021 was $5.7 million and $1.9 million for common incentive units and participation units, respectively. The unrecognized compensation expense will be recognized over a weighted-average period of 1.79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common incentive unit activity under the Opco Plan for the year ended December 31, 2022 and the period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October 15, 2021 through December 31, 2021 (in thousands, except per unit data):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tcPr>
          <w:p>
            <w:pPr>
              <w:jc w:val="center"/>
              <w:ind w:left="570"/>
              <w:spacing w:after="0" w:line="177" w:lineRule="exact"/>
              <w:rPr>
                <w:sz w:val="20"/>
                <w:szCs w:val="20"/>
                <w:color w:val="auto"/>
              </w:rPr>
            </w:pPr>
            <w:r>
              <w:rPr>
                <w:rFonts w:ascii="Arial" w:cs="Arial" w:eastAsia="Arial" w:hAnsi="Arial"/>
                <w:sz w:val="18"/>
                <w:szCs w:val="18"/>
                <w:b w:val="1"/>
                <w:bCs w:val="1"/>
                <w:color w:val="auto"/>
                <w:w w:val="93"/>
              </w:rPr>
              <w:t>Number of</w:t>
            </w:r>
          </w:p>
        </w:tc>
        <w:tc>
          <w:tcPr>
            <w:tcW w:w="14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Weighted Average</w:t>
            </w: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2180" w:type="dxa"/>
            <w:vAlign w:val="bottom"/>
          </w:tcPr>
          <w:p>
            <w:pPr>
              <w:jc w:val="center"/>
              <w:ind w:left="570"/>
              <w:spacing w:after="0" w:line="181" w:lineRule="exact"/>
              <w:rPr>
                <w:sz w:val="20"/>
                <w:szCs w:val="20"/>
                <w:color w:val="auto"/>
              </w:rPr>
            </w:pPr>
            <w:r>
              <w:rPr>
                <w:rFonts w:ascii="Arial" w:cs="Arial" w:eastAsia="Arial" w:hAnsi="Arial"/>
                <w:sz w:val="18"/>
                <w:szCs w:val="18"/>
                <w:b w:val="1"/>
                <w:bCs w:val="1"/>
                <w:color w:val="auto"/>
                <w:w w:val="92"/>
              </w:rPr>
              <w:t>Common</w:t>
            </w: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Common Incentive Units</w:t>
            </w:r>
          </w:p>
        </w:tc>
        <w:tc>
          <w:tcPr>
            <w:tcW w:w="2180" w:type="dxa"/>
            <w:vAlign w:val="bottom"/>
          </w:tcPr>
          <w:p>
            <w:pPr>
              <w:jc w:val="center"/>
              <w:ind w:left="570"/>
              <w:spacing w:after="0" w:line="176" w:lineRule="exact"/>
              <w:rPr>
                <w:sz w:val="20"/>
                <w:szCs w:val="20"/>
                <w:color w:val="auto"/>
              </w:rPr>
            </w:pPr>
            <w:r>
              <w:rPr>
                <w:rFonts w:ascii="Arial" w:cs="Arial" w:eastAsia="Arial" w:hAnsi="Arial"/>
                <w:sz w:val="18"/>
                <w:szCs w:val="18"/>
                <w:b w:val="1"/>
                <w:bCs w:val="1"/>
                <w:color w:val="auto"/>
                <w:w w:val="92"/>
              </w:rPr>
              <w:t>Incentive</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15"/>
                <w:szCs w:val="15"/>
                <w:color w:val="auto"/>
              </w:rPr>
            </w:pPr>
          </w:p>
        </w:tc>
        <w:tc>
          <w:tcPr>
            <w:tcW w:w="13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240" w:type="dxa"/>
            <w:vAlign w:val="bottom"/>
          </w:tcPr>
          <w:p>
            <w:pPr>
              <w:spacing w:after="0"/>
              <w:rPr>
                <w:sz w:val="15"/>
                <w:szCs w:val="15"/>
                <w:color w:val="auto"/>
              </w:rPr>
            </w:pPr>
          </w:p>
        </w:tc>
        <w:tc>
          <w:tcPr>
            <w:tcW w:w="12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8"/>
              </w:rPr>
              <w:t>Units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October 15, 2021</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Exchanged</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Exchanged</w:t>
            </w:r>
          </w:p>
        </w:tc>
        <w:tc>
          <w:tcPr>
            <w:tcW w:w="2180" w:type="dxa"/>
            <w:vAlign w:val="bottom"/>
          </w:tcPr>
          <w:p>
            <w:pPr>
              <w:jc w:val="right"/>
              <w:spacing w:after="0"/>
              <w:rPr>
                <w:sz w:val="20"/>
                <w:szCs w:val="20"/>
                <w:color w:val="auto"/>
              </w:rPr>
            </w:pPr>
            <w:r>
              <w:rPr>
                <w:rFonts w:ascii="Arial" w:cs="Arial" w:eastAsia="Arial" w:hAnsi="Arial"/>
                <w:sz w:val="18"/>
                <w:szCs w:val="18"/>
                <w:color w:val="auto"/>
              </w:rPr>
              <w:t>(7,732)</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tables summarize preferred incentive unit and common incentive unit activity under the Opco Plan for the period from January 1, 2021 through October 14, 2021 (in thousands, except per unit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left="970"/>
              <w:spacing w:after="0" w:line="169"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980" w:type="dxa"/>
            <w:vAlign w:val="bottom"/>
          </w:tcPr>
          <w:p>
            <w:pPr>
              <w:jc w:val="center"/>
              <w:ind w:left="990"/>
              <w:spacing w:after="0" w:line="176" w:lineRule="exact"/>
              <w:rPr>
                <w:sz w:val="20"/>
                <w:szCs w:val="20"/>
                <w:color w:val="auto"/>
              </w:rPr>
            </w:pPr>
            <w:r>
              <w:rPr>
                <w:rFonts w:ascii="Arial" w:cs="Arial" w:eastAsia="Arial" w:hAnsi="Arial"/>
                <w:sz w:val="18"/>
                <w:szCs w:val="18"/>
                <w:b w:val="1"/>
                <w:bCs w:val="1"/>
                <w:color w:val="auto"/>
                <w:w w:val="92"/>
              </w:rPr>
              <w:t>Preferred</w:t>
            </w:r>
          </w:p>
        </w:tc>
        <w:tc>
          <w:tcPr>
            <w:tcW w:w="2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vMerge w:val="restart"/>
          </w:tcPr>
          <w:p>
            <w:pPr>
              <w:ind w:left="1680"/>
              <w:spacing w:after="0"/>
              <w:rPr>
                <w:sz w:val="20"/>
                <w:szCs w:val="20"/>
                <w:color w:val="auto"/>
              </w:rPr>
            </w:pPr>
            <w:r>
              <w:rPr>
                <w:rFonts w:ascii="Arial" w:cs="Arial" w:eastAsia="Arial" w:hAnsi="Arial"/>
                <w:sz w:val="18"/>
                <w:szCs w:val="18"/>
                <w:b w:val="1"/>
                <w:bCs w:val="1"/>
                <w:color w:val="auto"/>
              </w:rPr>
              <w:t>Preferred Incentive Units</w:t>
            </w:r>
          </w:p>
        </w:tc>
        <w:tc>
          <w:tcPr>
            <w:tcW w:w="1980" w:type="dxa"/>
            <w:vAlign w:val="bottom"/>
          </w:tcPr>
          <w:p>
            <w:pPr>
              <w:jc w:val="center"/>
              <w:ind w:left="970"/>
              <w:spacing w:after="0" w:line="189" w:lineRule="exact"/>
              <w:rPr>
                <w:sz w:val="20"/>
                <w:szCs w:val="20"/>
                <w:color w:val="auto"/>
              </w:rPr>
            </w:pPr>
            <w:r>
              <w:rPr>
                <w:rFonts w:ascii="Arial" w:cs="Arial" w:eastAsia="Arial" w:hAnsi="Arial"/>
                <w:sz w:val="18"/>
                <w:szCs w:val="18"/>
                <w:b w:val="1"/>
                <w:bCs w:val="1"/>
                <w:color w:val="auto"/>
                <w:w w:val="92"/>
              </w:rPr>
              <w:t>Incentive</w:t>
            </w:r>
          </w:p>
        </w:tc>
        <w:tc>
          <w:tcPr>
            <w:tcW w:w="28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16"/>
                <w:szCs w:val="16"/>
                <w:color w:val="auto"/>
              </w:rPr>
            </w:pPr>
          </w:p>
        </w:tc>
        <w:tc>
          <w:tcPr>
            <w:tcW w:w="136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6"/>
              </w:rPr>
              <w:t>Grant Date Fair</w:t>
            </w:r>
          </w:p>
        </w:tc>
        <w:tc>
          <w:tcPr>
            <w:tcW w:w="240" w:type="dxa"/>
            <w:vAlign w:val="bottom"/>
          </w:tcPr>
          <w:p>
            <w:pPr>
              <w:spacing w:after="0"/>
              <w:rPr>
                <w:sz w:val="16"/>
                <w:szCs w:val="16"/>
                <w:color w:val="auto"/>
              </w:rPr>
            </w:pPr>
          </w:p>
        </w:tc>
        <w:tc>
          <w:tcPr>
            <w:tcW w:w="12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1980" w:type="dxa"/>
            <w:vAlign w:val="bottom"/>
          </w:tcPr>
          <w:p>
            <w:pPr>
              <w:jc w:val="center"/>
              <w:ind w:left="970"/>
              <w:spacing w:after="0"/>
              <w:rPr>
                <w:sz w:val="20"/>
                <w:szCs w:val="20"/>
                <w:color w:val="auto"/>
              </w:rPr>
            </w:pPr>
            <w:r>
              <w:rPr>
                <w:rFonts w:ascii="Arial" w:cs="Arial" w:eastAsia="Arial" w:hAnsi="Arial"/>
                <w:sz w:val="18"/>
                <w:szCs w:val="18"/>
                <w:b w:val="1"/>
                <w:bCs w:val="1"/>
                <w:color w:val="auto"/>
                <w:w w:val="88"/>
              </w:rPr>
              <w:t>Units</w:t>
            </w:r>
          </w:p>
        </w:tc>
        <w:tc>
          <w:tcPr>
            <w:tcW w:w="2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9"/>
                <w:szCs w:val="19"/>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76,475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Vested</w:t>
            </w:r>
          </w:p>
        </w:tc>
        <w:tc>
          <w:tcPr>
            <w:tcW w:w="1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October 14, 2021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76,475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141,058</w:t>
            </w:r>
          </w:p>
        </w:tc>
        <w:tc>
          <w:tcPr>
            <w:tcW w:w="0" w:type="dxa"/>
            <w:vAlign w:val="bottom"/>
          </w:tcPr>
          <w:p>
            <w:pPr>
              <w:spacing w:after="0"/>
              <w:rPr>
                <w:sz w:val="1"/>
                <w:szCs w:val="1"/>
                <w:color w:val="auto"/>
              </w:rPr>
            </w:pPr>
          </w:p>
        </w:tc>
      </w:tr>
      <w:tr>
        <w:trPr>
          <w:trHeight w:val="918"/>
        </w:trPr>
        <w:tc>
          <w:tcPr>
            <w:tcW w:w="4520" w:type="dxa"/>
            <w:vAlign w:val="bottom"/>
          </w:tcPr>
          <w:p>
            <w:pPr>
              <w:spacing w:after="0"/>
              <w:rPr>
                <w:sz w:val="24"/>
                <w:szCs w:val="24"/>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4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vMerge w:val="restart"/>
          </w:tcPr>
          <w:p>
            <w:pPr>
              <w:jc w:val="center"/>
              <w:ind w:left="65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Common Incentive Units</w:t>
            </w:r>
          </w:p>
        </w:tc>
        <w:tc>
          <w:tcPr>
            <w:tcW w:w="2260" w:type="dxa"/>
            <w:vAlign w:val="bottom"/>
          </w:tcPr>
          <w:p>
            <w:pPr>
              <w:jc w:val="center"/>
              <w:ind w:left="650"/>
              <w:spacing w:after="0" w:line="189" w:lineRule="exact"/>
              <w:rPr>
                <w:sz w:val="20"/>
                <w:szCs w:val="20"/>
                <w:color w:val="auto"/>
              </w:rPr>
            </w:pPr>
            <w:r>
              <w:rPr>
                <w:rFonts w:ascii="Arial" w:cs="Arial" w:eastAsia="Arial" w:hAnsi="Arial"/>
                <w:sz w:val="18"/>
                <w:szCs w:val="18"/>
                <w:b w:val="1"/>
                <w:bCs w:val="1"/>
                <w:color w:val="auto"/>
                <w:w w:val="92"/>
              </w:rPr>
              <w:t>Common</w:t>
            </w:r>
          </w:p>
        </w:tc>
        <w:tc>
          <w:tcPr>
            <w:tcW w:w="1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16"/>
                <w:szCs w:val="16"/>
                <w:color w:val="auto"/>
              </w:rPr>
            </w:pPr>
          </w:p>
        </w:tc>
        <w:tc>
          <w:tcPr>
            <w:tcW w:w="136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6"/>
              </w:rPr>
              <w:t>Grant Date Fair</w:t>
            </w:r>
          </w:p>
        </w:tc>
        <w:tc>
          <w:tcPr>
            <w:tcW w:w="240" w:type="dxa"/>
            <w:vAlign w:val="bottom"/>
          </w:tcPr>
          <w:p>
            <w:pPr>
              <w:spacing w:after="0"/>
              <w:rPr>
                <w:sz w:val="16"/>
                <w:szCs w:val="16"/>
                <w:color w:val="auto"/>
              </w:rPr>
            </w:pPr>
          </w:p>
        </w:tc>
        <w:tc>
          <w:tcPr>
            <w:tcW w:w="12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9"/>
        </w:trPr>
        <w:tc>
          <w:tcPr>
            <w:tcW w:w="4540" w:type="dxa"/>
            <w:vAlign w:val="bottom"/>
            <w:vMerge w:val="continue"/>
          </w:tcPr>
          <w:p>
            <w:pPr>
              <w:spacing w:after="0"/>
              <w:rPr>
                <w:sz w:val="19"/>
                <w:szCs w:val="19"/>
                <w:color w:val="auto"/>
              </w:rPr>
            </w:pPr>
          </w:p>
        </w:tc>
        <w:tc>
          <w:tcPr>
            <w:tcW w:w="226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Incentive Units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9"/>
                <w:szCs w:val="19"/>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Vested</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October 14, 2021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There were no participation units granted during the year ended December 31, 2022 or the period from October 15, 2021 through December 31, 2021. There were less than 0.1 million participation units granted during the period from January 1, 2021 through October 14, 2021. The total number of participation units outstanding as of December 31, 2022 and December 31, 2021 were 0.2 million and 0.7 million, respectively. During the year ended December 31, 2022 we made cash payments of $0.5 million to settle vested participation units. During the period from October 15, 2021 through December 31, 2021 we made cash payments of $5.2 million to settle vested participation units. We did not make any cash payments to settle vested participation units during the period from January 1, 2021 through October 14, 2021. During the period from October 15, 2021 through December 31, 2021, we granted certain employees awards, which are payable over a two-year period in cash or shares of Class A common stock in an amount that will fluctuate based on the trading price of Class A common stock. We included these awards in the amounts above as they are subject to the same accounting as the participation units. The fair value of the participation units as of December 31, 2022 and December 31, 2021, was $0.3 million and $4.1 million, respectively. Participation units are settled in cash and the balance is recorded within other current liabilities and other noncurrent liabilities as described in Note 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69"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15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7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pacing w:after="0" w:line="7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7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 year time to exit Predecessor awards and the six month lock-up restriction on Successor awards is reflected as a discount for lack of marketability estimated using the Finnerty model.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inputs used in the models to estimate the fair value of the common incentive units and participation units granted in 2021 are summarized as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p>
        </w:tc>
        <w:tc>
          <w:tcPr>
            <w:tcW w:w="1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94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December 31, 2021</w:t>
            </w:r>
          </w:p>
        </w:tc>
      </w:tr>
      <w:tr>
        <w:trPr>
          <w:trHeight w:val="23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right"/>
              <w:spacing w:after="0"/>
              <w:rPr>
                <w:sz w:val="20"/>
                <w:szCs w:val="20"/>
                <w:color w:val="auto"/>
              </w:rPr>
            </w:pPr>
            <w:r>
              <w:rPr>
                <w:rFonts w:ascii="Arial" w:cs="Arial" w:eastAsia="Arial" w:hAnsi="Arial"/>
                <w:sz w:val="18"/>
                <w:szCs w:val="18"/>
                <w:color w:val="auto"/>
              </w:rPr>
              <w:t>0.06% - 0.36%</w:t>
            </w:r>
          </w:p>
        </w:tc>
      </w:tr>
      <w:tr>
        <w:trPr>
          <w:trHeight w:val="27"/>
        </w:trPr>
        <w:tc>
          <w:tcPr>
            <w:tcW w:w="9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 - 53.00%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820" w:type="dxa"/>
            <w:vAlign w:val="bottom"/>
          </w:tcPr>
          <w:p>
            <w:pPr>
              <w:jc w:val="right"/>
              <w:spacing w:after="0"/>
              <w:rPr>
                <w:sz w:val="20"/>
                <w:szCs w:val="20"/>
                <w:color w:val="auto"/>
              </w:rPr>
            </w:pPr>
            <w:r>
              <w:rPr>
                <w:rFonts w:ascii="Arial" w:cs="Arial" w:eastAsia="Arial" w:hAnsi="Arial"/>
                <w:sz w:val="18"/>
                <w:szCs w:val="18"/>
                <w:color w:val="auto"/>
              </w:rPr>
              <w:t>0.50 - 2.00</w:t>
            </w:r>
          </w:p>
        </w:tc>
      </w:tr>
      <w:tr>
        <w:trPr>
          <w:trHeight w:val="27"/>
        </w:trPr>
        <w:tc>
          <w:tcPr>
            <w:tcW w:w="9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for lack of marketability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r>
      <w:tr>
        <w:trPr>
          <w:trHeight w:val="27"/>
        </w:trPr>
        <w:tc>
          <w:tcPr>
            <w:tcW w:w="9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October 15, 2021</w:t>
            </w:r>
          </w:p>
        </w:tc>
      </w:tr>
      <w:tr>
        <w:trPr>
          <w:trHeight w:val="184"/>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line="184" w:lineRule="exact"/>
              <w:rPr>
                <w:sz w:val="20"/>
                <w:szCs w:val="20"/>
                <w:color w:val="auto"/>
              </w:rPr>
            </w:pPr>
            <w:r>
              <w:rPr>
                <w:rFonts w:ascii="Arial" w:cs="Arial" w:eastAsia="Arial" w:hAnsi="Arial"/>
                <w:sz w:val="18"/>
                <w:szCs w:val="18"/>
                <w:b w:val="1"/>
                <w:bCs w:val="1"/>
                <w:color w:val="auto"/>
                <w:w w:val="88"/>
              </w:rPr>
              <w:t>December 31,</w:t>
            </w:r>
          </w:p>
        </w:tc>
        <w:tc>
          <w:tcPr>
            <w:tcW w:w="1480" w:type="dxa"/>
            <w:vAlign w:val="bottom"/>
            <w:gridSpan w:val="2"/>
          </w:tcPr>
          <w:p>
            <w:pPr>
              <w:ind w:left="20"/>
              <w:spacing w:after="0" w:line="184" w:lineRule="exact"/>
              <w:rPr>
                <w:sz w:val="20"/>
                <w:szCs w:val="20"/>
                <w:color w:val="auto"/>
              </w:rPr>
            </w:pPr>
            <w:r>
              <w:rPr>
                <w:rFonts w:ascii="Arial" w:cs="Arial" w:eastAsia="Arial" w:hAnsi="Arial"/>
                <w:sz w:val="18"/>
                <w:szCs w:val="18"/>
                <w:b w:val="1"/>
                <w:bCs w:val="1"/>
                <w:color w:val="auto"/>
                <w:w w:val="89"/>
              </w:rPr>
              <w:t>through December</w:t>
            </w:r>
          </w:p>
        </w:tc>
      </w:tr>
      <w:tr>
        <w:trPr>
          <w:trHeight w:val="234"/>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31, 2021</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b w:val="1"/>
                <w:bCs w:val="1"/>
                <w:color w:val="auto"/>
              </w:rPr>
              <w:t>Numerator – basic and diluted: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(164,827)</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(120,832)</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Net loss and tax effect attributable to noncontrolling interests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Denominator – basic and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71,167,992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54,018,064</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 –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71,167,992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54,018,064</w:t>
            </w:r>
          </w:p>
        </w:tc>
      </w:tr>
      <w:tr>
        <w:trPr>
          <w:trHeight w:val="257"/>
        </w:trPr>
        <w:tc>
          <w:tcPr>
            <w:tcW w:w="8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Net loss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(0.81)</w:t>
            </w:r>
          </w:p>
        </w:tc>
      </w:tr>
    </w:tbl>
    <w:p>
      <w:pPr>
        <w:spacing w:after="0" w:line="30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 summarizes the total potential common shares excluded from diluted loss per common share as their effect would be anti-dilutive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October 15, 2021</w:t>
            </w:r>
          </w:p>
        </w:tc>
      </w:tr>
      <w:tr>
        <w:trPr>
          <w:trHeight w:val="184"/>
        </w:trPr>
        <w:tc>
          <w:tcPr>
            <w:tcW w:w="8180" w:type="dxa"/>
            <w:vAlign w:val="bottom"/>
          </w:tcPr>
          <w:p>
            <w:pPr>
              <w:spacing w:after="0"/>
              <w:rPr>
                <w:sz w:val="16"/>
                <w:szCs w:val="16"/>
                <w:color w:val="auto"/>
              </w:rPr>
            </w:pPr>
          </w:p>
        </w:tc>
        <w:tc>
          <w:tcPr>
            <w:tcW w:w="158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through December</w:t>
            </w:r>
          </w:p>
        </w:tc>
      </w:tr>
      <w:tr>
        <w:trPr>
          <w:trHeight w:val="234"/>
        </w:trPr>
        <w:tc>
          <w:tcPr>
            <w:tcW w:w="8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PSUs</w:t>
            </w:r>
          </w:p>
        </w:tc>
        <w:tc>
          <w:tcPr>
            <w:tcW w:w="148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Opco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unvested incentive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Opco common units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181,241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201,440</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Requirements</w:t>
      </w:r>
    </w:p>
    <w:p>
      <w:pPr>
        <w:spacing w:after="0" w:line="25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b w:val="1"/>
          <w:bCs w:val="1"/>
          <w:color w:val="auto"/>
        </w:rPr>
        <w:t xml:space="preserve">Bakkt Trust Company LLC </w:t>
      </w:r>
      <w:r>
        <w:rPr>
          <w:rFonts w:ascii="Arial" w:cs="Arial" w:eastAsia="Arial" w:hAnsi="Arial"/>
          <w:sz w:val="16"/>
          <w:szCs w:val="16"/>
          <w:color w:val="auto"/>
        </w:rPr>
        <w:t>is subject to certain regulatory capital requirements imposed by the New York State Department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(“NYDFS”). These capital requirements require Bakkt Trust to maintain positive net worth at the greater of $15.0 million or the sum of the required percentage established for transmitted assets, cold wallet, and hot wallet custody assets. As of both December 31, 2022 and 2021, Bakkt Trust had determined that $16.5 million, should be set aside to satisfy these requirements, which is reflected as “Restricted cash” in the consolidated balance sheets.</w:t>
      </w:r>
    </w:p>
    <w:p>
      <w:pPr>
        <w:spacing w:after="0" w:line="142"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b w:val="1"/>
          <w:bCs w:val="1"/>
          <w:color w:val="auto"/>
        </w:rPr>
        <w:t xml:space="preserve">Bakkt Clearing, LLC (“Bakkt Clearing”) </w:t>
      </w:r>
      <w:r>
        <w:rPr>
          <w:rFonts w:ascii="Arial" w:cs="Arial" w:eastAsia="Arial" w:hAnsi="Arial"/>
          <w:sz w:val="17"/>
          <w:szCs w:val="17"/>
          <w:color w:val="auto"/>
        </w:rPr>
        <w:t>was registered as a futures commission merchant (“FCM”) with the Commodity Futures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(“CFTC”) and was a member of the National Futures Association (“NFA”). Bakkt Clearing was subject to CFTC Regulation 1.17, and the NFA capital requirements. Under these requirements, it was generally required to maintain “adjusted net capital” equivalent to the greater of $1.0 million or the sum of 8 percent of customer and noncustomer risk maintenance margin requirements on all positions, as defined. On May 20, 2022, we withdrew Bakkt Clearing’s registration in the CFTC and membership in the NFA, which was effective on June 20, 2022. Accordingly, as of December 31, 2022, Bakkt Clearing no longer was required to maintain capital under the rules described above.</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Bakkt Marketplace, LLC </w:t>
      </w:r>
      <w:r>
        <w:rPr>
          <w:rFonts w:ascii="Arial" w:cs="Arial" w:eastAsia="Arial" w:hAnsi="Arial"/>
          <w:sz w:val="17"/>
          <w:szCs w:val="17"/>
          <w:color w:val="auto"/>
        </w:rPr>
        <w:t>is required to maintain tangible net worth of a minimum amount. This amount increased due to several states adopting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Model Money Transmission Modernization Act, which defined tangible net worth as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money transmitter licenses </w:t>
      </w:r>
      <w:r>
        <w:rPr>
          <w:rFonts w:ascii="Arial" w:cs="Arial" w:eastAsia="Arial" w:hAnsi="Arial"/>
          <w:sz w:val="17"/>
          <w:szCs w:val="17"/>
          <w:color w:val="0C0C0C"/>
        </w:rPr>
        <w:t>and has a virtual currency license (or “BitLicense”)</w:t>
      </w:r>
      <w:r>
        <w:rPr>
          <w:rFonts w:ascii="Arial" w:cs="Arial" w:eastAsia="Arial" w:hAnsi="Arial"/>
          <w:sz w:val="17"/>
          <w:szCs w:val="17"/>
          <w:color w:val="auto"/>
        </w:rPr>
        <w:t xml:space="preserve"> </w:t>
      </w:r>
      <w:r>
        <w:rPr>
          <w:rFonts w:ascii="Arial" w:cs="Arial" w:eastAsia="Arial" w:hAnsi="Arial"/>
          <w:sz w:val="17"/>
          <w:szCs w:val="17"/>
          <w:color w:val="0C0C0C"/>
        </w:rPr>
        <w:t xml:space="preserve">from the NYDFS, which subjects it to NYDFS’ oversight with respect to business activities conducted in New York State and with New York residents. </w:t>
      </w:r>
      <w:r>
        <w:rPr>
          <w:rFonts w:ascii="Arial" w:cs="Arial" w:eastAsia="Arial" w:hAnsi="Arial"/>
          <w:sz w:val="17"/>
          <w:szCs w:val="17"/>
          <w:color w:val="000000"/>
        </w:rPr>
        <w:t>Tangible member's equity is member's equity minus intangible assets, and is equivalent to tangible net worth.Bakkt Marketplace is also required to maintain positive net worth equal to its wind-down costs, or expected costs associated with the orderly wind-down of the business. As of December 31, 2022 and December 31, 2021, wind-costs amounted to $7.1 million and $5.5 million, respectively.</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and December 31, 2021, tangible net worth was $27.7 million and $11.0 million, respectively, which was in excess of wind-down costs, tangible net worth, and tangible member’s equity requirements.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minimum capital requirements to which our subsidiaries are subject may restrict their ability to transfer cash. We may also be required to transfer cash to our subsidiaries for them to be able to continue to meet these minimum capital requirements.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sponsor a 401(k) defined contribution plan covering all eligible U.S. employees. Both Company and employee contributions to the 401(k) plan are discretionary. For the year ended December 31, 2022, and the periods from October 15, 2021 through December 31, 2021 and January 1, 2021 through October 14, 2021, we recorded $3.2 million, $0.5 million and $1.6 million, respectively, of expenses related to the 401(k) plan, which is included in “Compensation and benefits” in the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The Company is party to a TRA with certain Opco Equity Holders. As of December 31, 2022,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9"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As described above, in October 2021, we completed our VIH Business Combination with VPC Impact Acquisition Holdings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and expect to complete a stipulation of settlement on or before April 10, 2023. We expect the settlement will be covered by our insurance less our contractual retention. On February 20, 2023, a derivative action related to the foregoing class action was filed against Bakkt Holdings, Inc. and all of its directors in the U.S. District Court for the Eastern District of New York.</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9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 December 2021, we entered into a four-year cloud computing arrangement which includes minimum contractual payments due to the third-party provider. As of December 31, 2022, our outstanding purchase obligations consist of the following future minimum commitments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Less than 1 year</w:t>
            </w: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years</w:t>
            </w: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3-5 years</w:t>
            </w:r>
          </w:p>
        </w:tc>
        <w:tc>
          <w:tcPr>
            <w:tcW w:w="1900" w:type="dxa"/>
            <w:vAlign w:val="bottom"/>
            <w:gridSpan w:val="4"/>
          </w:tcPr>
          <w:p>
            <w:pPr>
              <w:ind w:left="4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4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income (loss) before income taxes for the following periods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tcBorders>
              <w:right w:val="single" w:sz="8" w:color="auto"/>
            </w:tcBorders>
            <w:gridSpan w:val="11"/>
          </w:tcPr>
          <w:p>
            <w:pPr>
              <w:ind w:left="94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6"/>
              </w:rPr>
              <w:t>Year Ended</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8"/>
                <w:szCs w:val="18"/>
                <w:b w:val="1"/>
                <w:bCs w:val="1"/>
                <w:color w:val="auto"/>
                <w:w w:val="98"/>
              </w:rPr>
              <w:t>October 15, 2021</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75"/>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right w:val="single" w:sz="8" w:color="auto"/>
            </w:tcBorders>
            <w:gridSpan w:val="3"/>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5"/>
          </w:tcPr>
          <w:p>
            <w:pPr>
              <w:jc w:val="right"/>
              <w:ind w:right="19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right w:val="single" w:sz="8" w:color="auto"/>
            </w:tcBorders>
            <w:gridSpan w:val="3"/>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October 14, 2021</w:t>
            </w:r>
          </w:p>
        </w:tc>
        <w:tc>
          <w:tcPr>
            <w:tcW w:w="0" w:type="dxa"/>
            <w:vAlign w:val="bottom"/>
          </w:tcPr>
          <w:p>
            <w:pPr>
              <w:spacing w:after="0"/>
              <w:rPr>
                <w:sz w:val="1"/>
                <w:szCs w:val="1"/>
                <w:color w:val="auto"/>
              </w:rPr>
            </w:pPr>
          </w:p>
        </w:tc>
      </w:tr>
      <w:tr>
        <w:trPr>
          <w:trHeight w:val="26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1"/>
              </w:rPr>
              <w:t>(2,001,449)</w:t>
            </w:r>
          </w:p>
        </w:tc>
        <w:tc>
          <w:tcPr>
            <w:tcW w:w="6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(153,831)</w:t>
            </w:r>
          </w:p>
        </w:tc>
        <w:tc>
          <w:tcPr>
            <w:tcW w:w="100" w:type="dxa"/>
            <w:vAlign w:val="bottom"/>
            <w:tcBorders>
              <w:right w:val="single" w:sz="8" w:color="auto"/>
            </w:tcBorders>
            <w:shd w:val="clear" w:color="auto" w:fill="CCEEFF"/>
          </w:tcPr>
          <w:p>
            <w:pPr>
              <w:spacing w:after="0"/>
              <w:rPr>
                <w:sz w:val="22"/>
                <w:szCs w:val="22"/>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(142,376)</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w w:val="86"/>
              </w:rPr>
              <w:t>195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43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before provision for income taxes</w:t>
            </w:r>
          </w:p>
        </w:tc>
        <w:tc>
          <w:tcPr>
            <w:tcW w:w="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1"/>
              </w:rPr>
              <w:t>(2,001,254)</w:t>
            </w:r>
          </w:p>
        </w:tc>
        <w:tc>
          <w:tcPr>
            <w:tcW w:w="6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(153,076)</w:t>
            </w:r>
          </w:p>
        </w:tc>
        <w:tc>
          <w:tcPr>
            <w:tcW w:w="100" w:type="dxa"/>
            <w:vAlign w:val="bottom"/>
            <w:tcBorders>
              <w:right w:val="single" w:sz="8" w:color="auto"/>
            </w:tcBorders>
            <w:shd w:val="clear" w:color="auto" w:fill="CCEEFF"/>
          </w:tcPr>
          <w:p>
            <w:pPr>
              <w:spacing w:after="0"/>
              <w:rPr>
                <w:sz w:val="24"/>
                <w:szCs w:val="24"/>
                <w:color w:val="auto"/>
              </w:rPr>
            </w:pP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(139,821)</w:t>
            </w:r>
          </w:p>
        </w:tc>
        <w:tc>
          <w:tcPr>
            <w:tcW w:w="0" w:type="dxa"/>
            <w:vAlign w:val="bottom"/>
          </w:tcPr>
          <w:p>
            <w:pPr>
              <w:spacing w:after="0"/>
              <w:rPr>
                <w:sz w:val="1"/>
                <w:szCs w:val="1"/>
                <w:color w:val="auto"/>
              </w:rPr>
            </w:pPr>
          </w:p>
        </w:tc>
      </w:tr>
      <w:tr>
        <w:trPr>
          <w:trHeight w:val="507"/>
        </w:trPr>
        <w:tc>
          <w:tcPr>
            <w:tcW w:w="6180" w:type="dxa"/>
            <w:vAlign w:val="bottom"/>
          </w:tcPr>
          <w:p>
            <w:pPr>
              <w:spacing w:after="0"/>
              <w:rPr>
                <w:sz w:val="20"/>
                <w:szCs w:val="20"/>
                <w:color w:val="auto"/>
              </w:rPr>
            </w:pPr>
            <w:r>
              <w:rPr>
                <w:rFonts w:ascii="Arial" w:cs="Arial" w:eastAsia="Arial" w:hAnsi="Arial"/>
                <w:sz w:val="18"/>
                <w:szCs w:val="18"/>
                <w:color w:val="auto"/>
              </w:rPr>
              <w:t>Details of the income tax expense (benefit) are as follows (in thousands):</w:t>
            </w: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20" w:type="dxa"/>
            <w:vAlign w:val="bottom"/>
            <w:gridSpan w:val="10"/>
            <w:vMerge w:val="restart"/>
          </w:tcPr>
          <w:p>
            <w:pPr>
              <w:ind w:left="2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20" w:type="dxa"/>
            <w:vAlign w:val="bottom"/>
            <w:gridSpan w:val="10"/>
            <w:vMerge w:val="continue"/>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5"/>
          </w:tcPr>
          <w:p>
            <w:pPr>
              <w:jc w:val="right"/>
              <w:ind w:right="190"/>
              <w:spacing w:after="0" w:line="177" w:lineRule="exact"/>
              <w:rPr>
                <w:sz w:val="20"/>
                <w:szCs w:val="20"/>
                <w:color w:val="auto"/>
              </w:rPr>
            </w:pPr>
            <w:r>
              <w:rPr>
                <w:rFonts w:ascii="Arial" w:cs="Arial" w:eastAsia="Arial" w:hAnsi="Arial"/>
                <w:sz w:val="18"/>
                <w:szCs w:val="18"/>
                <w:b w:val="1"/>
                <w:bCs w:val="1"/>
                <w:color w:val="auto"/>
              </w:rPr>
              <w:t>Year Ended</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ind w:left="100"/>
              <w:spacing w:after="0" w:line="177" w:lineRule="exact"/>
              <w:rPr>
                <w:sz w:val="20"/>
                <w:szCs w:val="20"/>
                <w:color w:val="auto"/>
              </w:rPr>
            </w:pPr>
            <w:r>
              <w:rPr>
                <w:rFonts w:ascii="Arial" w:cs="Arial" w:eastAsia="Arial" w:hAnsi="Arial"/>
                <w:sz w:val="18"/>
                <w:szCs w:val="18"/>
                <w:b w:val="1"/>
                <w:bCs w:val="1"/>
                <w:color w:val="auto"/>
                <w:w w:val="99"/>
              </w:rPr>
              <w:t>October 15, 2021</w:t>
            </w:r>
          </w:p>
        </w:tc>
        <w:tc>
          <w:tcPr>
            <w:tcW w:w="100" w:type="dxa"/>
            <w:vAlign w:val="bottom"/>
            <w:tcBorders>
              <w:lef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80"/>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5"/>
          </w:tcPr>
          <w:p>
            <w:pPr>
              <w:jc w:val="right"/>
              <w:ind w:right="130"/>
              <w:spacing w:after="0" w:line="181" w:lineRule="exact"/>
              <w:rPr>
                <w:sz w:val="20"/>
                <w:szCs w:val="20"/>
                <w:color w:val="auto"/>
              </w:rPr>
            </w:pPr>
            <w:r>
              <w:rPr>
                <w:rFonts w:ascii="Arial" w:cs="Arial" w:eastAsia="Arial" w:hAnsi="Arial"/>
                <w:sz w:val="18"/>
                <w:szCs w:val="18"/>
                <w:b w:val="1"/>
                <w:bCs w:val="1"/>
                <w:color w:val="auto"/>
                <w:w w:val="93"/>
              </w:rPr>
              <w:t>December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4"/>
          </w:tcPr>
          <w:p>
            <w:pPr>
              <w:ind w:left="20"/>
              <w:spacing w:after="0" w:line="181" w:lineRule="exact"/>
              <w:rPr>
                <w:sz w:val="20"/>
                <w:szCs w:val="20"/>
                <w:color w:val="auto"/>
              </w:rPr>
            </w:pPr>
            <w:r>
              <w:rPr>
                <w:rFonts w:ascii="Arial" w:cs="Arial" w:eastAsia="Arial" w:hAnsi="Arial"/>
                <w:sz w:val="18"/>
                <w:szCs w:val="18"/>
                <w:b w:val="1"/>
                <w:bCs w:val="1"/>
                <w:color w:val="auto"/>
                <w:w w:val="94"/>
              </w:rPr>
              <w:t>through December</w:t>
            </w:r>
          </w:p>
        </w:tc>
        <w:tc>
          <w:tcPr>
            <w:tcW w:w="100" w:type="dxa"/>
            <w:vAlign w:val="bottom"/>
            <w:tcBorders>
              <w:left w:val="single" w:sz="8" w:color="auto"/>
            </w:tcBorders>
          </w:tcPr>
          <w:p>
            <w:pPr>
              <w:spacing w:after="0"/>
              <w:rPr>
                <w:sz w:val="15"/>
                <w:szCs w:val="15"/>
                <w:color w:val="auto"/>
              </w:rPr>
            </w:pPr>
          </w:p>
        </w:tc>
        <w:tc>
          <w:tcPr>
            <w:tcW w:w="14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0"/>
              </w:rPr>
              <w:t>through October</w:t>
            </w: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31, 2021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left w:val="single" w:sz="8" w:color="auto"/>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14, 2021</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Foreign</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184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9"/>
                <w:szCs w:val="19"/>
                <w:color w:val="auto"/>
              </w:rPr>
            </w:pPr>
          </w:p>
        </w:tc>
        <w:tc>
          <w:tcPr>
            <w:tcW w:w="100" w:type="dxa"/>
            <w:vAlign w:val="bottom"/>
            <w:tcBorders>
              <w:left w:val="single" w:sz="8" w:color="auto"/>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 (benefit)</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252</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lef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9"/>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(9,390)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10,004</w:t>
            </w:r>
          </w:p>
        </w:tc>
        <w:tc>
          <w:tcPr>
            <w:tcW w:w="1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lef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(11,572)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11,728</w:t>
            </w:r>
          </w:p>
        </w:tc>
        <w:tc>
          <w:tcPr>
            <w:tcW w:w="100" w:type="dxa"/>
            <w:vAlign w:val="bottom"/>
            <w:tcBorders>
              <w:bottom w:val="single" w:sz="8" w:color="auto"/>
            </w:tcBorders>
          </w:tcPr>
          <w:p>
            <w:pPr>
              <w:spacing w:after="0"/>
              <w:rPr>
                <w:sz w:val="19"/>
                <w:szCs w:val="19"/>
                <w:color w:val="auto"/>
              </w:rPr>
            </w:pPr>
          </w:p>
        </w:tc>
        <w:tc>
          <w:tcPr>
            <w:tcW w:w="100" w:type="dxa"/>
            <w:vAlign w:val="bottom"/>
            <w:tcBorders>
              <w:left w:val="single" w:sz="8" w:color="auto"/>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11,751</w:t>
            </w:r>
          </w:p>
        </w:tc>
        <w:tc>
          <w:tcPr>
            <w:tcW w:w="10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left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8"/>
            <w:vMerge w:val="restart"/>
          </w:tcPr>
          <w:p>
            <w:pPr>
              <w:ind w:left="800"/>
              <w:spacing w:after="0"/>
              <w:rPr>
                <w:sz w:val="20"/>
                <w:szCs w:val="20"/>
                <w:color w:val="auto"/>
              </w:rPr>
            </w:pPr>
            <w:r>
              <w:rPr>
                <w:rFonts w:ascii="Arial" w:cs="Arial" w:eastAsia="Arial" w:hAnsi="Arial"/>
                <w:sz w:val="18"/>
                <w:szCs w:val="18"/>
                <w:b w:val="1"/>
                <w:bCs w:val="1"/>
                <w:color w:val="auto"/>
                <w:w w:val="81"/>
              </w:rPr>
              <w:t>Successor</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8"/>
            <w:vMerge w:val="continue"/>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October 15, 2021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right w:val="single" w:sz="8" w:color="auto"/>
            </w:tcBorders>
            <w:gridSpan w:val="6"/>
          </w:tcPr>
          <w:p>
            <w:pPr>
              <w:jc w:val="center"/>
              <w:ind w:right="160"/>
              <w:spacing w:after="0" w:line="176" w:lineRule="exact"/>
              <w:rPr>
                <w:sz w:val="20"/>
                <w:szCs w:val="20"/>
                <w:color w:val="auto"/>
              </w:rPr>
            </w:pPr>
            <w:r>
              <w:rPr>
                <w:rFonts w:ascii="Arial" w:cs="Arial" w:eastAsia="Arial" w:hAnsi="Arial"/>
                <w:sz w:val="18"/>
                <w:szCs w:val="18"/>
                <w:b w:val="1"/>
                <w:bCs w:val="1"/>
                <w:color w:val="auto"/>
                <w:w w:val="89"/>
              </w:rPr>
              <w:t>through December</w:t>
            </w:r>
          </w:p>
        </w:tc>
        <w:tc>
          <w:tcPr>
            <w:tcW w:w="100" w:type="dxa"/>
            <w:vAlign w:val="bottom"/>
          </w:tcPr>
          <w:p>
            <w:pPr>
              <w:spacing w:after="0"/>
              <w:rPr>
                <w:sz w:val="15"/>
                <w:szCs w:val="15"/>
                <w:color w:val="auto"/>
              </w:rPr>
            </w:pPr>
          </w:p>
        </w:tc>
        <w:tc>
          <w:tcPr>
            <w:tcW w:w="15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0"/>
              </w:rPr>
              <w:t>through October 14,</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800" w:type="dxa"/>
            <w:vAlign w:val="bottom"/>
            <w:gridSpan w:val="8"/>
          </w:tcPr>
          <w:p>
            <w:pPr>
              <w:jc w:val="right"/>
              <w:ind w:right="190"/>
              <w:spacing w:after="0"/>
              <w:rPr>
                <w:sz w:val="20"/>
                <w:szCs w:val="20"/>
                <w:color w:val="auto"/>
              </w:rPr>
            </w:pPr>
            <w:r>
              <w:rPr>
                <w:rFonts w:ascii="Arial" w:cs="Arial" w:eastAsia="Arial" w:hAnsi="Arial"/>
                <w:sz w:val="18"/>
                <w:szCs w:val="18"/>
                <w:b w:val="1"/>
                <w:bCs w:val="1"/>
                <w:color w:val="auto"/>
                <w:w w:val="92"/>
              </w:rPr>
              <w:t>December 31, 2022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31, 2021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 at federal statutory rate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(420,304)</w:t>
            </w:r>
          </w:p>
        </w:tc>
        <w:tc>
          <w:tcPr>
            <w:tcW w:w="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(32,146)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(29,363)</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income tax resulting from:</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income not subject to entity level federal income tax</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State income taxes, net of federal tax effect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1,741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296,122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Fair value of warrant liability</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16,668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11,751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effective tax rate differs from the federal statutory rate primarily due to the loss allocated to noncontrolling interest that is not taxed to the Company and changes to the Company’s valuation allowance. The effective tax rate was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higher for the year ended December 31, 2022 compared to the period from October 15, 2021 through December 31, 2021 due to an increase in the Company’s valuation allowance.</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For the period from January 1, 2021 through October 14, 2021, Opco and its subsidiaries were classified as partnerships or other pass through entities for U.S. federal income tax purposes.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significant components of our deferred tax assets and liabilities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Successor</w:t>
            </w:r>
          </w:p>
        </w:tc>
      </w:tr>
      <w:tr>
        <w:trPr>
          <w:trHeight w:val="169"/>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December 31,</w:t>
            </w:r>
          </w:p>
        </w:tc>
      </w:tr>
      <w:tr>
        <w:trPr>
          <w:trHeight w:val="239"/>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Investment in partnership</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Deferred and share-based compensation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Investment in partnership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11,507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asset with Opco</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57"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our deferred tax assets were not more likely than not to be realized. The Company had a valuation allowance of $126.0 million and $3.1 million as of December 31, 2022 and 2021, respectively. The increase in the valuation allowance during the year was primarily related to the impact of tax over book basis on the Company's investment in partnership related to the impairment of goodwill and created intangibles at Opco, for which there was no corresponding step-up for tax purposes.</w:t>
      </w:r>
    </w:p>
    <w:p>
      <w:pPr>
        <w:spacing w:after="0" w:line="15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As of December 31, 2022, the Company had gross federal net operating loss carryforwards (“NOLs”) of $51.8 million, of which $0.4 million will begin to expire in 2037 and $51.4 million can be carried forward indefinitely. The Company also had state NOLs of $56.9 million which will begin to expire in 2037. As of December 31, 2021, the Company had gross NOLs of $17.1 million, of which $0.4 million will begin to expire in 2037 and $16.7 million can be carried forward indefinitely. The Company also had state NOLs of $21.4 million which will begin to expire in 2037.</w:t>
      </w:r>
    </w:p>
    <w:p>
      <w:pPr>
        <w:spacing w:after="0" w:line="16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with varying statutes, ranging generally from three to five years.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Our non-U.S. subsidiaries are subject to Global Intangible Low-Taxed Income (“GILTI”) provisions under the Tax Cuts and Jobs Act. The Company has elected to recognize the tax expense related to GILTI as a period cost in the period incurred.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both December 31, 2022 and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assets and liabilities that are measured at fair value on a recurring basis are classified as Level 1 and Level 2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1"/>
              </w:rPr>
              <w:t>Successor</w:t>
            </w: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9"/>
              </w:rPr>
              <w:t>As of December 31, 2022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U.S. Treasury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141,062</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asset for crypto</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156,854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141,062</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obligation for crypto</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16,577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1"/>
              </w:rPr>
              <w:t>Successor</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9"/>
              </w:rPr>
              <w:t>As of December 31, 2021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17,424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17,424</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investments in debt securities consist of U.S. Treasury debt securities held in the custody of a major financial institution. As of December 31, 2022, the Company’s investment in available-for-sale debt securities was determined to be a Level 1 investment based on quoted prices in active markets and was recorded in the consolidated balance sheets at fair value.</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fair value of the safeguarding obligation for crypto and the corresponding safeguarding asset for crypto was determined using the mid-point of a bid-ask spread in the market we determined to be the principal market for the related crypto as of December 31, 2022, which we determined was a Level 2 input.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Certain of our assets and liabilities are measured at fair value on a non-recurring basis. During the year ended December 31, 2022, we remeasured our goodwill and certain of our indefinite-lived intangible and long-lived assets at fair value using Level 3 inputs, as described in Note 5. During the period from October 15, 2021 through December 31,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we adjusted a software license asset and liability to fair value when impairment charges were recognized, which was on a non-recurring basis and based on Level 3 inputs. During the period from January 1, 2021 through October 14, 2021, we adjusted our customer consideration asset to fair value when impairment charges were recognized, which was on a non-recurring basis and based on Level 3 inputs.</w:t>
      </w:r>
    </w:p>
    <w:p>
      <w:pPr>
        <w:spacing w:after="0" w:line="17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private placement warrant liability was measured at fair value on a recurring basis using significant unobservable inputs (Level 3) during the Successor period until it was fully exercised on November 17, 2021. A reconciliation of the warrant liability associated with private placement warrants from October 15, 2021 through December 31, 2021 is summarized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Successor</w:t>
            </w:r>
          </w:p>
        </w:tc>
      </w:tr>
      <w:tr>
        <w:trPr>
          <w:trHeight w:val="178"/>
        </w:trPr>
        <w:tc>
          <w:tcPr>
            <w:tcW w:w="9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9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October 15,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r>
      <w:tr>
        <w:trPr>
          <w:trHeight w:val="229"/>
        </w:trPr>
        <w:tc>
          <w:tcPr>
            <w:tcW w:w="9760" w:type="dxa"/>
            <w:vAlign w:val="bottom"/>
          </w:tcPr>
          <w:p>
            <w:pPr>
              <w:ind w:left="140"/>
              <w:spacing w:after="0"/>
              <w:rPr>
                <w:sz w:val="20"/>
                <w:szCs w:val="20"/>
                <w:color w:val="auto"/>
              </w:rPr>
            </w:pPr>
            <w:r>
              <w:rPr>
                <w:rFonts w:ascii="Arial" w:cs="Arial" w:eastAsia="Arial" w:hAnsi="Arial"/>
                <w:sz w:val="18"/>
                <w:szCs w:val="18"/>
                <w:color w:val="auto"/>
              </w:rPr>
              <w:t>Loss from fair value of warrant liability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50,347</w:t>
            </w:r>
          </w:p>
        </w:tc>
      </w:tr>
      <w:tr>
        <w:trPr>
          <w:trHeight w:val="229"/>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warrants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(64,978)</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4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Company leases real estate for office space under operating leases and office equipment under finance leases.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 Company’s leases include escalation clauses for adjusting rentals. As of December 31, 2022, we do not have any active finance leases.</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real estate leases have remaining lease terms as of December 31, 2022 ranging from 4 months to 117 months, with one of our leases containing an option to extend the term for a period of 5 years exercisable by us, which we were not reasonably certain of exercising at commencement. None of our leases contain an option to terminate the lease without cause at the option of either party during the lease term. Certain of our equipment leases provide us with the option to purchase the asset at the fair market value.</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spacing w:after="0" w:line="19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7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elected the practical expedient under which lease components would not be separated from the non-lease components for all our classes of underlying assets. Accordingly, each lease component and the non-lease components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lease component are accounted for as a single lease component. The components of total lease expense are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right-of-use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on lease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3480" w:type="dxa"/>
            <w:vAlign w:val="bottom"/>
            <w:tcBorders>
              <w:right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169"/>
        </w:trPr>
        <w:tc>
          <w:tcPr>
            <w:tcW w:w="19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w w:val="96"/>
              </w:rPr>
              <w:t>Year Ended December</w:t>
            </w:r>
          </w:p>
        </w:tc>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October 15, 2021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0"/>
              </w:rPr>
              <w:t>January 1, 2021</w:t>
            </w:r>
          </w:p>
        </w:tc>
        <w:tc>
          <w:tcPr>
            <w:tcW w:w="0" w:type="dxa"/>
            <w:vAlign w:val="bottom"/>
          </w:tcPr>
          <w:p>
            <w:pPr>
              <w:spacing w:after="0"/>
              <w:rPr>
                <w:sz w:val="1"/>
                <w:szCs w:val="1"/>
                <w:color w:val="auto"/>
              </w:rPr>
            </w:pPr>
          </w:p>
        </w:tc>
      </w:tr>
      <w:tr>
        <w:trPr>
          <w:trHeight w:val="176"/>
        </w:trPr>
        <w:tc>
          <w:tcPr>
            <w:tcW w:w="1900" w:type="dxa"/>
            <w:vAlign w:val="bottom"/>
            <w:gridSpan w:val="3"/>
            <w:vMerge w:val="continue"/>
          </w:tcPr>
          <w:p>
            <w:pPr>
              <w:spacing w:after="0"/>
              <w:rPr>
                <w:sz w:val="15"/>
                <w:szCs w:val="15"/>
                <w:color w:val="auto"/>
              </w:rPr>
            </w:pPr>
          </w:p>
        </w:tc>
        <w:tc>
          <w:tcPr>
            <w:tcW w:w="1920" w:type="dxa"/>
            <w:vAlign w:val="bottom"/>
            <w:tcBorders>
              <w:right w:val="single" w:sz="8" w:color="auto"/>
            </w:tcBorders>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through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9"/>
        </w:trPr>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October 14, 2021</w:t>
            </w:r>
          </w:p>
        </w:tc>
        <w:tc>
          <w:tcPr>
            <w:tcW w:w="0" w:type="dxa"/>
            <w:vAlign w:val="bottom"/>
          </w:tcPr>
          <w:p>
            <w:pPr>
              <w:spacing w:after="0"/>
              <w:rPr>
                <w:sz w:val="1"/>
                <w:szCs w:val="1"/>
                <w:color w:val="auto"/>
              </w:rPr>
            </w:pPr>
          </w:p>
        </w:tc>
      </w:tr>
      <w:tr>
        <w:trPr>
          <w:trHeight w:val="442"/>
        </w:trPr>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-1062355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-770890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-479425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-187960</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125" w:right="339" w:bottom="1440" w:gutter="0" w:footer="0" w:header="0"/>
          <w:type w:val="continuous"/>
        </w:sectPr>
      </w:pP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short-term lease cost disclosed in the Successor period above reasonably reflects our ongoing short-term lease commitments.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w w:val="94"/>
              </w:rPr>
              <w:t>Successor</w:t>
            </w: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5"/>
              </w:rPr>
              <w:t>Predecessor</w:t>
            </w:r>
          </w:p>
        </w:tc>
        <w:tc>
          <w:tcPr>
            <w:tcW w:w="580" w:type="dxa"/>
            <w:vAlign w:val="bottom"/>
            <w:tcBorders>
              <w:bottom w:val="single" w:sz="8" w:color="auto"/>
            </w:tcBorders>
          </w:tcPr>
          <w:p>
            <w:pPr>
              <w:spacing w:after="0"/>
              <w:rPr>
                <w:sz w:val="19"/>
                <w:szCs w:val="19"/>
                <w:color w:val="auto"/>
              </w:rPr>
            </w:pPr>
          </w:p>
        </w:tc>
      </w:tr>
      <w:tr>
        <w:trPr>
          <w:trHeight w:val="169"/>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310"/>
              <w:spacing w:after="0" w:line="169" w:lineRule="exact"/>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14"/>
                <w:szCs w:val="14"/>
                <w:color w:val="auto"/>
              </w:rPr>
            </w:pPr>
          </w:p>
        </w:tc>
        <w:tc>
          <w:tcPr>
            <w:tcW w:w="2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7"/>
              </w:rPr>
              <w:t>October 15, 2021 through</w:t>
            </w:r>
          </w:p>
        </w:tc>
        <w:tc>
          <w:tcPr>
            <w:tcW w:w="3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1"/>
              </w:rPr>
              <w:t>January 1, 2021 through October</w:t>
            </w:r>
          </w:p>
        </w:tc>
      </w:tr>
      <w:tr>
        <w:trPr>
          <w:trHeight w:val="239"/>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December 31, 2022</w:t>
            </w:r>
          </w:p>
        </w:tc>
        <w:tc>
          <w:tcPr>
            <w:tcW w:w="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14, 2021</w:t>
            </w:r>
          </w:p>
        </w:tc>
        <w:tc>
          <w:tcPr>
            <w:tcW w:w="580" w:type="dxa"/>
            <w:vAlign w:val="bottom"/>
            <w:tcBorders>
              <w:bottom w:val="single" w:sz="8" w:color="auto"/>
            </w:tcBorders>
          </w:tcPr>
          <w:p>
            <w:pPr>
              <w:spacing w:after="0"/>
              <w:rPr>
                <w:sz w:val="20"/>
                <w:szCs w:val="20"/>
                <w:color w:val="auto"/>
              </w:rPr>
            </w:pPr>
          </w:p>
        </w:tc>
      </w:tr>
      <w:tr>
        <w:trPr>
          <w:trHeight w:val="173"/>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Operating</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Operating</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2"/>
          </w:tcPr>
          <w:p>
            <w:pPr>
              <w:jc w:val="right"/>
              <w:ind w:right="990"/>
              <w:spacing w:after="0" w:line="173" w:lineRule="exact"/>
              <w:rPr>
                <w:sz w:val="20"/>
                <w:szCs w:val="20"/>
                <w:color w:val="auto"/>
              </w:rPr>
            </w:pPr>
            <w:r>
              <w:rPr>
                <w:rFonts w:ascii="Arial" w:cs="Arial" w:eastAsia="Arial" w:hAnsi="Arial"/>
                <w:sz w:val="18"/>
                <w:szCs w:val="18"/>
                <w:b w:val="1"/>
                <w:bCs w:val="1"/>
                <w:color w:val="auto"/>
              </w:rPr>
              <w:t>Operating</w:t>
            </w:r>
          </w:p>
        </w:tc>
        <w:tc>
          <w:tcPr>
            <w:tcW w:w="580" w:type="dxa"/>
            <w:vAlign w:val="bottom"/>
          </w:tcPr>
          <w:p>
            <w:pPr>
              <w:spacing w:after="0"/>
              <w:rPr>
                <w:sz w:val="15"/>
                <w:szCs w:val="15"/>
                <w:color w:val="auto"/>
              </w:rPr>
            </w:pPr>
          </w:p>
        </w:tc>
      </w:tr>
      <w:tr>
        <w:trPr>
          <w:trHeight w:val="243"/>
        </w:trPr>
        <w:tc>
          <w:tcPr>
            <w:tcW w:w="2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Finance Leases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Leases</w:t>
            </w:r>
          </w:p>
        </w:tc>
        <w:tc>
          <w:tcPr>
            <w:tcW w:w="150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9"/>
              </w:rPr>
              <w:t>Finance Leases</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Leases</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Finance Leases</w:t>
            </w:r>
          </w:p>
        </w:tc>
      </w:tr>
      <w:tr>
        <w:trPr>
          <w:trHeight w:val="155"/>
        </w:trPr>
        <w:tc>
          <w:tcPr>
            <w:tcW w:w="28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Cash paid for amounts included in the</w:t>
            </w: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of lease liabilities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Cash flow from financing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 $</w:t>
            </w:r>
          </w:p>
        </w:tc>
        <w:tc>
          <w:tcPr>
            <w:tcW w:w="2160" w:type="dxa"/>
            <w:vAlign w:val="bottom"/>
            <w:gridSpan w:val="2"/>
          </w:tcPr>
          <w:p>
            <w:pPr>
              <w:jc w:val="right"/>
              <w:ind w:right="81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8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2"/>
              </w:rPr>
              <w:t>Cash flow from operating activities</w:t>
            </w:r>
            <w:r>
              <w:rPr>
                <w:rFonts w:ascii="Arial" w:cs="Arial" w:eastAsia="Arial" w:hAnsi="Arial"/>
                <w:sz w:val="23"/>
                <w:szCs w:val="23"/>
                <w:color w:val="auto"/>
                <w:w w:val="92"/>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871 $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2"/>
              </w:rPr>
              <w:t>Supplemental non-cash information on</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6"/>
              </w:rPr>
              <w:t>lease liabilities arising from obtaining</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11,006</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10,347</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real estate lease for office space in Alpharetta, Georgia required the landlord to reimburse certain expenditures incurred by us towards construction</w:t>
      </w:r>
    </w:p>
    <w:p>
      <w:pPr>
        <w:spacing w:after="0" w:line="72" w:lineRule="exact"/>
        <w:rPr>
          <w:rFonts w:ascii="Arial" w:cs="Arial" w:eastAsia="Arial" w:hAnsi="Arial"/>
          <w:sz w:val="16"/>
          <w:szCs w:val="16"/>
          <w:color w:val="auto"/>
        </w:rPr>
      </w:pPr>
    </w:p>
    <w:p>
      <w:pPr>
        <w:ind w:left="340" w:right="20"/>
        <w:spacing w:after="0" w:line="308" w:lineRule="auto"/>
        <w:rPr>
          <w:rFonts w:ascii="Arial" w:cs="Arial" w:eastAsia="Arial" w:hAnsi="Arial"/>
          <w:sz w:val="16"/>
          <w:szCs w:val="16"/>
          <w:color w:val="auto"/>
        </w:rPr>
      </w:pPr>
      <w:r>
        <w:rPr>
          <w:rFonts w:ascii="Arial" w:cs="Arial" w:eastAsia="Arial" w:hAnsi="Arial"/>
          <w:sz w:val="18"/>
          <w:szCs w:val="18"/>
          <w:color w:val="auto"/>
        </w:rPr>
        <w:t>of improvements. The reimbursement was received during the year ended December 31, 2022 and exceeded the payments required to be made pursuant to the lease during the year.</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weighted average remaining lease term for our operating leases was 94 months, and the weighted average discount rate for our operating leases was 5.0%. We did not have any active finance leases as of December 31, 2022. We were not party to any short-term leases during the periods presented.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balance sheet information about our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11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4000" w:type="dxa"/>
            <w:vAlign w:val="bottom"/>
          </w:tcPr>
          <w:p>
            <w:pPr>
              <w:jc w:val="center"/>
              <w:ind w:left="1010"/>
              <w:spacing w:after="0" w:line="169" w:lineRule="exact"/>
              <w:rPr>
                <w:sz w:val="20"/>
                <w:szCs w:val="20"/>
                <w:color w:val="auto"/>
              </w:rPr>
            </w:pPr>
            <w:r>
              <w:rPr>
                <w:rFonts w:ascii="Arial" w:cs="Arial" w:eastAsia="Arial" w:hAnsi="Arial"/>
                <w:sz w:val="18"/>
                <w:szCs w:val="18"/>
                <w:b w:val="1"/>
                <w:bCs w:val="1"/>
                <w:color w:val="auto"/>
                <w:w w:val="87"/>
              </w:rPr>
              <w:t>Balance sheet</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ind w:left="208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4000" w:type="dxa"/>
            <w:vAlign w:val="bottom"/>
          </w:tcPr>
          <w:p>
            <w:pPr>
              <w:jc w:val="center"/>
              <w:ind w:left="1010"/>
              <w:spacing w:after="0"/>
              <w:rPr>
                <w:sz w:val="20"/>
                <w:szCs w:val="20"/>
                <w:color w:val="auto"/>
              </w:rPr>
            </w:pPr>
            <w:r>
              <w:rPr>
                <w:rFonts w:ascii="Arial" w:cs="Arial" w:eastAsia="Arial" w:hAnsi="Arial"/>
                <w:sz w:val="18"/>
                <w:szCs w:val="18"/>
                <w:color w:val="auto"/>
                <w:w w:val="87"/>
              </w:rPr>
              <w:t>Other assets,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current</w:t>
            </w:r>
          </w:p>
        </w:tc>
        <w:tc>
          <w:tcPr>
            <w:tcW w:w="40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2"/>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4000" w:type="dxa"/>
            <w:vAlign w:val="bottom"/>
          </w:tcPr>
          <w:p>
            <w:pPr>
              <w:jc w:val="center"/>
              <w:ind w:left="1010"/>
              <w:spacing w:after="0"/>
              <w:rPr>
                <w:sz w:val="20"/>
                <w:szCs w:val="20"/>
                <w:color w:val="auto"/>
              </w:rPr>
            </w:pPr>
            <w:r>
              <w:rPr>
                <w:rFonts w:ascii="Arial" w:cs="Arial" w:eastAsia="Arial" w:hAnsi="Arial"/>
                <w:sz w:val="18"/>
                <w:szCs w:val="18"/>
                <w:color w:val="auto"/>
                <w:w w:val="92"/>
              </w:rPr>
              <w:t>Other liabilities,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23,402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4000" w:type="dxa"/>
            <w:vAlign w:val="bottom"/>
          </w:tcPr>
          <w:p>
            <w:pPr>
              <w:jc w:val="center"/>
              <w:ind w:left="1010"/>
              <w:spacing w:after="0"/>
              <w:rPr>
                <w:sz w:val="20"/>
                <w:szCs w:val="20"/>
                <w:color w:val="auto"/>
              </w:rPr>
            </w:pPr>
            <w:r>
              <w:rPr>
                <w:rFonts w:ascii="Arial" w:cs="Arial" w:eastAsia="Arial" w:hAnsi="Arial"/>
                <w:sz w:val="18"/>
                <w:szCs w:val="18"/>
                <w:color w:val="auto"/>
                <w:w w:val="87"/>
              </w:rPr>
              <w:t>Other assets,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current</w:t>
            </w:r>
          </w:p>
        </w:tc>
        <w:tc>
          <w:tcPr>
            <w:tcW w:w="400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2"/>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4000" w:type="dxa"/>
            <w:vAlign w:val="bottom"/>
          </w:tcPr>
          <w:p>
            <w:pPr>
              <w:jc w:val="center"/>
              <w:ind w:left="1010"/>
              <w:spacing w:after="0"/>
              <w:rPr>
                <w:sz w:val="20"/>
                <w:szCs w:val="20"/>
                <w:color w:val="auto"/>
              </w:rPr>
            </w:pPr>
            <w:r>
              <w:rPr>
                <w:rFonts w:ascii="Arial" w:cs="Arial" w:eastAsia="Arial" w:hAnsi="Arial"/>
                <w:sz w:val="18"/>
                <w:szCs w:val="18"/>
                <w:color w:val="auto"/>
                <w:w w:val="92"/>
              </w:rPr>
              <w:t>Other liabilities,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8240" w:type="dxa"/>
            <w:vAlign w:val="bottom"/>
            <w:gridSpan w:val="3"/>
          </w:tcPr>
          <w:p>
            <w:pPr>
              <w:jc w:val="right"/>
              <w:spacing w:after="0"/>
              <w:rPr>
                <w:sz w:val="20"/>
                <w:szCs w:val="20"/>
                <w:color w:val="auto"/>
              </w:rPr>
            </w:pPr>
            <w:r>
              <w:rPr>
                <w:rFonts w:ascii="Arial" w:cs="Arial" w:eastAsia="Arial" w:hAnsi="Arial"/>
                <w:sz w:val="18"/>
                <w:szCs w:val="18"/>
                <w:color w:val="auto"/>
                <w:w w:val="97"/>
              </w:rPr>
              <w:t>Future minimum lease payments under non-cancellable leases as of December 31, 2022 were as follows: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For the year ended December 31,</w:t>
            </w: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Operating Leases</w:t>
            </w: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2024</w:t>
            </w: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2026</w:t>
            </w: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Current</w:t>
            </w: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w:t>
            </w:r>
          </w:p>
        </w:tc>
        <w:tc>
          <w:tcPr>
            <w:tcW w:w="4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Safeguarding Obligation For Crypto</w:t>
      </w: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December 31, 2022, we had safeguarding obligation for crypto of $15.8 million. The safeguarding liability, and corresponding safeguarding asset for crypto on the balance sheet, are measured at the fair value of the crypto held for our customers. We were not aware of any actual or possible safeguarding loss events as of December 31, 2022. Therefore, the safeguarding obligation for crypto and the related safeguarding asset for crypto were recorded at the same amount.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660"/>
              <w:spacing w:after="0"/>
              <w:rPr>
                <w:sz w:val="20"/>
                <w:szCs w:val="20"/>
                <w:color w:val="auto"/>
              </w:rPr>
            </w:pPr>
            <w:r>
              <w:rPr>
                <w:rFonts w:ascii="Arial" w:cs="Arial" w:eastAsia="Arial" w:hAnsi="Arial"/>
                <w:sz w:val="18"/>
                <w:szCs w:val="18"/>
                <w:color w:val="auto"/>
              </w:rPr>
              <w:t>We  are  responsible  for  holding  the  following</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crypto  on  behalf  of  our  customers  as  of  December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(in  thousands):</w:t>
            </w:r>
          </w:p>
        </w:tc>
      </w:tr>
      <w:tr>
        <w:trPr>
          <w:trHeight w:val="40"/>
        </w:trPr>
        <w:tc>
          <w:tcPr>
            <w:tcW w:w="456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9"/>
        </w:trPr>
        <w:tc>
          <w:tcPr>
            <w:tcW w:w="45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December 31,</w:t>
            </w:r>
          </w:p>
        </w:tc>
      </w:tr>
      <w:tr>
        <w:trPr>
          <w:trHeight w:val="239"/>
        </w:trPr>
        <w:tc>
          <w:tcPr>
            <w:tcW w:w="4560" w:type="dxa"/>
            <w:vAlign w:val="bottom"/>
            <w:tcBorders>
              <w:bottom w:val="single" w:sz="8" w:color="CCEEFF"/>
            </w:tcBorders>
          </w:tcPr>
          <w:p>
            <w:pPr>
              <w:spacing w:after="0"/>
              <w:rPr>
                <w:sz w:val="20"/>
                <w:szCs w:val="20"/>
                <w:color w:val="auto"/>
              </w:rPr>
            </w:pPr>
          </w:p>
        </w:tc>
        <w:tc>
          <w:tcPr>
            <w:tcW w:w="5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Ether</w:t>
            </w:r>
          </w:p>
        </w:tc>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obligations for crypto</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60" w:type="dxa"/>
            <w:vAlign w:val="bottom"/>
            <w:tcBorders>
              <w:bottom w:val="single" w:sz="8" w:color="CCEEFF"/>
            </w:tcBorders>
          </w:tcPr>
          <w:p>
            <w:pPr>
              <w:spacing w:after="0"/>
              <w:rPr>
                <w:sz w:val="17"/>
                <w:szCs w:val="17"/>
                <w:color w:val="auto"/>
              </w:rPr>
            </w:pPr>
          </w:p>
        </w:tc>
        <w:tc>
          <w:tcPr>
            <w:tcW w:w="5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asset for crypto</w:t>
            </w:r>
          </w:p>
        </w:tc>
        <w:tc>
          <w:tcPr>
            <w:tcW w:w="5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Investments in Debt Securities</w:t>
      </w:r>
    </w:p>
    <w:p>
      <w:pPr>
        <w:spacing w:after="0" w:line="24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sheets.</w:t>
      </w:r>
    </w:p>
    <w:p>
      <w:pPr>
        <w:spacing w:after="0" w:line="15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6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center"/>
              <w:ind w:left="95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250"/>
              <w:spacing w:after="0" w:line="177"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Cost Basis</w:t>
            </w:r>
          </w:p>
        </w:tc>
        <w:tc>
          <w:tcPr>
            <w:tcW w:w="15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Gains/(Losses),</w:t>
            </w:r>
          </w:p>
        </w:tc>
        <w:tc>
          <w:tcPr>
            <w:tcW w:w="18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5"/>
                <w:szCs w:val="1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 Basis</w:t>
            </w:r>
          </w:p>
        </w:tc>
        <w:tc>
          <w:tcPr>
            <w:tcW w:w="1340" w:type="dxa"/>
            <w:vAlign w:val="bottom"/>
            <w:gridSpan w:val="2"/>
          </w:tcPr>
          <w:p>
            <w:pPr>
              <w:jc w:val="right"/>
              <w:ind w:right="70"/>
              <w:spacing w:after="0" w:line="181" w:lineRule="exact"/>
              <w:rPr>
                <w:sz w:val="20"/>
                <w:szCs w:val="20"/>
                <w:color w:val="auto"/>
              </w:rPr>
            </w:pPr>
            <w:r>
              <w:rPr>
                <w:rFonts w:ascii="Arial" w:cs="Arial" w:eastAsia="Arial" w:hAnsi="Arial"/>
                <w:sz w:val="18"/>
                <w:szCs w:val="18"/>
                <w:b w:val="1"/>
                <w:bCs w:val="1"/>
                <w:color w:val="auto"/>
                <w:w w:val="86"/>
              </w:rPr>
              <w:t>Gains/(Losses),</w:t>
            </w:r>
          </w:p>
        </w:tc>
        <w:tc>
          <w:tcPr>
            <w:tcW w:w="140" w:type="dxa"/>
            <w:vAlign w:val="bottom"/>
          </w:tcPr>
          <w:p>
            <w:pPr>
              <w:spacing w:after="0"/>
              <w:rPr>
                <w:sz w:val="15"/>
                <w:szCs w:val="15"/>
                <w:color w:val="auto"/>
              </w:rPr>
            </w:pPr>
          </w:p>
        </w:tc>
        <w:tc>
          <w:tcPr>
            <w:tcW w:w="10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net</w:t>
            </w: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net</w:t>
            </w: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1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treasury bonds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141,003</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141,003</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December 31, 2021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40"/>
              <w:spacing w:after="0" w:line="169" w:lineRule="exact"/>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Available-for-sale securities in an unrealized loss position</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1"/>
                <w:szCs w:val="21"/>
                <w:color w:val="auto"/>
              </w:rPr>
            </w:pP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1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1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Less than 12 months</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60"/>
              <w:spacing w:after="0" w:line="230" w:lineRule="exact"/>
              <w:rPr>
                <w:sz w:val="20"/>
                <w:szCs w:val="20"/>
                <w:color w:val="auto"/>
              </w:rPr>
            </w:pPr>
            <w:r>
              <w:rPr>
                <w:rFonts w:ascii="Arial" w:cs="Arial" w:eastAsia="Arial" w:hAnsi="Arial"/>
                <w:sz w:val="18"/>
                <w:szCs w:val="18"/>
                <w:color w:val="auto"/>
              </w:rPr>
              <w:t>12 months or more</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40" w:hanging="114"/>
        <w:spacing w:after="0"/>
        <w:tabs>
          <w:tab w:leader="none" w:pos="140" w:val="left"/>
        </w:tabs>
        <w:numPr>
          <w:ilvl w:val="0"/>
          <w:numId w:val="90"/>
        </w:numPr>
        <w:rPr>
          <w:rFonts w:ascii="Arial" w:cs="Arial" w:eastAsia="Arial" w:hAnsi="Arial"/>
          <w:sz w:val="23"/>
          <w:szCs w:val="23"/>
          <w:color w:val="auto"/>
          <w:vertAlign w:val="superscript"/>
        </w:rPr>
      </w:pPr>
      <w:r>
        <w:rPr>
          <w:rFonts w:ascii="Arial" w:cs="Arial" w:eastAsia="Arial" w:hAnsi="Arial"/>
          <w:sz w:val="18"/>
          <w:szCs w:val="18"/>
          <w:color w:val="auto"/>
        </w:rPr>
        <w:t>Indicates the length of time that individual securities have been in a continuous unrealized loss position.</w:t>
      </w:r>
    </w:p>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unrealized losses on our investments in government debt securities relate to changes in interest rates since the time of purchase. We do not intend to sell the investments, and it is not likely that we will be required to sell the investments before recovery of their respective amortized cost basis. In addition, there were no credit losses on these investments as of December 31, 2022.</w:t>
      </w:r>
    </w:p>
    <w:p>
      <w:pPr>
        <w:spacing w:after="0" w:line="1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cost basis and fair value of available-for-sale debt securities at December 31, 2022, by contractual maturity, are shown below (in thousands). Expected maturities may differ from contractual maturities because borrowers may have the right to prepay and creditors may have the right to call obligations.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44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Cost Basis</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141,003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47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47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141,003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Arial" w:cs="Arial" w:eastAsia="Arial" w:hAnsi="Arial"/>
                <w:sz w:val="18"/>
                <w:szCs w:val="18"/>
                <w:color w:val="auto"/>
              </w:rPr>
              <w:t>-135-</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231F20"/>
        </w:rPr>
        <w:t>Subsequent Events</w:t>
      </w:r>
    </w:p>
    <w:p>
      <w:pPr>
        <w:spacing w:after="0" w:line="24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evaluated subsequent events and transactions and determined that no events or transactions met the definition of a subsequent event for purpose of recognition or disclosure in these financial statements, other than as described below and within this note.</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March 9, 2023 the Company announced a reduction in force that is expected to result in the termination of approximately 16% of the Company’s non-call center, full-time workforce (49 employees). Substantially all of the employees impacted by the reduction in force were notified of the reduction on March 9, 2023 and will exit the Company in the first quarter of 2023. The Company estimates that it will incur expenses of approximately $3.7 - $4.1 million related to the reduction in force, substantially all of which are related to employee severance and benefits costs and will be recognized in the first quarter of 2023.</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Annual Report on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2022.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we concluded that as of December 31, 2022,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95" w:lineRule="exact"/>
        <w:rPr>
          <w:sz w:val="20"/>
          <w:szCs w:val="20"/>
          <w:color w:val="auto"/>
        </w:rPr>
      </w:pPr>
    </w:p>
    <w:p>
      <w:pPr>
        <w:ind w:right="80" w:firstLine="648"/>
        <w:spacing w:after="0" w:line="395" w:lineRule="auto"/>
        <w:rPr>
          <w:sz w:val="20"/>
          <w:szCs w:val="20"/>
          <w:color w:val="auto"/>
        </w:rPr>
      </w:pPr>
      <w:r>
        <w:rPr>
          <w:rFonts w:ascii="Arial" w:cs="Arial" w:eastAsia="Arial" w:hAnsi="Arial"/>
          <w:sz w:val="16"/>
          <w:szCs w:val="16"/>
          <w:color w:val="auto"/>
        </w:rPr>
        <w:t>This Annual Report on Form 10-K does not include an attestation report of our registered public accounting firm regarding internal controls over financial reporting because the Jumpstart our Business Startups Act of 2012 provides an exemption from such requirement to emerging growth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2022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right="4500" w:firstLine="8"/>
        <w:spacing w:after="0" w:line="500" w:lineRule="auto"/>
        <w:tabs>
          <w:tab w:leader="none" w:pos="6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filed the following documents as part of this Annual Report on Form 10-K: 1. Financial Statements</w:t>
      </w:r>
    </w:p>
    <w:p>
      <w:pPr>
        <w:spacing w:after="0" w:line="1" w:lineRule="exact"/>
        <w:rPr>
          <w:rFonts w:ascii="Arial" w:cs="Arial" w:eastAsia="Arial" w:hAnsi="Arial"/>
          <w:sz w:val="18"/>
          <w:szCs w:val="18"/>
          <w:color w:val="auto"/>
        </w:rPr>
      </w:pPr>
    </w:p>
    <w:p>
      <w:pPr>
        <w:ind w:right="6280"/>
        <w:spacing w:after="0" w:line="500" w:lineRule="auto"/>
        <w:rPr>
          <w:rFonts w:ascii="Arial" w:cs="Arial" w:eastAsia="Arial" w:hAnsi="Arial"/>
          <w:sz w:val="18"/>
          <w:szCs w:val="18"/>
          <w:color w:val="auto"/>
        </w:rPr>
      </w:pPr>
      <w:r>
        <w:rPr>
          <w:rFonts w:ascii="Arial" w:cs="Arial" w:eastAsia="Arial" w:hAnsi="Arial"/>
          <w:sz w:val="18"/>
          <w:szCs w:val="18"/>
          <w:color w:val="auto"/>
        </w:rPr>
        <w:t>See Index under Part II, Item 8 of this Annual Report on Form 10-K. 2. Financial Statement Schedules</w:t>
      </w:r>
    </w:p>
    <w:p>
      <w:pPr>
        <w:spacing w:after="0" w:line="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Schedules not listed above have been omitted because they are not required, because they are not applicable, or because the required information is otherwise included.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filed as part of this Annual Report on Form 10-K or are incorporated herein by reference, in each case as indicated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83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60" w:type="dxa"/>
            <w:vAlign w:val="bottom"/>
            <w:gridSpan w:val="6"/>
          </w:tcPr>
          <w:p>
            <w:pPr>
              <w:jc w:val="center"/>
              <w:ind w:right="1160"/>
              <w:spacing w:after="0"/>
              <w:rPr>
                <w:sz w:val="20"/>
                <w:szCs w:val="20"/>
                <w:color w:val="auto"/>
              </w:rPr>
            </w:pPr>
            <w:r>
              <w:rPr>
                <w:rFonts w:ascii="Arial" w:cs="Arial" w:eastAsia="Arial" w:hAnsi="Arial"/>
                <w:sz w:val="14"/>
                <w:szCs w:val="14"/>
                <w:b w:val="1"/>
                <w:bCs w:val="1"/>
                <w:color w:val="auto"/>
                <w:w w:val="93"/>
              </w:rPr>
              <w:t>Incorporated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80" w:type="dxa"/>
            <w:vAlign w:val="bottom"/>
            <w:gridSpan w:val="25"/>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96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4"/>
              </w:rPr>
              <w:t>File 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25"/>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3580" w:type="dxa"/>
            <w:vAlign w:val="bottom"/>
            <w:tcBorders>
              <w:top w:val="single" w:sz="8" w:color="auto"/>
              <w:bottom w:val="single" w:sz="8" w:color="0000FF"/>
            </w:tcBorders>
            <w:gridSpan w:val="15"/>
          </w:tcPr>
          <w:p>
            <w:pPr>
              <w:spacing w:after="0" w:line="189" w:lineRule="exact"/>
              <w:rPr>
                <w:rFonts w:ascii="Arial" w:cs="Arial" w:eastAsia="Arial" w:hAnsi="Arial"/>
                <w:sz w:val="18"/>
                <w:szCs w:val="18"/>
                <w:color w:val="0000FF"/>
                <w:w w:val="88"/>
              </w:rPr>
            </w:pPr>
            <w:hyperlink r:id="rId169">
              <w:r>
                <w:rPr>
                  <w:rFonts w:ascii="Arial" w:cs="Arial" w:eastAsia="Arial" w:hAnsi="Arial"/>
                  <w:sz w:val="18"/>
                  <w:szCs w:val="18"/>
                  <w:color w:val="0000FF"/>
                  <w:w w:val="88"/>
                </w:rPr>
                <w:t>Agreement and Plan of Merger, dated January 11,</w:t>
              </w:r>
            </w:hyperlink>
          </w:p>
        </w:tc>
        <w:tc>
          <w:tcPr>
            <w:tcW w:w="460" w:type="dxa"/>
            <w:vAlign w:val="bottom"/>
            <w:tcBorders>
              <w:top w:val="single" w:sz="8" w:color="auto"/>
            </w:tcBorders>
            <w:gridSpan w:val="12"/>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8"/>
          </w:tcPr>
          <w:p>
            <w:pPr>
              <w:spacing w:after="0" w:line="156"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2021, by and among the Company, Merger Sub, and</w:t>
              </w:r>
            </w:hyperlink>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960" w:type="dxa"/>
            <w:vAlign w:val="bottom"/>
            <w:vMerge w:val="restart"/>
          </w:tcPr>
          <w:p>
            <w:pPr>
              <w:jc w:val="center"/>
              <w:ind w:left="93"/>
              <w:spacing w:after="0"/>
              <w:rPr>
                <w:sz w:val="20"/>
                <w:szCs w:val="20"/>
                <w:color w:val="auto"/>
              </w:rPr>
            </w:pPr>
            <w:r>
              <w:rPr>
                <w:rFonts w:ascii="Arial" w:cs="Arial" w:eastAsia="Arial" w:hAnsi="Arial"/>
                <w:sz w:val="18"/>
                <w:szCs w:val="18"/>
                <w:color w:val="auto"/>
                <w:w w:val="90"/>
              </w:rPr>
              <w:t>001-39544</w:t>
            </w:r>
          </w:p>
        </w:tc>
        <w:tc>
          <w:tcPr>
            <w:tcW w:w="1400" w:type="dxa"/>
            <w:vAlign w:val="bottom"/>
            <w:gridSpan w:val="3"/>
            <w:vMerge w:val="restart"/>
          </w:tcPr>
          <w:p>
            <w:pPr>
              <w:jc w:val="center"/>
              <w:ind w:left="173"/>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January 11, 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r:id="rId169">
              <w:r>
                <w:rPr>
                  <w:rFonts w:ascii="Arial" w:cs="Arial" w:eastAsia="Arial" w:hAnsi="Arial"/>
                  <w:sz w:val="18"/>
                  <w:szCs w:val="18"/>
                  <w:color w:val="0000FF"/>
                  <w:w w:val="87"/>
                </w:rPr>
                <w:t>the Company.</w:t>
              </w:r>
            </w:hyperlink>
          </w:p>
        </w:tc>
        <w:tc>
          <w:tcPr>
            <w:tcW w:w="278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6"/>
              </w:rPr>
            </w:pPr>
            <w:hyperlink r:id="rId170">
              <w:r>
                <w:rPr>
                  <w:rFonts w:ascii="Arial" w:cs="Arial" w:eastAsia="Arial" w:hAnsi="Arial"/>
                  <w:sz w:val="18"/>
                  <w:szCs w:val="18"/>
                  <w:color w:val="0000FF"/>
                  <w:w w:val="96"/>
                </w:rPr>
                <w:t>Amendment to Agreement and Plan of Merger, dated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March 30, 2021 by and among the Company, Merger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960" w:type="dxa"/>
            <w:vAlign w:val="bottom"/>
            <w:vMerge w:val="restart"/>
          </w:tcPr>
          <w:p>
            <w:pPr>
              <w:jc w:val="center"/>
              <w:ind w:left="93"/>
              <w:spacing w:after="0"/>
              <w:rPr>
                <w:sz w:val="20"/>
                <w:szCs w:val="20"/>
                <w:color w:val="auto"/>
              </w:rPr>
            </w:pPr>
            <w:r>
              <w:rPr>
                <w:rFonts w:ascii="Arial" w:cs="Arial" w:eastAsia="Arial" w:hAnsi="Arial"/>
                <w:sz w:val="18"/>
                <w:szCs w:val="18"/>
                <w:color w:val="auto"/>
                <w:w w:val="90"/>
              </w:rPr>
              <w:t>001-39544</w:t>
            </w:r>
          </w:p>
        </w:tc>
        <w:tc>
          <w:tcPr>
            <w:tcW w:w="1400" w:type="dxa"/>
            <w:vAlign w:val="bottom"/>
            <w:gridSpan w:val="3"/>
            <w:vMerge w:val="restart"/>
          </w:tcPr>
          <w:p>
            <w:pPr>
              <w:jc w:val="center"/>
              <w:ind w:left="173"/>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March 31, 2021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7"/>
              </w:rPr>
            </w:pPr>
            <w:hyperlink r:id="rId170">
              <w:r>
                <w:rPr>
                  <w:rFonts w:ascii="Arial" w:cs="Arial" w:eastAsia="Arial" w:hAnsi="Arial"/>
                  <w:sz w:val="18"/>
                  <w:szCs w:val="18"/>
                  <w:color w:val="0000FF"/>
                  <w:w w:val="87"/>
                </w:rPr>
                <w:t>Sub, and the Company.</w:t>
              </w:r>
            </w:hyperlink>
          </w:p>
        </w:tc>
        <w:tc>
          <w:tcPr>
            <w:tcW w:w="2140" w:type="dxa"/>
            <w:vAlign w:val="bottom"/>
            <w:tcBorders>
              <w:top w:val="single" w:sz="8" w:color="0000FF"/>
            </w:tcBorders>
            <w:gridSpan w:val="14"/>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Amendment to Agreement and Plan of Merger, dated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71">
              <w:r>
                <w:rPr>
                  <w:rFonts w:ascii="Arial" w:cs="Arial" w:eastAsia="Arial" w:hAnsi="Arial"/>
                  <w:sz w:val="18"/>
                  <w:szCs w:val="18"/>
                  <w:color w:val="0000FF"/>
                  <w:w w:val="95"/>
                </w:rPr>
                <w:t>September 29, 2021 by and among the Company,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Merger Sub, and the Company.</w:t>
              </w:r>
            </w:hyperlink>
          </w:p>
        </w:tc>
        <w:tc>
          <w:tcPr>
            <w:tcW w:w="20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169"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169"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Membership Interest Purchase Agreement, dated as of</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November 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November 2, 2022, by and among the Company, Bakkt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Marketplace, Seller and Target.</w:t>
              </w:r>
            </w:hyperlink>
          </w:p>
        </w:tc>
        <w:tc>
          <w:tcPr>
            <w:tcW w:w="1760" w:type="dxa"/>
            <w:vAlign w:val="bottom"/>
            <w:gridSpan w:val="20"/>
          </w:tcPr>
          <w:p>
            <w:pPr>
              <w:spacing w:after="0"/>
              <w:rPr>
                <w:sz w:val="14"/>
                <w:szCs w:val="14"/>
                <w:color w:val="auto"/>
              </w:rPr>
            </w:pPr>
          </w:p>
        </w:tc>
        <w:tc>
          <w:tcPr>
            <w:tcW w:w="80" w:type="dxa"/>
            <w:vAlign w:val="bottom"/>
            <w:gridSpan w:val="2"/>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169"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169"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rPr>
            </w:pPr>
            <w:hyperlink r:id="rId173">
              <w:r>
                <w:rPr>
                  <w:rFonts w:ascii="Arial" w:cs="Arial" w:eastAsia="Arial" w:hAnsi="Arial"/>
                  <w:sz w:val="18"/>
                  <w:szCs w:val="18"/>
                  <w:color w:val="0000FF"/>
                </w:rPr>
                <w:t>Certificate of Incorporation of the Company, as</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currently in effect.</w:t>
              </w:r>
            </w:hyperlink>
          </w:p>
        </w:tc>
        <w:tc>
          <w:tcPr>
            <w:tcW w:w="4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20" w:type="dxa"/>
            <w:vAlign w:val="bottom"/>
            <w:gridSpan w:val="2"/>
          </w:tcPr>
          <w:p>
            <w:pPr>
              <w:jc w:val="center"/>
              <w:ind w:right="100"/>
              <w:spacing w:after="0" w:line="136" w:lineRule="exact"/>
              <w:rPr>
                <w:sz w:val="20"/>
                <w:szCs w:val="20"/>
                <w:color w:val="auto"/>
              </w:rPr>
            </w:pPr>
            <w:r>
              <w:rPr>
                <w:rFonts w:ascii="Arial" w:cs="Arial" w:eastAsia="Arial" w:hAnsi="Arial"/>
                <w:sz w:val="15"/>
                <w:szCs w:val="15"/>
                <w:color w:val="auto"/>
              </w:rPr>
              <w:t>8-K</w:t>
            </w:r>
          </w:p>
        </w:tc>
        <w:tc>
          <w:tcPr>
            <w:tcW w:w="960" w:type="dxa"/>
            <w:vAlign w:val="bottom"/>
          </w:tcPr>
          <w:p>
            <w:pPr>
              <w:jc w:val="center"/>
              <w:ind w:left="93"/>
              <w:spacing w:after="0" w:line="136" w:lineRule="exact"/>
              <w:rPr>
                <w:sz w:val="20"/>
                <w:szCs w:val="20"/>
                <w:color w:val="auto"/>
              </w:rPr>
            </w:pPr>
            <w:r>
              <w:rPr>
                <w:rFonts w:ascii="Arial" w:cs="Arial" w:eastAsia="Arial" w:hAnsi="Arial"/>
                <w:sz w:val="15"/>
                <w:szCs w:val="15"/>
                <w:color w:val="auto"/>
              </w:rPr>
              <w:t>001-39544</w:t>
            </w:r>
          </w:p>
        </w:tc>
        <w:tc>
          <w:tcPr>
            <w:tcW w:w="1400" w:type="dxa"/>
            <w:vAlign w:val="bottom"/>
            <w:gridSpan w:val="3"/>
          </w:tcPr>
          <w:p>
            <w:pPr>
              <w:jc w:val="center"/>
              <w:ind w:left="173"/>
              <w:spacing w:after="0" w:line="136"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3"/>
                <w:szCs w:val="13"/>
                <w:color w:val="auto"/>
              </w:rPr>
            </w:pPr>
          </w:p>
        </w:tc>
        <w:tc>
          <w:tcPr>
            <w:tcW w:w="1260" w:type="dxa"/>
            <w:vAlign w:val="bottom"/>
          </w:tcPr>
          <w:p>
            <w:pPr>
              <w:jc w:val="center"/>
              <w:spacing w:after="0" w:line="136" w:lineRule="exact"/>
              <w:rPr>
                <w:sz w:val="20"/>
                <w:szCs w:val="20"/>
                <w:color w:val="auto"/>
              </w:rPr>
            </w:pPr>
            <w:r>
              <w:rPr>
                <w:rFonts w:ascii="Arial" w:cs="Arial" w:eastAsia="Arial" w:hAnsi="Arial"/>
                <w:sz w:val="15"/>
                <w:szCs w:val="15"/>
                <w:color w:val="auto"/>
              </w:rPr>
              <w:t>2021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8"/>
          </w:tcPr>
          <w:p>
            <w:pPr>
              <w:spacing w:after="0" w:line="202" w:lineRule="exact"/>
              <w:rPr>
                <w:rFonts w:ascii="Arial" w:cs="Arial" w:eastAsia="Arial" w:hAnsi="Arial"/>
                <w:sz w:val="18"/>
                <w:szCs w:val="18"/>
                <w:color w:val="0000FF"/>
              </w:rPr>
            </w:pPr>
            <w:hyperlink r:id="rId174">
              <w:r>
                <w:rPr>
                  <w:rFonts w:ascii="Arial" w:cs="Arial" w:eastAsia="Arial" w:hAnsi="Arial"/>
                  <w:sz w:val="18"/>
                  <w:szCs w:val="18"/>
                  <w:color w:val="0000FF"/>
                </w:rPr>
                <w:t>By-Laws of the Company, as currently in effect.</w:t>
              </w:r>
            </w:hyperlink>
          </w:p>
        </w:tc>
        <w:tc>
          <w:tcPr>
            <w:tcW w:w="12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202"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202"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Specimen Class A Common Stock Certificate of the</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175">
              <w:r>
                <w:rPr>
                  <w:rFonts w:ascii="Arial" w:cs="Arial" w:eastAsia="Arial" w:hAnsi="Arial"/>
                  <w:sz w:val="16"/>
                  <w:szCs w:val="16"/>
                  <w:color w:val="0000FF"/>
                  <w:w w:val="98"/>
                </w:rPr>
                <w:t>Company.</w:t>
              </w:r>
            </w:hyperlink>
          </w:p>
        </w:tc>
        <w:tc>
          <w:tcPr>
            <w:tcW w:w="1860" w:type="dxa"/>
            <w:vAlign w:val="bottom"/>
            <w:tcBorders>
              <w:top w:val="single" w:sz="8" w:color="0000FF"/>
            </w:tcBorders>
            <w:gridSpan w:val="6"/>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gridSpan w:val="5"/>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20" w:type="dxa"/>
            <w:vAlign w:val="bottom"/>
            <w:gridSpan w:val="2"/>
          </w:tcPr>
          <w:p>
            <w:pPr>
              <w:jc w:val="center"/>
              <w:ind w:right="100"/>
              <w:spacing w:after="0" w:line="156"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156"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15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Borders>
              <w:bottom w:val="single" w:sz="8" w:color="0000FF"/>
            </w:tcBorders>
            <w:gridSpan w:val="10"/>
          </w:tcPr>
          <w:p>
            <w:pPr>
              <w:spacing w:after="0" w:line="202"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Specimen Warrant Certificate of the Company.</w:t>
              </w:r>
            </w:hyperlink>
          </w:p>
        </w:tc>
        <w:tc>
          <w:tcPr>
            <w:tcW w:w="720" w:type="dxa"/>
            <w:vAlign w:val="bottom"/>
            <w:gridSpan w:val="18"/>
          </w:tcPr>
          <w:p>
            <w:pPr>
              <w:spacing w:after="0"/>
              <w:rPr>
                <w:sz w:val="17"/>
                <w:szCs w:val="17"/>
                <w:color w:val="auto"/>
              </w:rPr>
            </w:pPr>
          </w:p>
        </w:tc>
        <w:tc>
          <w:tcPr>
            <w:tcW w:w="12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202"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202"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Warrant Agreement, dated September 22, 2020, by and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September 28,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between the Company and Continental Stock Transfer</w:t>
              </w:r>
            </w:hyperlink>
          </w:p>
        </w:tc>
        <w:tc>
          <w:tcPr>
            <w:tcW w:w="1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177">
              <w:r>
                <w:rPr>
                  <w:rFonts w:ascii="Arial" w:cs="Arial" w:eastAsia="Arial" w:hAnsi="Arial"/>
                  <w:sz w:val="18"/>
                  <w:szCs w:val="18"/>
                  <w:color w:val="0000FF"/>
                </w:rPr>
                <w:t>&amp; Trust Company, as warrant agent.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169"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16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First Amendment to Warrant Agreement, dated March</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9, 2022, by and among Bakkt Holdings, Inc, American</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gridSpan w:val="24"/>
          </w:tcPr>
          <w:p>
            <w:pPr>
              <w:spacing w:after="0" w:line="169" w:lineRule="exact"/>
              <w:rPr>
                <w:rFonts w:ascii="Arial" w:cs="Arial" w:eastAsia="Arial" w:hAnsi="Arial"/>
                <w:sz w:val="18"/>
                <w:szCs w:val="18"/>
                <w:color w:val="0000FF"/>
              </w:rPr>
            </w:pPr>
            <w:hyperlink r:id="rId178">
              <w:r>
                <w:rPr>
                  <w:rFonts w:ascii="Arial" w:cs="Arial" w:eastAsia="Arial" w:hAnsi="Arial"/>
                  <w:sz w:val="18"/>
                  <w:szCs w:val="18"/>
                  <w:color w:val="0000FF"/>
                </w:rPr>
                <w:t>Stock Transfer &amp; Trust Company, LLC and</w:t>
              </w:r>
            </w:hyperlink>
          </w:p>
        </w:tc>
        <w:tc>
          <w:tcPr>
            <w:tcW w:w="120" w:type="dxa"/>
            <w:vAlign w:val="bottom"/>
            <w:gridSpan w:val="4"/>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10-K</w:t>
            </w:r>
          </w:p>
        </w:tc>
        <w:tc>
          <w:tcPr>
            <w:tcW w:w="960" w:type="dxa"/>
            <w:vAlign w:val="bottom"/>
            <w:vMerge w:val="restart"/>
          </w:tcPr>
          <w:p>
            <w:pPr>
              <w:jc w:val="center"/>
              <w:ind w:left="93"/>
              <w:spacing w:after="0"/>
              <w:rPr>
                <w:sz w:val="20"/>
                <w:szCs w:val="20"/>
                <w:color w:val="auto"/>
              </w:rPr>
            </w:pPr>
            <w:r>
              <w:rPr>
                <w:rFonts w:ascii="Arial" w:cs="Arial" w:eastAsia="Arial" w:hAnsi="Arial"/>
                <w:sz w:val="18"/>
                <w:szCs w:val="18"/>
                <w:color w:val="auto"/>
                <w:w w:val="90"/>
              </w:rPr>
              <w:t>001-39544</w:t>
            </w:r>
          </w:p>
        </w:tc>
        <w:tc>
          <w:tcPr>
            <w:tcW w:w="1400" w:type="dxa"/>
            <w:vAlign w:val="bottom"/>
            <w:gridSpan w:val="3"/>
            <w:vMerge w:val="restart"/>
          </w:tcPr>
          <w:p>
            <w:pPr>
              <w:jc w:val="center"/>
              <w:ind w:left="173"/>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28"/>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Continental Stock Transfer &amp; Trust Company.</w:t>
              </w:r>
            </w:hyperlink>
          </w:p>
        </w:tc>
        <w:tc>
          <w:tcPr>
            <w:tcW w:w="12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8"/>
          </w:tcPr>
          <w:p>
            <w:pPr>
              <w:spacing w:after="0"/>
              <w:rPr>
                <w:rFonts w:ascii="Arial" w:cs="Arial" w:eastAsia="Arial" w:hAnsi="Arial"/>
                <w:sz w:val="18"/>
                <w:szCs w:val="18"/>
                <w:color w:val="0000FF"/>
              </w:rPr>
            </w:pPr>
            <w:hyperlink r:id="rId179">
              <w:r>
                <w:rPr>
                  <w:rFonts w:ascii="Arial" w:cs="Arial" w:eastAsia="Arial" w:hAnsi="Arial"/>
                  <w:sz w:val="18"/>
                  <w:szCs w:val="18"/>
                  <w:color w:val="0000FF"/>
                </w:rPr>
                <w:t>Third Amended and Restated Limited Liability</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Company Agreement, dated October 15, 2021,</w:t>
              </w:r>
            </w:hyperlink>
          </w:p>
        </w:tc>
        <w:tc>
          <w:tcPr>
            <w:tcW w:w="700" w:type="dxa"/>
            <w:vAlign w:val="bottom"/>
            <w:gridSpan w:val="17"/>
          </w:tcPr>
          <w:p>
            <w:pPr>
              <w:ind w:left="20"/>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by and</w:t>
              </w:r>
            </w:hyperlink>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w w:val="89"/>
              </w:rPr>
              <w:t>October 21,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among Opco and the Opco Equity Holders.</w:t>
              </w:r>
            </w:hyperlink>
          </w:p>
        </w:tc>
        <w:tc>
          <w:tcPr>
            <w:tcW w:w="780" w:type="dxa"/>
            <w:vAlign w:val="bottom"/>
            <w:tcBorders>
              <w:top w:val="single" w:sz="8" w:color="0000FF"/>
            </w:tcBorders>
            <w:gridSpan w:val="12"/>
          </w:tcPr>
          <w:p>
            <w:pPr>
              <w:spacing w:after="0"/>
              <w:rPr>
                <w:sz w:val="14"/>
                <w:szCs w:val="14"/>
                <w:color w:val="auto"/>
              </w:rPr>
            </w:pPr>
          </w:p>
        </w:tc>
        <w:tc>
          <w:tcPr>
            <w:tcW w:w="200" w:type="dxa"/>
            <w:vAlign w:val="bottom"/>
            <w:gridSpan w:val="8"/>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9"/>
              </w:rPr>
              <w:t>8-K</w:t>
            </w:r>
          </w:p>
        </w:tc>
        <w:tc>
          <w:tcPr>
            <w:tcW w:w="960" w:type="dxa"/>
            <w:vAlign w:val="bottom"/>
          </w:tcPr>
          <w:p>
            <w:pPr>
              <w:jc w:val="center"/>
              <w:ind w:left="93"/>
              <w:spacing w:after="0" w:line="169" w:lineRule="exact"/>
              <w:rPr>
                <w:sz w:val="20"/>
                <w:szCs w:val="20"/>
                <w:color w:val="auto"/>
              </w:rPr>
            </w:pPr>
            <w:r>
              <w:rPr>
                <w:rFonts w:ascii="Arial" w:cs="Arial" w:eastAsia="Arial" w:hAnsi="Arial"/>
                <w:sz w:val="18"/>
                <w:szCs w:val="18"/>
                <w:color w:val="auto"/>
                <w:w w:val="90"/>
              </w:rPr>
              <w:t>001-39544</w:t>
            </w:r>
          </w:p>
        </w:tc>
        <w:tc>
          <w:tcPr>
            <w:tcW w:w="1400" w:type="dxa"/>
            <w:vAlign w:val="bottom"/>
            <w:gridSpan w:val="3"/>
          </w:tcPr>
          <w:p>
            <w:pPr>
              <w:jc w:val="center"/>
              <w:ind w:left="173"/>
              <w:spacing w:after="0" w:line="169"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0" w:space="320"/>
            <w:col w:w="10180"/>
          </w:cols>
          <w:pgMar w:left="320" w:top="125"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83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32385</wp:posOffset>
            </wp:positionV>
            <wp:extent cx="25546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right="280"/>
        <w:spacing w:after="0" w:line="272" w:lineRule="auto"/>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Stockholders’ Agreement, dated as of November 2,</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2022, by and between the Company and Seller.</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Description of Securities.</w:t>
        </w:r>
      </w:hyperlink>
    </w:p>
    <w:p>
      <w:pPr>
        <w:spacing w:after="0" w:line="23" w:lineRule="exact"/>
        <w:rPr>
          <w:sz w:val="20"/>
          <w:szCs w:val="20"/>
          <w:color w:val="auto"/>
        </w:rPr>
      </w:pPr>
    </w:p>
    <w:p>
      <w:pPr>
        <w:ind w:right="420"/>
        <w:spacing w:after="0" w:line="247" w:lineRule="auto"/>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Letter Agreement, dated September 22, 2020 (the</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“Insider Letter”), by and among the Company, its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executive officers, its directors and the Sponsor.</w:t>
        </w:r>
      </w:hyperlink>
    </w:p>
    <w:p>
      <w:pPr>
        <w:spacing w:after="0" w:line="7" w:lineRule="exact"/>
        <w:rPr>
          <w:sz w:val="20"/>
          <w:szCs w:val="20"/>
          <w:color w:val="auto"/>
        </w:rPr>
      </w:pPr>
    </w:p>
    <w:p>
      <w:pPr>
        <w:ind w:right="100"/>
        <w:spacing w:after="0" w:line="247" w:lineRule="auto"/>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Amendment to Insider Letter, dated January 11, 2021,</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by and among the Company, its executive officers, its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directors, the Sponsor and Opco.</w:t>
        </w:r>
      </w:hyperlink>
    </w:p>
    <w:p>
      <w:pPr>
        <w:spacing w:after="0" w:line="7" w:lineRule="exact"/>
        <w:rPr>
          <w:sz w:val="20"/>
          <w:szCs w:val="20"/>
          <w:color w:val="auto"/>
        </w:rPr>
      </w:pPr>
    </w:p>
    <w:p>
      <w:pPr>
        <w:ind w:right="240"/>
        <w:spacing w:after="0" w:line="247" w:lineRule="auto"/>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Digital Currency Trading, Clearing, and Warehouse</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Services Agreement, dated August 29, 2019, by and</w:t>
        </w:r>
      </w:hyperlink>
    </w:p>
    <w:p>
      <w:pPr>
        <w:spacing w:after="0" w:line="1" w:lineRule="exact"/>
        <w:rPr>
          <w:sz w:val="20"/>
          <w:szCs w:val="20"/>
          <w:color w:val="auto"/>
        </w:rPr>
      </w:pPr>
    </w:p>
    <w:p>
      <w:pPr>
        <w:ind w:right="580"/>
        <w:spacing w:after="0" w:line="226"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among IFUS, ICUS and Bakkt Trust, including</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amendments thereto.</w:t>
        </w:r>
      </w:hyperlink>
    </w:p>
    <w:p>
      <w:pPr>
        <w:ind w:right="420"/>
        <w:spacing w:after="0" w:line="234"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Cooperation Agreement, dated October 15, 2021,</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between the Company and ICE.</w:t>
        </w:r>
      </w:hyperlink>
    </w:p>
    <w:p>
      <w:pPr>
        <w:spacing w:after="0" w:line="14" w:lineRule="exact"/>
        <w:rPr>
          <w:sz w:val="20"/>
          <w:szCs w:val="20"/>
          <w:color w:val="auto"/>
        </w:rPr>
      </w:pPr>
    </w:p>
    <w:p>
      <w:pPr>
        <w:ind w:right="240"/>
        <w:spacing w:after="0" w:line="248" w:lineRule="auto"/>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Registration Rights Agreement, dated October 15,</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2021, by and among the Company, the Opco Equity</w:t>
        </w:r>
      </w:hyperlink>
    </w:p>
    <w:p>
      <w:pPr>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Holders and the Sponsor.</w:t>
        </w:r>
      </w:hyperlink>
    </w:p>
    <w:p>
      <w:pPr>
        <w:spacing w:after="0" w:line="7" w:lineRule="exact"/>
        <w:rPr>
          <w:sz w:val="20"/>
          <w:szCs w:val="20"/>
          <w:color w:val="auto"/>
        </w:rPr>
      </w:pPr>
    </w:p>
    <w:p>
      <w:pPr>
        <w:ind w:right="300"/>
        <w:spacing w:after="0" w:line="247" w:lineRule="auto"/>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Stockholders Agreement of the Company, dated</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October 15, 2021, by and among the Company, the</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Opco Equity Holders and the Sponsor.</w:t>
        </w:r>
      </w:hyperlink>
    </w:p>
    <w:p>
      <w:pPr>
        <w:spacing w:after="0" w:line="7" w:lineRule="exact"/>
        <w:rPr>
          <w:sz w:val="20"/>
          <w:szCs w:val="20"/>
          <w:color w:val="auto"/>
        </w:rPr>
      </w:pPr>
    </w:p>
    <w:p>
      <w:pPr>
        <w:ind w:right="300"/>
        <w:spacing w:after="0" w:line="234"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Voting Agreement, dated October 15, 2021, by and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between the Company and ICE.</w:t>
        </w:r>
      </w:hyperlink>
    </w:p>
    <w:p>
      <w:pPr>
        <w:spacing w:after="0" w:line="14" w:lineRule="exact"/>
        <w:rPr>
          <w:sz w:val="20"/>
          <w:szCs w:val="20"/>
          <w:color w:val="auto"/>
        </w:rPr>
      </w:pPr>
    </w:p>
    <w:p>
      <w:pPr>
        <w:ind w:right="40"/>
        <w:spacing w:after="0" w:line="248"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Amended and Restated Exchange Agreement dated</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May 3, 2022 by and between Bakkt Holdings, Inc. and</w:t>
        </w:r>
      </w:hyperlink>
    </w:p>
    <w:p>
      <w:pPr>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the other parties named therein.</w:t>
        </w:r>
      </w:hyperlink>
    </w:p>
    <w:p>
      <w:pPr>
        <w:spacing w:after="0" w:line="7" w:lineRule="exact"/>
        <w:rPr>
          <w:sz w:val="20"/>
          <w:szCs w:val="20"/>
          <w:color w:val="auto"/>
        </w:rPr>
      </w:pPr>
    </w:p>
    <w:p>
      <w:pPr>
        <w:ind w:right="200"/>
        <w:spacing w:after="0" w:line="247" w:lineRule="auto"/>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Tax Receivable Agreement, dated October 15, 2021,</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by and among the Company and the other parties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thereto.</w:t>
        </w:r>
      </w:hyperlink>
    </w:p>
    <w:p>
      <w:pPr>
        <w:spacing w:after="0" w:line="101" w:lineRule="exact"/>
        <w:rPr>
          <w:sz w:val="20"/>
          <w:szCs w:val="20"/>
          <w:color w:val="auto"/>
        </w:rPr>
      </w:pPr>
    </w:p>
    <w:p>
      <w:pPr>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2021 Omnibus Incentive Plan.</w:t>
        </w:r>
      </w:hyperlink>
    </w:p>
    <w:p>
      <w:pPr>
        <w:spacing w:after="0" w:line="117" w:lineRule="exact"/>
        <w:rPr>
          <w:sz w:val="20"/>
          <w:szCs w:val="20"/>
          <w:color w:val="auto"/>
        </w:rPr>
      </w:pPr>
    </w:p>
    <w:p>
      <w:pPr>
        <w:ind w:right="320"/>
        <w:spacing w:after="0" w:line="248"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Form of Director Restricted Stock Unit Agreement</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under the Bakkt Holdings, Inc. 2021 Omnibus</w:t>
        </w:r>
      </w:hyperlink>
    </w:p>
    <w:p>
      <w:pPr>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Incentive Plan.</w:t>
        </w:r>
      </w:hyperlink>
    </w:p>
    <w:p>
      <w:pPr>
        <w:spacing w:after="0" w:line="7" w:lineRule="exact"/>
        <w:rPr>
          <w:sz w:val="20"/>
          <w:szCs w:val="20"/>
          <w:color w:val="auto"/>
        </w:rPr>
      </w:pPr>
    </w:p>
    <w:p>
      <w:pPr>
        <w:ind w:right="480"/>
        <w:spacing w:after="0" w:line="247" w:lineRule="auto"/>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Form of Executive Officer Restricted Stock Unit</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Agreement under the Bakkt Holdings, Inc. 2021</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Omnibus Incentive Plan.</w:t>
        </w:r>
      </w:hyperlink>
    </w:p>
    <w:p>
      <w:pPr>
        <w:spacing w:after="0" w:line="7" w:lineRule="exact"/>
        <w:rPr>
          <w:sz w:val="20"/>
          <w:szCs w:val="20"/>
          <w:color w:val="auto"/>
        </w:rPr>
      </w:pPr>
    </w:p>
    <w:p>
      <w:pPr>
        <w:ind w:right="20"/>
        <w:spacing w:after="0" w:line="256" w:lineRule="auto"/>
        <w:rPr>
          <w:rFonts w:ascii="Arial" w:cs="Arial" w:eastAsia="Arial" w:hAnsi="Arial"/>
          <w:sz w:val="17"/>
          <w:szCs w:val="17"/>
          <w:u w:val="single" w:color="auto"/>
          <w:color w:val="0000FF"/>
        </w:rPr>
      </w:pPr>
      <w:hyperlink r:id="rId197">
        <w:r>
          <w:rPr>
            <w:rFonts w:ascii="Arial" w:cs="Arial" w:eastAsia="Arial" w:hAnsi="Arial"/>
            <w:sz w:val="17"/>
            <w:szCs w:val="17"/>
            <w:u w:val="single" w:color="auto"/>
            <w:color w:val="0000FF"/>
          </w:rPr>
          <w:t>Form of Performance Unit Agreement under the Bakkt</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Holdings, Inc. 2021 Omnibus Incentive Plan.</w:t>
        </w:r>
      </w:hyperlink>
    </w:p>
    <w:p>
      <w:pPr>
        <w:spacing w:after="0" w:line="1" w:lineRule="exact"/>
        <w:rPr>
          <w:sz w:val="20"/>
          <w:szCs w:val="20"/>
          <w:color w:val="auto"/>
        </w:rPr>
      </w:pPr>
    </w:p>
    <w:p>
      <w:pPr>
        <w:ind w:right="1120"/>
        <w:spacing w:after="0" w:line="235"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Form of Director and Executive Officer</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Indemnification Agreement.</w:t>
        </w:r>
      </w:hyperlink>
    </w:p>
    <w:p>
      <w:pPr>
        <w:spacing w:after="0" w:line="13" w:lineRule="exact"/>
        <w:rPr>
          <w:sz w:val="20"/>
          <w:szCs w:val="20"/>
          <w:color w:val="auto"/>
        </w:rPr>
      </w:pPr>
    </w:p>
    <w:p>
      <w:pPr>
        <w:ind w:right="80"/>
        <w:spacing w:after="0" w:line="272" w:lineRule="auto"/>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Transition Services Agreement, dated as of November</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10, 2021, by and between Opco and ICE.</w:t>
        </w:r>
      </w:hyperlink>
    </w:p>
    <w:p>
      <w:pPr>
        <w:spacing w:after="0" w:line="1" w:lineRule="exact"/>
        <w:rPr>
          <w:sz w:val="20"/>
          <w:szCs w:val="20"/>
          <w:color w:val="auto"/>
        </w:rPr>
      </w:pPr>
    </w:p>
    <w:p>
      <w:pPr>
        <w:ind w:right="200"/>
        <w:spacing w:after="0" w:line="272" w:lineRule="auto"/>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Employment Agreement, dated January 9, 2021, by</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and among Gavin Michael, Opco, and the Company.</w:t>
        </w:r>
      </w:hyperlink>
    </w:p>
    <w:p>
      <w:pPr>
        <w:spacing w:after="0" w:line="1" w:lineRule="exact"/>
        <w:rPr>
          <w:sz w:val="20"/>
          <w:szCs w:val="20"/>
          <w:color w:val="auto"/>
        </w:rPr>
      </w:pPr>
    </w:p>
    <w:p>
      <w:pPr>
        <w:spacing w:after="0" w:line="289" w:lineRule="auto"/>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Employment Agreement, dated March 16, 2021, by</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and among Andrew LaBenne, Opco, and the Company.</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44"/>
        </w:trPr>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File No.</w:t>
            </w:r>
          </w:p>
        </w:tc>
        <w:tc>
          <w:tcPr>
            <w:tcW w:w="12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6"/>
        </w:trPr>
        <w:tc>
          <w:tcPr>
            <w:tcW w:w="122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5"/>
        </w:trPr>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November 3,</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September 28,</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11,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4,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November 12,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740" w:space="340"/>
            <w:col w:w="3980" w:space="120"/>
            <w:col w:w="6060"/>
          </w:cols>
          <w:pgMar w:left="320" w:top="125"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80" w:type="dxa"/>
            <w:vAlign w:val="bottom"/>
            <w:gridSpan w:val="22"/>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gridSpan w:val="25"/>
          </w:tcPr>
          <w:p>
            <w:pPr>
              <w:spacing w:after="0" w:line="189" w:lineRule="exact"/>
              <w:rPr>
                <w:rFonts w:ascii="Arial" w:cs="Arial" w:eastAsia="Arial" w:hAnsi="Arial"/>
                <w:sz w:val="18"/>
                <w:szCs w:val="18"/>
                <w:color w:val="0000FF"/>
                <w:w w:val="96"/>
              </w:rPr>
            </w:pPr>
            <w:hyperlink r:id="rId203">
              <w:r>
                <w:rPr>
                  <w:rFonts w:ascii="Arial" w:cs="Arial" w:eastAsia="Arial" w:hAnsi="Arial"/>
                  <w:sz w:val="18"/>
                  <w:szCs w:val="18"/>
                  <w:color w:val="0000FF"/>
                  <w:w w:val="96"/>
                </w:rPr>
                <w:t>Employment Agreement, dated August 10, 2021, by</w:t>
              </w:r>
            </w:hyperlink>
          </w:p>
        </w:tc>
        <w:tc>
          <w:tcPr>
            <w:tcW w:w="0" w:type="dxa"/>
            <w:vAlign w:val="bottom"/>
          </w:tcPr>
          <w:p>
            <w:pPr>
              <w:spacing w:after="0"/>
              <w:rPr>
                <w:sz w:val="1"/>
                <w:szCs w:val="1"/>
                <w:color w:val="auto"/>
              </w:rPr>
            </w:pPr>
          </w:p>
        </w:tc>
      </w:tr>
      <w:tr>
        <w:trPr>
          <w:trHeight w:val="156"/>
        </w:trPr>
        <w:tc>
          <w:tcPr>
            <w:tcW w:w="960" w:type="dxa"/>
            <w:vAlign w:val="bottom"/>
            <w:tcBorders>
              <w:top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and among Marc D’Annunzio, Opco,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r:id="rId203">
              <w:r>
                <w:rPr>
                  <w:rFonts w:ascii="Arial" w:cs="Arial" w:eastAsia="Arial" w:hAnsi="Arial"/>
                  <w:sz w:val="18"/>
                  <w:szCs w:val="18"/>
                  <w:color w:val="0000FF"/>
                  <w:w w:val="87"/>
                </w:rPr>
                <w:t>Company.</w:t>
              </w:r>
            </w:hyperlink>
          </w:p>
        </w:tc>
        <w:tc>
          <w:tcPr>
            <w:tcW w:w="2520" w:type="dxa"/>
            <w:vAlign w:val="bottom"/>
            <w:tcBorders>
              <w:top w:val="single" w:sz="8" w:color="0000FF"/>
            </w:tcBorders>
            <w:gridSpan w:val="5"/>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25"/>
          </w:tcPr>
          <w:p>
            <w:pPr>
              <w:spacing w:after="0"/>
              <w:rPr>
                <w:rFonts w:ascii="Arial" w:cs="Arial" w:eastAsia="Arial" w:hAnsi="Arial"/>
                <w:sz w:val="18"/>
                <w:szCs w:val="18"/>
                <w:color w:val="0000FF"/>
              </w:rPr>
            </w:pPr>
            <w:hyperlink r:id="rId204">
              <w:r>
                <w:rPr>
                  <w:rFonts w:ascii="Arial" w:cs="Arial" w:eastAsia="Arial" w:hAnsi="Arial"/>
                  <w:sz w:val="18"/>
                  <w:szCs w:val="18"/>
                  <w:color w:val="0000FF"/>
                </w:rPr>
                <w:t>Amendment No. 4 to Digital Currency Trading,</w:t>
              </w:r>
            </w:hyperlink>
          </w:p>
        </w:tc>
        <w:tc>
          <w:tcPr>
            <w:tcW w:w="0" w:type="dxa"/>
            <w:vAlign w:val="bottom"/>
          </w:tcPr>
          <w:p>
            <w:pPr>
              <w:spacing w:after="0"/>
              <w:rPr>
                <w:sz w:val="1"/>
                <w:szCs w:val="1"/>
                <w:color w:val="auto"/>
              </w:rPr>
            </w:pPr>
          </w:p>
        </w:tc>
      </w:tr>
      <w:tr>
        <w:trPr>
          <w:trHeight w:val="156"/>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204">
              <w:r>
                <w:rPr>
                  <w:rFonts w:ascii="Arial" w:cs="Arial" w:eastAsia="Arial" w:hAnsi="Arial"/>
                  <w:sz w:val="18"/>
                  <w:szCs w:val="18"/>
                  <w:color w:val="0000FF"/>
                  <w:w w:val="90"/>
                </w:rPr>
                <w:t>Clearing, and Warehouse Services Agreement,</w:t>
              </w:r>
            </w:hyperlink>
          </w:p>
        </w:tc>
        <w:tc>
          <w:tcPr>
            <w:tcW w:w="560" w:type="dxa"/>
            <w:vAlign w:val="bottom"/>
            <w:tcBorders>
              <w:bottom w:val="single" w:sz="8" w:color="0000FF"/>
            </w:tcBorders>
            <w:gridSpan w:val="16"/>
          </w:tcPr>
          <w:p>
            <w:pPr>
              <w:spacing w:after="0" w:line="156" w:lineRule="exact"/>
              <w:rPr>
                <w:rFonts w:ascii="Arial" w:cs="Arial" w:eastAsia="Arial" w:hAnsi="Arial"/>
                <w:sz w:val="18"/>
                <w:szCs w:val="18"/>
                <w:color w:val="0000FF"/>
                <w:w w:val="78"/>
              </w:rPr>
            </w:pPr>
            <w:hyperlink r:id="rId204">
              <w:r>
                <w:rPr>
                  <w:rFonts w:ascii="Arial" w:cs="Arial" w:eastAsia="Arial" w:hAnsi="Arial"/>
                  <w:sz w:val="18"/>
                  <w:szCs w:val="18"/>
                  <w:color w:val="0000FF"/>
                  <w:w w:val="78"/>
                </w:rPr>
                <w:t>dated as</w:t>
              </w:r>
            </w:hyperlink>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gridSpan w:val="25"/>
            <w:vMerge w:val="restart"/>
          </w:tcPr>
          <w:p>
            <w:pPr>
              <w:spacing w:after="0" w:line="169"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of July 21, 2022, by and among ICE Futures U.S., Inc.,</w:t>
              </w:r>
            </w:hyperlink>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ICE Clear US, Inc. and Bakkt Trust Company LLC.</w:t>
              </w:r>
            </w:hyperlink>
          </w:p>
        </w:tc>
        <w:tc>
          <w:tcPr>
            <w:tcW w:w="2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2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Restricted Stock Unit Award Agreement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25"/>
          </w:tcPr>
          <w:p>
            <w:pPr>
              <w:spacing w:after="0"/>
              <w:rPr>
                <w:rFonts w:ascii="Arial" w:cs="Arial" w:eastAsia="Arial" w:hAnsi="Arial"/>
                <w:sz w:val="18"/>
                <w:szCs w:val="18"/>
                <w:color w:val="0000FF"/>
                <w:w w:val="99"/>
              </w:rPr>
            </w:pPr>
            <w:hyperlink r:id="rId206">
              <w:r>
                <w:rPr>
                  <w:rFonts w:ascii="Arial" w:cs="Arial" w:eastAsia="Arial" w:hAnsi="Arial"/>
                  <w:sz w:val="18"/>
                  <w:szCs w:val="18"/>
                  <w:color w:val="0000FF"/>
                  <w:w w:val="99"/>
                </w:rPr>
                <w:t>Form of Performance-Based Restricted Stock Unit</w:t>
              </w:r>
            </w:hyperlink>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Award Agreement</w:t>
              </w:r>
            </w:hyperlink>
          </w:p>
        </w:tc>
        <w:tc>
          <w:tcPr>
            <w:tcW w:w="2320" w:type="dxa"/>
            <w:vAlign w:val="bottom"/>
            <w:tcBorders>
              <w:top w:val="single" w:sz="8" w:color="0000FF"/>
            </w:tcBorders>
            <w:gridSpan w:val="12"/>
            <w:vMerge w:val="restart"/>
          </w:tcPr>
          <w:p>
            <w:pPr>
              <w:spacing w:after="0"/>
              <w:rPr>
                <w:sz w:val="10"/>
                <w:szCs w:val="10"/>
                <w:color w:val="auto"/>
              </w:rPr>
            </w:pPr>
          </w:p>
        </w:tc>
        <w:tc>
          <w:tcPr>
            <w:tcW w:w="36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Borders>
              <w:bottom w:val="single" w:sz="8" w:color="0000FF"/>
            </w:tcBorders>
            <w:gridSpan w:val="3"/>
            <w:vMerge w:val="continue"/>
          </w:tcPr>
          <w:p>
            <w:pPr>
              <w:spacing w:after="0"/>
              <w:rPr>
                <w:sz w:val="3"/>
                <w:szCs w:val="3"/>
                <w:color w:val="auto"/>
              </w:rPr>
            </w:pPr>
          </w:p>
        </w:tc>
        <w:tc>
          <w:tcPr>
            <w:tcW w:w="2320" w:type="dxa"/>
            <w:vAlign w:val="bottom"/>
            <w:gridSpan w:val="12"/>
            <w:vMerge w:val="continue"/>
          </w:tcPr>
          <w:p>
            <w:pPr>
              <w:spacing w:after="0"/>
              <w:rPr>
                <w:sz w:val="3"/>
                <w:szCs w:val="3"/>
                <w:color w:val="auto"/>
              </w:rPr>
            </w:pPr>
          </w:p>
        </w:tc>
        <w:tc>
          <w:tcPr>
            <w:tcW w:w="3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bottom w:val="single" w:sz="8" w:color="0000FF"/>
            </w:tcBorders>
            <w:gridSpan w:val="21"/>
          </w:tcPr>
          <w:p>
            <w:pPr>
              <w:spacing w:after="0"/>
              <w:rPr>
                <w:rFonts w:ascii="Arial" w:cs="Arial" w:eastAsia="Arial" w:hAnsi="Arial"/>
                <w:sz w:val="18"/>
                <w:szCs w:val="18"/>
                <w:color w:val="0000FF"/>
                <w:w w:val="92"/>
              </w:rPr>
            </w:pPr>
            <w:hyperlink r:id="rId207">
              <w:r>
                <w:rPr>
                  <w:rFonts w:ascii="Arial" w:cs="Arial" w:eastAsia="Arial" w:hAnsi="Arial"/>
                  <w:sz w:val="18"/>
                  <w:szCs w:val="18"/>
                  <w:color w:val="0000FF"/>
                  <w:w w:val="92"/>
                </w:rPr>
                <w:t>Bakkt Holdings, Inc. Outside Director Compensation</w:t>
              </w:r>
            </w:hyperlink>
          </w:p>
        </w:tc>
        <w:tc>
          <w:tcPr>
            <w:tcW w:w="1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line="156" w:lineRule="exact"/>
              <w:rPr>
                <w:rFonts w:ascii="Arial" w:cs="Arial" w:eastAsia="Arial" w:hAnsi="Arial"/>
                <w:sz w:val="18"/>
                <w:szCs w:val="18"/>
                <w:color w:val="0000FF"/>
                <w:w w:val="86"/>
              </w:rPr>
            </w:pPr>
            <w:hyperlink r:id="rId207">
              <w:r>
                <w:rPr>
                  <w:rFonts w:ascii="Arial" w:cs="Arial" w:eastAsia="Arial" w:hAnsi="Arial"/>
                  <w:sz w:val="18"/>
                  <w:szCs w:val="18"/>
                  <w:color w:val="0000FF"/>
                  <w:w w:val="86"/>
                </w:rPr>
                <w:t>Program</w:t>
              </w:r>
            </w:hyperlink>
          </w:p>
        </w:tc>
        <w:tc>
          <w:tcPr>
            <w:tcW w:w="3380" w:type="dxa"/>
            <w:vAlign w:val="bottom"/>
            <w:gridSpan w:val="2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0000FF"/>
            </w:tcBorders>
            <w:vMerge w:val="continue"/>
          </w:tcPr>
          <w:p>
            <w:pPr>
              <w:spacing w:after="0"/>
              <w:rPr>
                <w:sz w:val="3"/>
                <w:szCs w:val="3"/>
                <w:color w:val="auto"/>
              </w:rPr>
            </w:pPr>
          </w:p>
        </w:tc>
        <w:tc>
          <w:tcPr>
            <w:tcW w:w="338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25"/>
          </w:tcPr>
          <w:p>
            <w:pPr>
              <w:spacing w:after="0"/>
              <w:rPr>
                <w:rFonts w:ascii="Arial" w:cs="Arial" w:eastAsia="Arial" w:hAnsi="Arial"/>
                <w:sz w:val="18"/>
                <w:szCs w:val="18"/>
                <w:color w:val="0000FF"/>
                <w:w w:val="94"/>
              </w:rPr>
            </w:pPr>
            <w:hyperlink r:id="rId208">
              <w:r>
                <w:rPr>
                  <w:rFonts w:ascii="Arial" w:cs="Arial" w:eastAsia="Arial" w:hAnsi="Arial"/>
                  <w:sz w:val="18"/>
                  <w:szCs w:val="18"/>
                  <w:color w:val="0000FF"/>
                  <w:w w:val="94"/>
                </w:rPr>
                <w:t>Employment Agreement, dated October 12, 2022, by</w:t>
              </w:r>
            </w:hyperlink>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Borders>
              <w:top w:val="single" w:sz="8" w:color="0000FF"/>
            </w:tcBorders>
            <w:gridSpan w:val="12"/>
            <w:vMerge w:val="restart"/>
          </w:tcPr>
          <w:p>
            <w:pPr>
              <w:spacing w:after="0" w:line="156"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and between Karen Alexander and the Company</w:t>
              </w:r>
            </w:hyperlink>
          </w:p>
        </w:tc>
        <w:tc>
          <w:tcPr>
            <w:tcW w:w="280" w:type="dxa"/>
            <w:vAlign w:val="bottom"/>
            <w:tcBorders>
              <w:top w:val="single" w:sz="8" w:color="0000FF"/>
            </w:tcBorders>
            <w:gridSpan w:val="8"/>
            <w:vMerge w:val="restart"/>
          </w:tcPr>
          <w:p>
            <w:pPr>
              <w:spacing w:after="0"/>
              <w:rPr>
                <w:sz w:val="10"/>
                <w:szCs w:val="10"/>
                <w:color w:val="auto"/>
              </w:rPr>
            </w:pPr>
          </w:p>
        </w:tc>
        <w:tc>
          <w:tcPr>
            <w:tcW w:w="180" w:type="dxa"/>
            <w:vAlign w:val="bottom"/>
            <w:gridSpan w:val="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Borders>
              <w:bottom w:val="single" w:sz="8" w:color="0000FF"/>
            </w:tcBorders>
            <w:gridSpan w:val="12"/>
            <w:vMerge w:val="continue"/>
          </w:tcPr>
          <w:p>
            <w:pPr>
              <w:spacing w:after="0"/>
              <w:rPr>
                <w:sz w:val="3"/>
                <w:szCs w:val="3"/>
                <w:color w:val="auto"/>
              </w:rPr>
            </w:pPr>
          </w:p>
        </w:tc>
        <w:tc>
          <w:tcPr>
            <w:tcW w:w="280" w:type="dxa"/>
            <w:vAlign w:val="bottom"/>
            <w:gridSpan w:val="8"/>
            <w:vMerge w:val="continue"/>
          </w:tcPr>
          <w:p>
            <w:pPr>
              <w:spacing w:after="0"/>
              <w:rPr>
                <w:sz w:val="3"/>
                <w:szCs w:val="3"/>
                <w:color w:val="auto"/>
              </w:rPr>
            </w:pPr>
          </w:p>
        </w:tc>
        <w:tc>
          <w:tcPr>
            <w:tcW w:w="1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List of subsidiaries of the registrant.</w:t>
            </w:r>
          </w:p>
        </w:tc>
        <w:tc>
          <w:tcPr>
            <w:tcW w:w="140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Consent of Ernst &amp; Young LLP, independent registered</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80" w:type="dxa"/>
            <w:vAlign w:val="bottom"/>
            <w:gridSpan w:val="6"/>
            <w:vMerge w:val="restart"/>
          </w:tcPr>
          <w:p>
            <w:pPr>
              <w:spacing w:after="0" w:line="156" w:lineRule="exact"/>
              <w:rPr>
                <w:sz w:val="20"/>
                <w:szCs w:val="20"/>
                <w:color w:val="auto"/>
              </w:rPr>
            </w:pPr>
            <w:r>
              <w:rPr>
                <w:rFonts w:ascii="Arial" w:cs="Arial" w:eastAsia="Arial" w:hAnsi="Arial"/>
                <w:sz w:val="18"/>
                <w:szCs w:val="18"/>
                <w:color w:val="0000FF"/>
                <w:w w:val="91"/>
              </w:rPr>
              <w:t>public accounting firm of the Company.</w:t>
            </w:r>
          </w:p>
        </w:tc>
        <w:tc>
          <w:tcPr>
            <w:tcW w:w="1120" w:type="dxa"/>
            <w:vAlign w:val="bottom"/>
            <w:gridSpan w:val="1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80" w:type="dxa"/>
            <w:vAlign w:val="bottom"/>
            <w:tcBorders>
              <w:bottom w:val="single" w:sz="8" w:color="0000FF"/>
            </w:tcBorders>
            <w:gridSpan w:val="6"/>
            <w:vMerge w:val="continue"/>
          </w:tcPr>
          <w:p>
            <w:pPr>
              <w:spacing w:after="0"/>
              <w:rPr>
                <w:sz w:val="3"/>
                <w:szCs w:val="3"/>
                <w:color w:val="auto"/>
              </w:rPr>
            </w:pPr>
          </w:p>
        </w:tc>
        <w:tc>
          <w:tcPr>
            <w:tcW w:w="112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0000FF"/>
                <w:w w:val="92"/>
              </w:rPr>
              <w:t>Powers of Attorney (included on the signature page of</w:t>
            </w:r>
          </w:p>
        </w:tc>
        <w:tc>
          <w:tcPr>
            <w:tcW w:w="0" w:type="dxa"/>
            <w:vAlign w:val="bottom"/>
          </w:tcPr>
          <w:p>
            <w:pPr>
              <w:spacing w:after="0"/>
              <w:rPr>
                <w:sz w:val="1"/>
                <w:szCs w:val="1"/>
                <w:color w:val="auto"/>
              </w:rPr>
            </w:pPr>
          </w:p>
        </w:tc>
      </w:tr>
      <w:tr>
        <w:trPr>
          <w:trHeight w:val="115"/>
        </w:trPr>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Borders>
              <w:top w:val="single" w:sz="8" w:color="0000FF"/>
            </w:tcBorders>
            <w:gridSpan w:val="22"/>
            <w:vMerge w:val="restart"/>
          </w:tcPr>
          <w:p>
            <w:pPr>
              <w:spacing w:after="0" w:line="156" w:lineRule="exact"/>
              <w:rPr>
                <w:sz w:val="20"/>
                <w:szCs w:val="20"/>
                <w:color w:val="auto"/>
              </w:rPr>
            </w:pPr>
            <w:r>
              <w:rPr>
                <w:rFonts w:ascii="Arial" w:cs="Arial" w:eastAsia="Arial" w:hAnsi="Arial"/>
                <w:sz w:val="18"/>
                <w:szCs w:val="18"/>
                <w:color w:val="0000FF"/>
              </w:rPr>
              <w:t>this Annual Report on Form 10-K).</w:t>
            </w:r>
          </w:p>
        </w:tc>
        <w:tc>
          <w:tcPr>
            <w:tcW w:w="10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900" w:type="dxa"/>
            <w:vAlign w:val="bottom"/>
            <w:gridSpan w:val="22"/>
            <w:vMerge w:val="continue"/>
          </w:tcPr>
          <w:p>
            <w:pPr>
              <w:spacing w:after="0"/>
              <w:rPr>
                <w:sz w:val="3"/>
                <w:szCs w:val="3"/>
                <w:color w:val="auto"/>
              </w:rPr>
            </w:pPr>
          </w:p>
        </w:tc>
        <w:tc>
          <w:tcPr>
            <w:tcW w:w="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0000FF"/>
                <w:w w:val="97"/>
              </w:rPr>
              <w:t>Certification of the Chief Executive Officer pursuant</w:t>
            </w: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89"/>
              </w:rPr>
              <w:t>to Exchange Act Rule 13a-14 as adopted pursuant to</w:t>
            </w: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Section 302 of the Sarbanes-Oxley Act of 2002.</w:t>
            </w:r>
          </w:p>
        </w:tc>
        <w:tc>
          <w:tcPr>
            <w:tcW w:w="300" w:type="dxa"/>
            <w:vAlign w:val="bottom"/>
            <w:tcBorders>
              <w:top w:val="single" w:sz="8" w:color="0000FF"/>
            </w:tcBorders>
            <w:gridSpan w:val="7"/>
          </w:tcPr>
          <w:p>
            <w:pPr>
              <w:spacing w:after="0"/>
              <w:rPr>
                <w:sz w:val="14"/>
                <w:szCs w:val="14"/>
                <w:color w:val="auto"/>
              </w:rPr>
            </w:pPr>
          </w:p>
        </w:tc>
        <w:tc>
          <w:tcPr>
            <w:tcW w:w="16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0000FF"/>
                <w:w w:val="94"/>
              </w:rPr>
              <w:t>Certification of the Chief Financial Officer pursuant to</w:t>
            </w:r>
          </w:p>
        </w:tc>
        <w:tc>
          <w:tcPr>
            <w:tcW w:w="0" w:type="dxa"/>
            <w:vAlign w:val="bottom"/>
          </w:tcPr>
          <w:p>
            <w:pPr>
              <w:spacing w:after="0"/>
              <w:rPr>
                <w:sz w:val="1"/>
                <w:szCs w:val="1"/>
                <w:color w:val="auto"/>
              </w:rPr>
            </w:pPr>
          </w:p>
        </w:tc>
      </w:tr>
      <w:tr>
        <w:trPr>
          <w:trHeight w:val="156"/>
        </w:trPr>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w w:val="97"/>
              </w:rPr>
              <w:t>Exchange Act Rule 13a-14 as adopted pursuant to</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Section 302 of the Sarbanes-Oxley Act of 2002.</w:t>
            </w:r>
          </w:p>
        </w:tc>
        <w:tc>
          <w:tcPr>
            <w:tcW w:w="120" w:type="dxa"/>
            <w:vAlign w:val="bottom"/>
            <w:tcBorders>
              <w:top w:val="single" w:sz="8" w:color="0000FF"/>
            </w:tcBorders>
            <w:gridSpan w:val="3"/>
          </w:tcPr>
          <w:p>
            <w:pPr>
              <w:spacing w:after="0"/>
              <w:rPr>
                <w:sz w:val="14"/>
                <w:szCs w:val="14"/>
                <w:color w:val="auto"/>
              </w:rPr>
            </w:pPr>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gridSpan w:val="2"/>
            <w:vMerge w:val="restart"/>
          </w:tcPr>
          <w:p>
            <w:pPr>
              <w:ind w:lef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0000FF"/>
                <w:w w:val="97"/>
              </w:rPr>
              <w:t>Certification of the Chief Executive Officer pursuant</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93"/>
              </w:rPr>
              <w:t>to 18 U.S.C. Section 1350, as adopted pursuant to</w:t>
            </w: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Section 906 of the Sarbanes-Oxley Act of 2002.</w:t>
            </w:r>
          </w:p>
        </w:tc>
        <w:tc>
          <w:tcPr>
            <w:tcW w:w="100" w:type="dxa"/>
            <w:vAlign w:val="bottom"/>
            <w:tcBorders>
              <w:top w:val="single" w:sz="8" w:color="0000FF"/>
            </w:tcBorders>
            <w:gridSpan w:val="2"/>
          </w:tcPr>
          <w:p>
            <w:pPr>
              <w:spacing w:after="0"/>
              <w:rPr>
                <w:sz w:val="14"/>
                <w:szCs w:val="14"/>
                <w:color w:val="auto"/>
              </w:rPr>
            </w:pPr>
          </w:p>
        </w:tc>
        <w:tc>
          <w:tcPr>
            <w:tcW w:w="4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gridSpan w:val="2"/>
            <w:vMerge w:val="restart"/>
          </w:tcPr>
          <w:p>
            <w:pPr>
              <w:ind w:lef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0000FF"/>
                <w:w w:val="94"/>
              </w:rPr>
              <w:t>Certification of the Chief Financial Officer pursuant to</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18 U.S.C. Section 1350, as adopted pursuant to</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8"/>
              </w:rPr>
              <w:t>Section 906 of the Sarbanes-Oxley Act of 2002.</w:t>
            </w:r>
          </w:p>
        </w:tc>
        <w:tc>
          <w:tcPr>
            <w:tcW w:w="60" w:type="dxa"/>
            <w:vAlign w:val="bottom"/>
            <w:tcBorders>
              <w:bottom w:val="single" w:sz="8" w:color="0000FF"/>
            </w:tcBorders>
            <w:gridSpan w:val="2"/>
          </w:tcPr>
          <w:p>
            <w:pPr>
              <w:spacing w:after="0"/>
              <w:rPr>
                <w:sz w:val="14"/>
                <w:szCs w:val="14"/>
                <w:color w:val="auto"/>
              </w:rPr>
            </w:pPr>
          </w:p>
        </w:tc>
        <w:tc>
          <w:tcPr>
            <w:tcW w:w="5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00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0" w:type="dxa"/>
            <w:vAlign w:val="bottom"/>
            <w:gridSpan w:val="25"/>
          </w:tcPr>
          <w:p>
            <w:pPr>
              <w:spacing w:after="0" w:line="111" w:lineRule="exact"/>
              <w:rPr>
                <w:sz w:val="20"/>
                <w:szCs w:val="20"/>
                <w:color w:val="auto"/>
              </w:rPr>
            </w:pPr>
            <w:r>
              <w:rPr>
                <w:rFonts w:ascii="Arial" w:cs="Arial" w:eastAsia="Arial" w:hAnsi="Arial"/>
                <w:sz w:val="12"/>
                <w:szCs w:val="12"/>
                <w:color w:val="auto"/>
              </w:rPr>
              <w:t>XBRL Taxonomy Extension Calculation Linkbase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65"/>
        </w:trPr>
        <w:tc>
          <w:tcPr>
            <w:tcW w:w="860" w:type="dxa"/>
            <w:vAlign w:val="bottom"/>
          </w:tcPr>
          <w:p>
            <w:pPr>
              <w:spacing w:after="0"/>
              <w:rPr>
                <w:sz w:val="5"/>
                <w:szCs w:val="5"/>
                <w:color w:val="auto"/>
              </w:rPr>
            </w:pP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vMerge w:val="restart"/>
          </w:tcPr>
          <w:p>
            <w:pPr>
              <w:spacing w:after="0"/>
              <w:rPr>
                <w:sz w:val="20"/>
                <w:szCs w:val="20"/>
                <w:color w:val="auto"/>
              </w:rPr>
            </w:pPr>
            <w:r>
              <w:rPr>
                <w:rFonts w:ascii="Arial" w:cs="Arial" w:eastAsia="Arial" w:hAnsi="Arial"/>
                <w:sz w:val="18"/>
                <w:szCs w:val="18"/>
                <w:color w:val="auto"/>
              </w:rPr>
              <w:t>101.DEF</w:t>
            </w:r>
          </w:p>
        </w:tc>
        <w:tc>
          <w:tcPr>
            <w:tcW w:w="3900" w:type="dxa"/>
            <w:vAlign w:val="bottom"/>
          </w:tcPr>
          <w:p>
            <w:pPr>
              <w:ind w:left="200"/>
              <w:spacing w:after="0" w:line="189" w:lineRule="exact"/>
              <w:rPr>
                <w:sz w:val="20"/>
                <w:szCs w:val="20"/>
                <w:color w:val="auto"/>
              </w:rPr>
            </w:pPr>
            <w:r>
              <w:rPr>
                <w:rFonts w:ascii="Arial" w:cs="Arial" w:eastAsia="Arial" w:hAnsi="Arial"/>
                <w:sz w:val="18"/>
                <w:szCs w:val="18"/>
                <w:color w:val="auto"/>
                <w:w w:val="97"/>
              </w:rPr>
              <w:t>XBRL Taxonomy Extension Definition Linkbase</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60" w:type="dxa"/>
            <w:vAlign w:val="bottom"/>
            <w:vMerge w:val="restart"/>
          </w:tcPr>
          <w:p>
            <w:pPr>
              <w:spacing w:after="0"/>
              <w:rPr>
                <w:sz w:val="20"/>
                <w:szCs w:val="20"/>
                <w:color w:val="auto"/>
              </w:rPr>
            </w:pPr>
            <w:r>
              <w:rPr>
                <w:rFonts w:ascii="Arial" w:cs="Arial" w:eastAsia="Arial" w:hAnsi="Arial"/>
                <w:sz w:val="18"/>
                <w:szCs w:val="18"/>
                <w:color w:val="auto"/>
              </w:rPr>
              <w:t>101.LAB</w:t>
            </w:r>
          </w:p>
        </w:tc>
        <w:tc>
          <w:tcPr>
            <w:tcW w:w="3900" w:type="dxa"/>
            <w:vAlign w:val="bottom"/>
          </w:tcPr>
          <w:p>
            <w:pPr>
              <w:ind w:left="200"/>
              <w:spacing w:after="0" w:line="189" w:lineRule="exact"/>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60" w:type="dxa"/>
            <w:vAlign w:val="bottom"/>
            <w:vMerge w:val="restart"/>
          </w:tcPr>
          <w:p>
            <w:pPr>
              <w:spacing w:after="0"/>
              <w:rPr>
                <w:sz w:val="20"/>
                <w:szCs w:val="20"/>
                <w:color w:val="auto"/>
              </w:rPr>
            </w:pPr>
            <w:r>
              <w:rPr>
                <w:rFonts w:ascii="Arial" w:cs="Arial" w:eastAsia="Arial" w:hAnsi="Arial"/>
                <w:sz w:val="18"/>
                <w:szCs w:val="18"/>
                <w:color w:val="auto"/>
              </w:rPr>
              <w:t>101.PRE</w:t>
            </w:r>
          </w:p>
        </w:tc>
        <w:tc>
          <w:tcPr>
            <w:tcW w:w="3900" w:type="dxa"/>
            <w:vAlign w:val="bottom"/>
          </w:tcPr>
          <w:p>
            <w:pPr>
              <w:ind w:left="200"/>
              <w:spacing w:after="0" w:line="189" w:lineRule="exact"/>
              <w:rPr>
                <w:sz w:val="20"/>
                <w:szCs w:val="20"/>
                <w:color w:val="auto"/>
              </w:rPr>
            </w:pPr>
            <w:r>
              <w:rPr>
                <w:rFonts w:ascii="Arial" w:cs="Arial" w:eastAsia="Arial" w:hAnsi="Arial"/>
                <w:sz w:val="18"/>
                <w:szCs w:val="18"/>
                <w:color w:val="auto"/>
                <w:w w:val="91"/>
              </w:rPr>
              <w:t>XBRL Taxonomy Extension Presentation Linkbase</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080" w:right="180" w:hanging="1054"/>
        <w:spacing w:after="0" w:line="180" w:lineRule="auto"/>
        <w:tabs>
          <w:tab w:leader="none" w:pos="1080" w:val="left"/>
        </w:tabs>
        <w:numPr>
          <w:ilvl w:val="0"/>
          <w:numId w:val="93"/>
        </w:numPr>
        <w:rPr>
          <w:rFonts w:ascii="Arial" w:cs="Arial" w:eastAsia="Arial" w:hAnsi="Arial"/>
          <w:sz w:val="31"/>
          <w:szCs w:val="31"/>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44"/>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2"/>
                <w:szCs w:val="12"/>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594"/>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September 12,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September 12,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11,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October 13,</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Arial" w:cs="Arial" w:eastAsia="Arial" w:hAnsi="Arial"/>
          <w:sz w:val="18"/>
          <w:szCs w:val="18"/>
          <w:color w:val="auto"/>
        </w:rPr>
        <w:t>X</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w:t>
      </w:r>
    </w:p>
    <w:p>
      <w:pPr>
        <w:spacing w:after="0" w:line="2949" w:lineRule="exact"/>
        <w:rPr>
          <w:sz w:val="20"/>
          <w:szCs w:val="20"/>
          <w:color w:val="auto"/>
        </w:rPr>
      </w:pPr>
    </w:p>
    <w:p>
      <w:pPr>
        <w:sectPr>
          <w:pgSz w:w="11900" w:h="16838" w:orient="portrait"/>
          <w:cols w:equalWidth="0" w:num="2">
            <w:col w:w="5080" w:space="100"/>
            <w:col w:w="6060"/>
          </w:cols>
          <w:pgMar w:left="320" w:top="125" w:right="339" w:bottom="1440" w:gutter="0" w:footer="0" w:header="0"/>
          <w:type w:val="continuous"/>
        </w:sectPr>
      </w:pPr>
    </w:p>
    <w:p>
      <w:pPr>
        <w:spacing w:after="0" w:line="16" w:lineRule="exact"/>
        <w:rPr>
          <w:sz w:val="20"/>
          <w:szCs w:val="20"/>
          <w:color w:val="auto"/>
        </w:rPr>
      </w:pPr>
    </w:p>
    <w:p>
      <w:pPr>
        <w:ind w:left="340" w:right="20" w:hanging="332"/>
        <w:spacing w:after="0" w:line="308"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Schedules and exhibits to this agreement have been omitted pursuant to Item 601(b)(2) of Regulation S-K. A copy of any omitted schedule and/or exhibit will be furnished to the SEC upon request.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58" w:lineRule="exact"/>
        <w:rPr>
          <w:sz w:val="20"/>
          <w:szCs w:val="20"/>
          <w:color w:val="auto"/>
        </w:rPr>
      </w:pPr>
    </w:p>
    <w:p>
      <w:pPr>
        <w:jc w:val="both"/>
        <w:ind w:left="340" w:hanging="332"/>
        <w:spacing w:after="0" w:line="325"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Annual Report on Form 10-K are furnished, not filed, with the Securities and Exchange Commission and are not to be incorporated by reference into any filing of the Registrant under the Securities Act of 1933, as amended, or</w:t>
      </w:r>
    </w:p>
    <w:p>
      <w:pPr>
        <w:spacing w:after="0" w:line="1" w:lineRule="exact"/>
        <w:rPr>
          <w:rFonts w:ascii="Arial" w:cs="Arial" w:eastAsia="Arial" w:hAnsi="Arial"/>
          <w:sz w:val="16"/>
          <w:szCs w:val="16"/>
          <w:color w:val="auto"/>
        </w:rPr>
      </w:pPr>
    </w:p>
    <w:p>
      <w:pPr>
        <w:ind w:left="340"/>
        <w:spacing w:after="0" w:line="308" w:lineRule="auto"/>
        <w:rPr>
          <w:rFonts w:ascii="Arial" w:cs="Arial" w:eastAsia="Arial" w:hAnsi="Arial"/>
          <w:sz w:val="16"/>
          <w:szCs w:val="16"/>
          <w:color w:val="auto"/>
        </w:rPr>
      </w:pPr>
      <w:r>
        <w:rPr>
          <w:rFonts w:ascii="Arial" w:cs="Arial" w:eastAsia="Arial" w:hAnsi="Arial"/>
          <w:sz w:val="18"/>
          <w:szCs w:val="18"/>
          <w:color w:val="auto"/>
        </w:rPr>
        <w:t>the Securities Exchange Act of 1934, as amended, whether made before or after the date of this Annual Report on Form 10-K, irrespective of any general incorporation language contained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20" w:firstLine="648"/>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20"/>
        <w:spacing w:after="0"/>
        <w:tabs>
          <w:tab w:leader="none" w:pos="680" w:val="left"/>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24, 2023</w:t>
      </w:r>
      <w:r>
        <w:rPr>
          <w:sz w:val="20"/>
          <w:szCs w:val="20"/>
          <w:color w:val="auto"/>
        </w:rPr>
        <w:tab/>
      </w:r>
      <w:r>
        <w:rPr>
          <w:rFonts w:ascii="Arial" w:cs="Arial" w:eastAsia="Arial" w:hAnsi="Arial"/>
          <w:sz w:val="18"/>
          <w:szCs w:val="18"/>
          <w:b w:val="1"/>
          <w:bCs w:val="1"/>
          <w:color w:val="auto"/>
        </w:rPr>
        <w:t>BAKKT HOLDINGS, INC.</w:t>
      </w:r>
    </w:p>
    <w:p>
      <w:pPr>
        <w:spacing w:after="0" w:line="297"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Gavin Michael, Marc D’Annunzio and Karen Alexander, and each one of them, as their true and lawful attorneys-in-fact and agents, with full power of substitution and resubstitution, for them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and in the capacities and on the dates indicated.</w:t>
      </w:r>
    </w:p>
    <w:p>
      <w:pPr>
        <w:spacing w:after="0" w:line="180" w:lineRule="exact"/>
        <w:rPr>
          <w:sz w:val="20"/>
          <w:szCs w:val="20"/>
          <w:color w:val="auto"/>
        </w:rPr>
      </w:pPr>
    </w:p>
    <w:p>
      <w:pPr>
        <w:ind w:left="1480"/>
        <w:spacing w:after="0"/>
        <w:tabs>
          <w:tab w:leader="none" w:pos="5860" w:val="left"/>
          <w:tab w:leader="none" w:pos="96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ectPr>
          <w:pgSz w:w="11900" w:h="16838" w:orient="portrait"/>
          <w:cols w:equalWidth="0" w:num="1">
            <w:col w:w="11060"/>
          </w:cols>
          <w:pgMar w:left="320" w:top="125" w:right="5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Gavin Michael</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Alexander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Chip Goodroe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Chip Goodroe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C. Clifton</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Sean Collins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Michelle J.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317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Michelle J. Goldberg</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Lumb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Lumb</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A. Main</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Gordon Watson</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De’Ana Dow</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Jill Simeone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17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Jill Simeone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Chief Executive Officer, President and Director</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Chief Financial Officer</w:t>
      </w:r>
    </w:p>
    <w:p>
      <w:pPr>
        <w:jc w:val="center"/>
        <w:ind w:right="980"/>
        <w:spacing w:after="0"/>
        <w:rPr>
          <w:sz w:val="20"/>
          <w:szCs w:val="20"/>
          <w:color w:val="auto"/>
        </w:rPr>
      </w:pPr>
      <w:r>
        <w:rPr>
          <w:rFonts w:ascii="Arial" w:cs="Arial" w:eastAsia="Arial" w:hAnsi="Arial"/>
          <w:sz w:val="18"/>
          <w:szCs w:val="18"/>
          <w:i w:val="1"/>
          <w:iCs w:val="1"/>
          <w:color w:val="auto"/>
        </w:rPr>
        <w:t>(Principal Financial Officer)</w:t>
      </w:r>
    </w:p>
    <w:p>
      <w:pPr>
        <w:spacing w:after="0" w:line="36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Chief Accounting Officer</w:t>
      </w:r>
    </w:p>
    <w:p>
      <w:pPr>
        <w:jc w:val="center"/>
        <w:ind w:right="9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3/24/2023</w:t>
      </w:r>
    </w:p>
    <w:p>
      <w:pPr>
        <w:spacing w:after="0" w:line="371" w:lineRule="exact"/>
        <w:rPr>
          <w:sz w:val="20"/>
          <w:szCs w:val="20"/>
          <w:color w:val="auto"/>
        </w:rPr>
      </w:pPr>
    </w:p>
    <w:p>
      <w:pPr>
        <w:sectPr>
          <w:pgSz w:w="11900" w:h="16838" w:orient="portrait"/>
          <w:cols w:equalWidth="0" w:num="3">
            <w:col w:w="3620" w:space="720"/>
            <w:col w:w="4420" w:space="720"/>
            <w:col w:w="1580"/>
          </w:cols>
          <w:pgMar w:left="320" w:top="125" w:right="5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060"/>
          </w:cols>
          <w:pgMar w:left="320" w:top="125" w:right="51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7140" w:type="dxa"/>
            <w:vAlign w:val="bottom"/>
            <w:gridSpan w:val="2"/>
          </w:tcPr>
          <w:p>
            <w:pPr>
              <w:jc w:val="right"/>
              <w:ind w:right="3941"/>
              <w:spacing w:after="0"/>
              <w:rPr>
                <w:sz w:val="20"/>
                <w:szCs w:val="20"/>
                <w:color w:val="auto"/>
              </w:rPr>
            </w:pPr>
            <w:r>
              <w:rPr>
                <w:rFonts w:ascii="Arial" w:cs="Arial" w:eastAsia="Arial" w:hAnsi="Arial"/>
                <w:sz w:val="20"/>
                <w:szCs w:val="20"/>
                <w:color w:val="auto"/>
                <w:w w:val="98"/>
              </w:rPr>
              <w:t>Subsidiaries of Bakkt Holdings, Inc.</w:t>
            </w:r>
          </w:p>
        </w:tc>
      </w:tr>
      <w:tr>
        <w:trPr>
          <w:trHeight w:val="565"/>
        </w:trPr>
        <w:tc>
          <w:tcPr>
            <w:tcW w:w="4060" w:type="dxa"/>
            <w:vAlign w:val="bottom"/>
          </w:tcPr>
          <w:p>
            <w:pPr>
              <w:spacing w:after="0"/>
              <w:rPr>
                <w:sz w:val="20"/>
                <w:szCs w:val="20"/>
                <w:color w:val="auto"/>
              </w:rPr>
            </w:pPr>
            <w:r>
              <w:rPr>
                <w:rFonts w:ascii="Arial" w:cs="Arial" w:eastAsia="Arial" w:hAnsi="Arial"/>
                <w:sz w:val="20"/>
                <w:szCs w:val="20"/>
                <w:color w:val="auto"/>
              </w:rPr>
              <w:t>Name of Subsidiary</w:t>
            </w:r>
          </w:p>
        </w:tc>
        <w:tc>
          <w:tcPr>
            <w:tcW w:w="3100" w:type="dxa"/>
            <w:vAlign w:val="bottom"/>
            <w:tcBorders>
              <w:top w:val="single" w:sz="8" w:color="auto"/>
            </w:tcBorders>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Jurisdiction</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Opco Holdings,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Trust Company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New York</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Marketplace,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Virginia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Trade,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Virginia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Bakkt Clearing,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Illinois</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DACC Technologies, Inc.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Digital Asset Custody Company, Inc.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Bridge2Solutions,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B2S Direct,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Florida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B2S Canada,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Florida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Bridge2 Solutions Australia Pty Ltd</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Australia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Bridge2 Solutions Canada Ltd.</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Canada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Aspire Loyalty Travel Solutions,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Florida</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B2S Resale,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297"/>
        </w:trPr>
        <w:tc>
          <w:tcPr>
            <w:tcW w:w="4060" w:type="dxa"/>
            <w:vAlign w:val="bottom"/>
          </w:tcPr>
          <w:p>
            <w:pPr>
              <w:spacing w:after="0"/>
              <w:rPr>
                <w:sz w:val="20"/>
                <w:szCs w:val="20"/>
                <w:color w:val="auto"/>
              </w:rPr>
            </w:pPr>
            <w:r>
              <w:rPr>
                <w:rFonts w:ascii="Arial" w:cs="Arial" w:eastAsia="Arial" w:hAnsi="Arial"/>
                <w:sz w:val="20"/>
                <w:szCs w:val="20"/>
                <w:color w:val="auto"/>
              </w:rPr>
              <w:t>Bumped Financial, LLC</w:t>
            </w:r>
          </w:p>
        </w:tc>
        <w:tc>
          <w:tcPr>
            <w:tcW w:w="310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20"/>
          </w:cols>
          <w:pgMar w:left="34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consent to the incorporation by reference in the Registration Statement (Form S-8 No. 333-261768) pertaining to the 2021 Omnibus Employee</w:t>
      </w:r>
    </w:p>
    <w:p>
      <w:pPr>
        <w:spacing w:after="0" w:line="10" w:lineRule="exact"/>
        <w:rPr>
          <w:sz w:val="20"/>
          <w:szCs w:val="20"/>
          <w:color w:val="auto"/>
        </w:rPr>
      </w:pPr>
    </w:p>
    <w:p>
      <w:pPr>
        <w:jc w:val="both"/>
        <w:ind w:left="40" w:right="280"/>
        <w:spacing w:after="0" w:line="231" w:lineRule="auto"/>
        <w:rPr>
          <w:sz w:val="20"/>
          <w:szCs w:val="20"/>
          <w:color w:val="auto"/>
        </w:rPr>
      </w:pPr>
      <w:r>
        <w:rPr>
          <w:rFonts w:ascii="Arial" w:cs="Arial" w:eastAsia="Arial" w:hAnsi="Arial"/>
          <w:sz w:val="17"/>
          <w:szCs w:val="17"/>
          <w:color w:val="auto"/>
        </w:rPr>
        <w:t>Incentive Plan of Bakkt Holdings, Inc. and in the Registration Statement (Form S-8 No. 333- 262037) pertaining to the Second Amended and Restated Bakkt Equity Incentive Plan of Bakkt Opco Holdings, LLC of our report dated March 24, 2023, with respect to the consolidated financial statements of Bakkt Holdings, Inc., included in this Annual Report (Form 10-K) for the fiscal year ended December 31, 2022.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rPr>
          <w:sz w:val="20"/>
          <w:szCs w:val="20"/>
          <w:color w:val="auto"/>
        </w:rPr>
      </w:pPr>
      <w:r>
        <w:rPr>
          <w:rFonts w:ascii="Arial" w:cs="Arial" w:eastAsia="Arial" w:hAnsi="Arial"/>
          <w:sz w:val="18"/>
          <w:szCs w:val="18"/>
          <w:color w:val="auto"/>
        </w:rPr>
        <w:t>March 24, 2023</w:t>
      </w:r>
    </w:p>
    <w:p>
      <w:pPr>
        <w:sectPr>
          <w:pgSz w:w="11900" w:h="16838" w:orient="portrait"/>
          <w:cols w:equalWidth="0" w:num="1">
            <w:col w:w="11220"/>
          </w:cols>
          <w:pgMar w:left="340" w:top="149" w:right="339" w:bottom="1440" w:gutter="0" w:footer="0" w:header="0"/>
        </w:sectPr>
      </w:pPr>
    </w:p>
    <w:bookmarkStart w:id="147" w:name="page148"/>
    <w:bookmarkEnd w:id="147"/>
    <w:p>
      <w:pPr>
        <w:ind w:left="10320"/>
        <w:spacing w:after="0"/>
        <w:rPr>
          <w:sz w:val="20"/>
          <w:szCs w:val="20"/>
          <w:color w:val="auto"/>
        </w:rPr>
      </w:pPr>
      <w:r>
        <w:rPr>
          <w:rFonts w:ascii="Arial" w:cs="Arial" w:eastAsia="Arial" w:hAnsi="Arial"/>
          <w:sz w:val="16"/>
          <w:szCs w:val="16"/>
          <w:b w:val="1"/>
          <w:bCs w:val="1"/>
          <w:color w:val="auto"/>
        </w:rPr>
        <w:t>Exhibit 31.1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48"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5200" w:val="left"/>
          <w:tab w:leader="none" w:pos="7800" w:val="left"/>
        </w:tabs>
        <w:rPr>
          <w:sz w:val="20"/>
          <w:szCs w:val="20"/>
          <w:color w:val="auto"/>
        </w:rPr>
      </w:pPr>
      <w:r>
        <w:rPr>
          <w:rFonts w:ascii="Arial" w:cs="Arial" w:eastAsia="Arial" w:hAnsi="Arial"/>
          <w:sz w:val="16"/>
          <w:szCs w:val="16"/>
          <w:color w:val="auto"/>
        </w:rPr>
        <w:t>Date: March 24,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3583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Gavin Michael</w:t>
      </w:r>
    </w:p>
    <w:p>
      <w:pPr>
        <w:spacing w:after="0" w:line="51"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Chief Executive Officer</w:t>
      </w:r>
    </w:p>
    <w:p>
      <w:pPr>
        <w:ind w:left="74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04" w:right="339" w:bottom="1440" w:gutter="0" w:footer="0" w:header="0"/>
        </w:sectPr>
      </w:pPr>
    </w:p>
    <w:bookmarkStart w:id="148" w:name="page149"/>
    <w:bookmarkEnd w:id="148"/>
    <w:p>
      <w:pPr>
        <w:ind w:left="10320"/>
        <w:spacing w:after="0"/>
        <w:rPr>
          <w:sz w:val="20"/>
          <w:szCs w:val="20"/>
          <w:color w:val="auto"/>
        </w:rPr>
      </w:pPr>
      <w:r>
        <w:rPr>
          <w:rFonts w:ascii="Arial" w:cs="Arial" w:eastAsia="Arial" w:hAnsi="Arial"/>
          <w:sz w:val="16"/>
          <w:szCs w:val="16"/>
          <w:b w:val="1"/>
          <w:bCs w:val="1"/>
          <w:color w:val="auto"/>
        </w:rPr>
        <w:t>Exhibit 31.2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5200" w:val="left"/>
          <w:tab w:leader="none" w:pos="7740" w:val="left"/>
        </w:tabs>
        <w:rPr>
          <w:sz w:val="20"/>
          <w:szCs w:val="20"/>
          <w:color w:val="auto"/>
        </w:rPr>
      </w:pPr>
      <w:r>
        <w:rPr>
          <w:rFonts w:ascii="Arial" w:cs="Arial" w:eastAsia="Arial" w:hAnsi="Arial"/>
          <w:sz w:val="16"/>
          <w:szCs w:val="16"/>
          <w:color w:val="auto"/>
        </w:rPr>
        <w:t>Date: March 24,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35833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Karen Alexander</w:t>
      </w:r>
    </w:p>
    <w:p>
      <w:pPr>
        <w:spacing w:after="0" w:line="51"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Chief Financial Officer</w:t>
      </w:r>
    </w:p>
    <w:p>
      <w:pPr>
        <w:ind w:left="748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04"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Annual Report of Bakkt Holdings, Inc. (the “Company”) on Form 10-K for the fiscal year ended December 31, 2022 as filed</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620" w:val="left"/>
          <w:tab w:leader="none" w:pos="7980" w:val="left"/>
        </w:tabs>
        <w:rPr>
          <w:sz w:val="20"/>
          <w:szCs w:val="20"/>
          <w:color w:val="auto"/>
        </w:rPr>
      </w:pPr>
      <w:r>
        <w:rPr>
          <w:rFonts w:ascii="Arial" w:cs="Arial" w:eastAsia="Arial" w:hAnsi="Arial"/>
          <w:sz w:val="18"/>
          <w:szCs w:val="18"/>
          <w:color w:val="auto"/>
        </w:rPr>
        <w:t>Date: March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2918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Annual Report of Bakkt Holdings, Inc. (the “Company”) on Form 10-K for the fiscal year ended December 31, 2022 as filed</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500" w:val="left"/>
          <w:tab w:leader="none" w:pos="7840" w:val="left"/>
        </w:tabs>
        <w:rPr>
          <w:sz w:val="20"/>
          <w:szCs w:val="20"/>
          <w:color w:val="auto"/>
        </w:rPr>
      </w:pPr>
      <w:r>
        <w:rPr>
          <w:rFonts w:ascii="Arial" w:cs="Arial" w:eastAsia="Arial" w:hAnsi="Arial"/>
          <w:sz w:val="18"/>
          <w:szCs w:val="18"/>
          <w:color w:val="auto"/>
        </w:rPr>
        <w:t>Date: March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40640</wp:posOffset>
            </wp:positionV>
            <wp:extent cx="33686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x"/>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2"/>
    </w:lvl>
    <w:lvl w:ilvl="1">
      <w:lvlJc w:val="left"/>
      <w:lvlText w:val="•"/>
      <w:numFmt w:val="bullet"/>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1."/>
      <w:numFmt w:val="decimal"/>
      <w:start w:val="1"/>
    </w:lvl>
    <w:lvl w:ilvl="1">
      <w:lvlJc w:val="left"/>
      <w:lvlText w:val="•"/>
      <w:numFmt w:val="bullet"/>
      <w:start w:val="1"/>
    </w:lvl>
  </w:abstractNum>
  <w:abstractNum w:abstractNumId="68">
    <w:nsid w:val="7FB7E0AA"/>
    <w:multiLevelType w:val="hybridMultilevel"/>
    <w:lvl w:ilvl="0">
      <w:lvlJc w:val="left"/>
      <w:lvlText w:val="%1."/>
      <w:numFmt w:val="decimal"/>
      <w:start w:val="3"/>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3"/>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lowerLetter"/>
      <w:start w:val="2"/>
    </w:lvl>
  </w:abstractNum>
  <w:abstractNum w:abstractNumId="75">
    <w:nsid w:val="1716703B"/>
    <w:multiLevelType w:val="hybridMultilevel"/>
    <w:lvl w:ilvl="0">
      <w:lvlJc w:val="left"/>
      <w:lvlText w:val="%1."/>
      <w:numFmt w:val="decimal"/>
      <w:start w:val="4"/>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2"/>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decimal"/>
      <w:start w:val="8"/>
    </w:lvl>
  </w:abstractNum>
  <w:abstractNum w:abstractNumId="83">
    <w:nsid w:val="39EE015C"/>
    <w:multiLevelType w:val="hybridMultilevel"/>
    <w:lvl w:ilvl="0">
      <w:lvlJc w:val="left"/>
      <w:lvlText w:val="%1."/>
      <w:numFmt w:val="decimal"/>
      <w:start w:val="9"/>
    </w:lvl>
  </w:abstractNum>
  <w:abstractNum w:abstractNumId="84">
    <w:nsid w:val="57FC4FBB"/>
    <w:multiLevelType w:val="hybridMultilevel"/>
    <w:lvl w:ilvl="0">
      <w:lvlJc w:val="left"/>
      <w:lvlText w:val="%1."/>
      <w:numFmt w:val="decimal"/>
      <w:start w:val="10"/>
    </w:lvl>
  </w:abstractNum>
  <w:abstractNum w:abstractNumId="85">
    <w:nsid w:val="CC1016F"/>
    <w:multiLevelType w:val="hybridMultilevel"/>
    <w:lvl w:ilvl="0">
      <w:lvlJc w:val="left"/>
      <w:lvlText w:val="%1."/>
      <w:numFmt w:val="decimal"/>
      <w:start w:val="11"/>
    </w:lvl>
  </w:abstractNum>
  <w:abstractNum w:abstractNumId="86">
    <w:nsid w:val="43F18422"/>
    <w:multiLevelType w:val="hybridMultilevel"/>
    <w:lvl w:ilvl="0">
      <w:lvlJc w:val="left"/>
      <w:lvlText w:val="(%1)"/>
      <w:numFmt w:val="decimal"/>
      <w:start w:val="2"/>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bullet"/>
      <w:start w:val="1"/>
    </w:lvl>
  </w:abstractNum>
  <w:abstractNum w:abstractNumId="90">
    <w:nsid w:val="49DA307D"/>
    <w:multiLevelType w:val="hybridMultilevel"/>
    <w:lvl w:ilvl="0">
      <w:lvlJc w:val="left"/>
      <w:lvlText w:val="%1."/>
      <w:numFmt w:val="decimal"/>
      <w:start w:val="20"/>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104"/>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202"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169" Type="http://schemas.openxmlformats.org/officeDocument/2006/relationships/hyperlink" Target="https://www.sec.gov/Archives/edgar/data/0001820302/000119312521005832/d913171dex21.htm" TargetMode="External"/><Relationship Id="rId170" Type="http://schemas.openxmlformats.org/officeDocument/2006/relationships/hyperlink" Target="https://www.sec.gov/Archives/edgar/data/0001820302/000119312521101249/d107545dex21.htm" TargetMode="External"/><Relationship Id="rId171" Type="http://schemas.openxmlformats.org/officeDocument/2006/relationships/hyperlink" Target="https://www.sec.gov/Archives/edgar/data/0001820302/000119312521286927/d204551dex21.htm" TargetMode="External"/><Relationship Id="rId172" Type="http://schemas.openxmlformats.org/officeDocument/2006/relationships/hyperlink" Target="https://www.sec.gov/Archives/edgar/data/1820302/000119312522276398/d408337dex21.htm" TargetMode="External"/><Relationship Id="rId173" Type="http://schemas.openxmlformats.org/officeDocument/2006/relationships/hyperlink" Target="https://www.sec.gov/Archives/edgar/data/0001820302/000119312521303985/d219325dex31.htm" TargetMode="External"/><Relationship Id="rId174" Type="http://schemas.openxmlformats.org/officeDocument/2006/relationships/hyperlink" Target="https://www.sec.gov/Archives/edgar/data/0001820302/000119312521303985/d219325dex32.htm" TargetMode="External"/><Relationship Id="rId175" Type="http://schemas.openxmlformats.org/officeDocument/2006/relationships/hyperlink" Target="https://www.sec.gov/Archives/edgar/data/0001820302/000119312521303985/d219325dex41.htm" TargetMode="External"/><Relationship Id="rId176" Type="http://schemas.openxmlformats.org/officeDocument/2006/relationships/hyperlink" Target="https://www.sec.gov/Archives/edgar/data/0001820302/000119312521303985/d219325dex42.htm" TargetMode="External"/><Relationship Id="rId177" Type="http://schemas.openxmlformats.org/officeDocument/2006/relationships/hyperlink" Target="https://www.sec.gov/Archives/edgar/data/0001820302/000119312520256308/d38926dex41.htm" TargetMode="External"/><Relationship Id="rId178" Type="http://schemas.openxmlformats.org/officeDocument/2006/relationships/hyperlink" Target="https://www.sec.gov/Archives/edgar/data/1820302/000182030222000005/a44-firstamendmenttowarr.htm" TargetMode="External"/><Relationship Id="rId179" Type="http://schemas.openxmlformats.org/officeDocument/2006/relationships/hyperlink" Target="https://www.sec.gov/Archives/edgar/data/0001820302/000119312521303985/d219325dex43.htm" TargetMode="External"/><Relationship Id="rId183" Type="http://schemas.openxmlformats.org/officeDocument/2006/relationships/hyperlink" Target="https://www.sec.gov/Archives/edgar/data/1820302/000119312522276398/d408337dex41.htm" TargetMode="External"/><Relationship Id="rId184" Type="http://schemas.openxmlformats.org/officeDocument/2006/relationships/hyperlink" Target="https://www.sec.gov/Archives/edgar/data/1820302/000182030222000005/a46-descriptionofsecurit.htm" TargetMode="External"/><Relationship Id="rId185" Type="http://schemas.openxmlformats.org/officeDocument/2006/relationships/hyperlink" Target="https://www.sec.gov/Archives/edgar/data/0001820302/000119312520256308/d38926dex101.htm" TargetMode="External"/><Relationship Id="rId186" Type="http://schemas.openxmlformats.org/officeDocument/2006/relationships/hyperlink" Target="https://www.sec.gov/Archives/edgar/data/0001820302/000119312521005832/d913171dex103.htm" TargetMode="External"/><Relationship Id="rId187" Type="http://schemas.openxmlformats.org/officeDocument/2006/relationships/hyperlink" Target="https://www.sec.gov/Archives/edgar/data/0001820302/000119312521303985/d219325dex1010.htm" TargetMode="External"/><Relationship Id="rId188" Type="http://schemas.openxmlformats.org/officeDocument/2006/relationships/hyperlink" Target="https://www.sec.gov/Archives/edgar/data/0001820302/000119312521303985/d219325dex106.htm" TargetMode="External"/><Relationship Id="rId189" Type="http://schemas.openxmlformats.org/officeDocument/2006/relationships/hyperlink" Target="https://www.sec.gov/Archives/edgar/data/0001820302/000119312521303985/d219325dex101.htm" TargetMode="External"/><Relationship Id="rId190" Type="http://schemas.openxmlformats.org/officeDocument/2006/relationships/hyperlink" Target="https://www.sec.gov/Archives/edgar/data/0001820302/000119312521303985/d219325dex102.htm" TargetMode="External"/><Relationship Id="rId191" Type="http://schemas.openxmlformats.org/officeDocument/2006/relationships/hyperlink" Target="https://www.sec.gov/Archives/edgar/data/0001820302/000119312521303985/d219325dex103.htm" TargetMode="External"/><Relationship Id="rId192" Type="http://schemas.openxmlformats.org/officeDocument/2006/relationships/hyperlink" Target="https://www.sec.gov/Archives/edgar/data/1820302/000182030222000015/a101amendedandrestatedexch.htm" TargetMode="External"/><Relationship Id="rId193" Type="http://schemas.openxmlformats.org/officeDocument/2006/relationships/hyperlink" Target="https://www.sec.gov/Archives/edgar/data/0001820302/000119312521303985/d219325dex105.htm" TargetMode="External"/><Relationship Id="rId194" Type="http://schemas.openxmlformats.org/officeDocument/2006/relationships/hyperlink" Target="https://www.sec.gov/Archives/edgar/data/0001820302/000119312521303985/d219325dex109.htm" TargetMode="External"/><Relationship Id="rId195" Type="http://schemas.openxmlformats.org/officeDocument/2006/relationships/hyperlink" Target="https://www.sec.gov/Archives/edgar/data/1820302/000182030222000005/a1011-formofrsuagreement.htm" TargetMode="External"/><Relationship Id="rId196" Type="http://schemas.openxmlformats.org/officeDocument/2006/relationships/hyperlink" Target="https://www.sec.gov/Archives/edgar/data/1820302/000182030222000005/a1012-formofrsuagreement.htm" TargetMode="External"/><Relationship Id="rId197" Type="http://schemas.openxmlformats.org/officeDocument/2006/relationships/hyperlink" Target="https://www.sec.gov/Archives/edgar/data/1820302/000182030222000005/a1013-formofpsuagreement.htm" TargetMode="External"/><Relationship Id="rId198" Type="http://schemas.openxmlformats.org/officeDocument/2006/relationships/hyperlink" Target="https://www.sec.gov/Archives/edgar/data/0001820302/000119312521303985/d219325dex107.htm" TargetMode="External"/><Relationship Id="rId199" Type="http://schemas.openxmlformats.org/officeDocument/2006/relationships/hyperlink" Target="https://www.sec.gov/Archives/edgar/data/0001820302/000119312521327401/d262546dex101.htm" TargetMode="External"/><Relationship Id="rId200" Type="http://schemas.openxmlformats.org/officeDocument/2006/relationships/hyperlink" Target="https://www.sec.gov/Archives/edgar/data/0001820302/000119312521303985/d219325dex1012.htm" TargetMode="External"/><Relationship Id="rId201" Type="http://schemas.openxmlformats.org/officeDocument/2006/relationships/hyperlink" Target="https://www.sec.gov/Archives/edgar/data/0001820302/000119312521303985/d219325dex1013.htm" TargetMode="External"/><Relationship Id="rId203" Type="http://schemas.openxmlformats.org/officeDocument/2006/relationships/hyperlink" Target="https://www.sec.gov/Archives/edgar/data/1820302/000182030222000005/a1018-marcdannunzioemplo.htm" TargetMode="External"/><Relationship Id="rId204" Type="http://schemas.openxmlformats.org/officeDocument/2006/relationships/hyperlink" Target="https://www.sec.gov/Archives/edgar/data/1820302/000119312522200875/d367953dex101.htm" TargetMode="External"/><Relationship Id="rId205" Type="http://schemas.openxmlformats.org/officeDocument/2006/relationships/hyperlink" Target="https://www.sec.gov/Archives/edgar/data/1820302/000119312522242987/d277417dex101.htm" TargetMode="External"/><Relationship Id="rId206" Type="http://schemas.openxmlformats.org/officeDocument/2006/relationships/hyperlink" Target="https://www.sec.gov/Archives/edgar/data/1820302/000119312522242987/d277417dex102.htm" TargetMode="External"/><Relationship Id="rId207" Type="http://schemas.openxmlformats.org/officeDocument/2006/relationships/hyperlink" Target="https://www.sec.gov/Archives/edgar/data/1820302/000182030222000036/exhibit102directorcompensa.htm" TargetMode="External"/><Relationship Id="rId208" Type="http://schemas.openxmlformats.org/officeDocument/2006/relationships/hyperlink" Target="https://www.sec.gov/Archives/edgar/data/1820302/000119312522261792/d3918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2023-03-24T21:46:17Z</dcterms:created>
  <dcterms:modified xsi:type="dcterms:W3CDTF">2023-03-24T21:46:17Z</dcterms:modified>
</cp:coreProperties>
</file>