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March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3216910</wp:posOffset>
            </wp:positionH>
            <wp:positionV relativeFrom="page">
              <wp:posOffset>646430</wp:posOffset>
            </wp:positionV>
            <wp:extent cx="112331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23315" cy="411480"/>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Bakkt Reports Fourth Quarter and Full Year 2024 Results</w:t>
      </w:r>
    </w:p>
    <w:p>
      <w:pPr>
        <w:spacing w:after="0" w:line="26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i w:val="1"/>
          <w:iCs w:val="1"/>
          <w:color w:val="auto"/>
        </w:rPr>
        <w:t>Signed defnitve agreement to divest Trust business to Intercontnental Exchange (“ICE”); exploring strategic opportunites for Loyalty</w:t>
      </w:r>
    </w:p>
    <w:p>
      <w:pPr>
        <w:ind w:left="2400" w:hanging="325"/>
        <w:spacing w:after="0" w:line="229" w:lineRule="auto"/>
        <w:tabs>
          <w:tab w:leader="none" w:pos="2400" w:val="left"/>
        </w:tabs>
        <w:numPr>
          <w:ilvl w:val="1"/>
          <w:numId w:val="2"/>
        </w:numPr>
        <w:rPr>
          <w:rFonts w:ascii="Calibri" w:cs="Calibri" w:eastAsia="Calibri" w:hAnsi="Calibri"/>
          <w:sz w:val="22"/>
          <w:szCs w:val="22"/>
          <w:color w:val="auto"/>
        </w:rPr>
      </w:pPr>
      <w:r>
        <w:rPr>
          <w:rFonts w:ascii="Calibri" w:cs="Calibri" w:eastAsia="Calibri" w:hAnsi="Calibri"/>
          <w:sz w:val="20"/>
          <w:szCs w:val="20"/>
          <w:i w:val="1"/>
          <w:iCs w:val="1"/>
          <w:color w:val="auto"/>
        </w:rPr>
        <w:t>Fourth quarter trading volumes up 465% sequentally and 778% year-over-year</w:t>
      </w:r>
    </w:p>
    <w:p>
      <w:pPr>
        <w:spacing w:after="0" w:line="6" w:lineRule="exact"/>
        <w:rPr>
          <w:rFonts w:ascii="Calibri" w:cs="Calibri" w:eastAsia="Calibri" w:hAnsi="Calibri"/>
          <w:sz w:val="22"/>
          <w:szCs w:val="22"/>
          <w:color w:val="auto"/>
        </w:rPr>
      </w:pPr>
    </w:p>
    <w:p>
      <w:pPr>
        <w:ind w:left="2420" w:hanging="320"/>
        <w:spacing w:after="0" w:line="223" w:lineRule="auto"/>
        <w:tabs>
          <w:tab w:leader="none" w:pos="2420" w:val="left"/>
        </w:tabs>
        <w:numPr>
          <w:ilvl w:val="2"/>
          <w:numId w:val="2"/>
        </w:numPr>
        <w:rPr>
          <w:rFonts w:ascii="Calibri" w:cs="Calibri" w:eastAsia="Calibri" w:hAnsi="Calibri"/>
          <w:sz w:val="22"/>
          <w:szCs w:val="22"/>
          <w:color w:val="auto"/>
        </w:rPr>
      </w:pPr>
      <w:r>
        <w:rPr>
          <w:rFonts w:ascii="Calibri" w:cs="Calibri" w:eastAsia="Calibri" w:hAnsi="Calibri"/>
          <w:sz w:val="20"/>
          <w:szCs w:val="20"/>
          <w:i w:val="1"/>
          <w:iCs w:val="1"/>
          <w:color w:val="auto"/>
        </w:rPr>
        <w:t>Net loss improved year-over-year 48.7% for the quarter, 54.2% for the full year</w:t>
      </w:r>
    </w:p>
    <w:p>
      <w:pPr>
        <w:spacing w:after="0" w:line="6" w:lineRule="exact"/>
        <w:rPr>
          <w:rFonts w:ascii="Calibri" w:cs="Calibri" w:eastAsia="Calibri" w:hAnsi="Calibri"/>
          <w:sz w:val="22"/>
          <w:szCs w:val="22"/>
          <w:color w:val="auto"/>
        </w:rPr>
      </w:pPr>
    </w:p>
    <w:p>
      <w:pPr>
        <w:ind w:left="2060" w:hanging="316"/>
        <w:spacing w:after="0" w:line="223" w:lineRule="auto"/>
        <w:tabs>
          <w:tab w:leader="none" w:pos="2060" w:val="left"/>
        </w:tabs>
        <w:numPr>
          <w:ilvl w:val="0"/>
          <w:numId w:val="2"/>
        </w:numPr>
        <w:rPr>
          <w:rFonts w:ascii="Calibri" w:cs="Calibri" w:eastAsia="Calibri" w:hAnsi="Calibri"/>
          <w:sz w:val="22"/>
          <w:szCs w:val="22"/>
          <w:color w:val="auto"/>
        </w:rPr>
      </w:pPr>
      <w:r>
        <w:rPr>
          <w:rFonts w:ascii="Calibri" w:cs="Calibri" w:eastAsia="Calibri" w:hAnsi="Calibri"/>
          <w:sz w:val="20"/>
          <w:szCs w:val="20"/>
          <w:i w:val="1"/>
          <w:iCs w:val="1"/>
          <w:color w:val="auto"/>
        </w:rPr>
        <w:t>Adjusted EBITDA improved year-over-year 66.3% for the quarter, 31.6% for the full year</w:t>
      </w:r>
    </w:p>
    <w:p>
      <w:pPr>
        <w:spacing w:after="0" w:line="266" w:lineRule="exact"/>
        <w:rPr>
          <w:sz w:val="20"/>
          <w:szCs w:val="20"/>
          <w:color w:val="auto"/>
        </w:rPr>
      </w:pPr>
    </w:p>
    <w:p>
      <w:pPr>
        <w:ind w:right="160"/>
        <w:spacing w:after="0" w:line="228" w:lineRule="auto"/>
        <w:rPr>
          <w:sz w:val="20"/>
          <w:szCs w:val="20"/>
          <w:color w:val="auto"/>
        </w:rPr>
      </w:pPr>
      <w:r>
        <w:rPr>
          <w:rFonts w:ascii="Calibri" w:cs="Calibri" w:eastAsia="Calibri" w:hAnsi="Calibri"/>
          <w:sz w:val="20"/>
          <w:szCs w:val="20"/>
          <w:b w:val="1"/>
          <w:bCs w:val="1"/>
          <w:color w:val="auto"/>
        </w:rPr>
        <w:t xml:space="preserve">ALPHARETTA, GA – March 18, 2025 </w:t>
      </w:r>
      <w:r>
        <w:rPr>
          <w:rFonts w:ascii="Calibri" w:cs="Calibri" w:eastAsia="Calibri" w:hAnsi="Calibri"/>
          <w:sz w:val="20"/>
          <w:szCs w:val="20"/>
          <w:color w:val="auto"/>
        </w:rPr>
        <w:t>– Bakkt Holdings, Inc. (“Bakkt,” “Company,” “we” or “us”) (NYSE: BKKT) announced its fnancial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operatonal results for the quarter and full year ended December 31, 2024.</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CEO Comments:</w:t>
      </w:r>
    </w:p>
    <w:p>
      <w:pPr>
        <w:ind w:right="20"/>
        <w:spacing w:after="0" w:line="233" w:lineRule="auto"/>
        <w:rPr>
          <w:sz w:val="20"/>
          <w:szCs w:val="20"/>
          <w:color w:val="auto"/>
        </w:rPr>
      </w:pPr>
      <w:r>
        <w:rPr>
          <w:rFonts w:ascii="Calibri" w:cs="Calibri" w:eastAsia="Calibri" w:hAnsi="Calibri"/>
          <w:sz w:val="20"/>
          <w:szCs w:val="20"/>
          <w:color w:val="auto"/>
        </w:rPr>
        <w:t>"2024 was a pivotal year for Bakkt as we successfully executed on our strategic priorites, delivered strong year-end results, and capitalized on the favorable macro conditons for the crypto industry," said Andy Main, CEO of Bakkt. "We achieved signifcant growth in our core crypto business, with Q4 total revenue increasing 737.9% year-over-year to $1,797.3 million and notonal crypto trading volume reaching a record $1,777.6 million in the quarter. This performance was driven by the integraton of our advanced trading infrastructure, strategic additon of new coins, and the growing demand for our regulated crypto solutons."</w:t>
      </w:r>
    </w:p>
    <w:p>
      <w:pPr>
        <w:spacing w:after="0" w:line="241"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Mr. Main contnued, "As we enter 2025, Bakkt is realigning our business into a crypto future-focus state of being as we feel we are well-positoned to beneft from the immense opportunity in the crypto market. The defnitve agreement for the divestture of our Bakkt Trust custody business allows us to sharpen our focus on our core crypto oferings. We are executng on a client lifecycle approach that supports businesses at every stage—from market entry with our comprehensive BCS platorm, to streamlined trading solutons like BakktX for maturing enterprises, to insttutonal trading and liquidity services for established players. With the tailwinds of increasing insttutonal adopton, a pro-crypto regulatory environment under the Trump administraton, and our ability to deliver secure, reliable and high-performance trading solutons, we are looking forward to contnuing our pursuit of market share in the crypto economy."</w:t>
      </w:r>
    </w:p>
    <w:p>
      <w:pPr>
        <w:spacing w:after="0" w:line="248"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Fourth Quarter and Full Year 2024 Key Performance Indicators:</w:t>
      </w:r>
    </w:p>
    <w:p>
      <w:pPr>
        <w:ind w:left="640" w:hanging="308"/>
        <w:spacing w:after="0" w:line="238" w:lineRule="auto"/>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Crypto enabled accounts grew to 6.7 million, up 8.1% year-over-year.</w:t>
      </w:r>
    </w:p>
    <w:p>
      <w:pPr>
        <w:spacing w:after="0" w:line="22" w:lineRule="exact"/>
        <w:rPr>
          <w:rFonts w:ascii="Times New Roman" w:cs="Times New Roman" w:eastAsia="Times New Roman" w:hAnsi="Times New Roman"/>
          <w:sz w:val="20"/>
          <w:szCs w:val="20"/>
          <w:color w:val="auto"/>
        </w:rPr>
      </w:pPr>
    </w:p>
    <w:p>
      <w:pPr>
        <w:ind w:left="660" w:right="40" w:hanging="328"/>
        <w:spacing w:after="0" w:line="228"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Notonal crypto traded volume increased 778% year-over-year to $1,777.6 million for the quarter and 204.2% to $3,446.6 million for the full year 2024, driven by stronger crypto market actvity and increased prices.</w:t>
      </w:r>
    </w:p>
    <w:p>
      <w:pPr>
        <w:spacing w:after="0" w:line="22" w:lineRule="exact"/>
        <w:rPr>
          <w:rFonts w:ascii="Times New Roman" w:cs="Times New Roman" w:eastAsia="Times New Roman" w:hAnsi="Times New Roman"/>
          <w:sz w:val="20"/>
          <w:szCs w:val="20"/>
          <w:color w:val="auto"/>
        </w:rPr>
      </w:pPr>
    </w:p>
    <w:p>
      <w:pPr>
        <w:ind w:left="660" w:right="54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Assets under custody increased 228.1% year-over-year to $2,301.9 million, primarily due to higher trading prices for crypto assets.</w:t>
      </w:r>
    </w:p>
    <w:p>
      <w:pPr>
        <w:spacing w:after="0" w:line="9" w:lineRule="exact"/>
        <w:rPr>
          <w:rFonts w:ascii="Times New Roman" w:cs="Times New Roman" w:eastAsia="Times New Roman" w:hAnsi="Times New Roman"/>
          <w:sz w:val="20"/>
          <w:szCs w:val="20"/>
          <w:color w:val="auto"/>
        </w:rPr>
      </w:pPr>
    </w:p>
    <w:p>
      <w:pPr>
        <w:ind w:left="660" w:right="70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transactng accounts increased 6.5% year-over-year to approximately 974,429, primarily due to a migraton of Swan customers to our platorm in December 2024 and an increase in crypto adopton and macro environment.</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Fourth Quarter and Full Year 2024 Financial Highlights (unaudited):</w:t>
      </w:r>
    </w:p>
    <w:p>
      <w:pPr>
        <w:spacing w:after="0" w:line="22" w:lineRule="exact"/>
        <w:rPr>
          <w:sz w:val="20"/>
          <w:szCs w:val="20"/>
          <w:color w:val="auto"/>
        </w:rPr>
      </w:pPr>
    </w:p>
    <w:p>
      <w:pPr>
        <w:ind w:left="660" w:right="20" w:hanging="328"/>
        <w:spacing w:after="0" w:line="231" w:lineRule="auto"/>
        <w:tabs>
          <w:tab w:leader="none" w:pos="648"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revenues of $1,797.3 million for the quarter and $3,490.2 million for the full year refect an increase in gross crypto services revenues driven by Bakkt Crypto and the overall increase in market actvity. Net loyalty revenues of $11.1 million for the quarter and $49.2 million for the</w:t>
      </w:r>
    </w:p>
    <w:p>
      <w:pPr>
        <w:sectPr>
          <w:pgSz w:w="11900" w:h="16838" w:orient="portrait"/>
          <w:cols w:equalWidth="0" w:num="1">
            <w:col w:w="11240"/>
          </w:cols>
          <w:pgMar w:left="320" w:top="1440" w:right="339" w:bottom="1440" w:gutter="0" w:footer="0" w:header="0"/>
        </w:sectPr>
      </w:pPr>
    </w:p>
    <w:bookmarkStart w:id="2" w:name="page3"/>
    <w:bookmarkEnd w:id="2"/>
    <w:p>
      <w:pPr>
        <w:ind w:left="660"/>
        <w:spacing w:after="0"/>
        <w:rPr>
          <w:sz w:val="20"/>
          <w:szCs w:val="20"/>
          <w:color w:val="auto"/>
        </w:rPr>
      </w:pPr>
      <w:r>
        <w:rPr>
          <w:rFonts w:ascii="Calibri" w:cs="Calibri" w:eastAsia="Calibri" w:hAnsi="Calibri"/>
          <w:sz w:val="20"/>
          <w:szCs w:val="20"/>
          <w:color w:val="auto"/>
        </w:rPr>
        <w:t>full year decreased 26.5% and 7.3% year-over-year, respectvely, driven by lower notonal loyalty traded volume and redempton.</w:t>
      </w:r>
    </w:p>
    <w:p>
      <w:pPr>
        <w:spacing w:after="0" w:line="9" w:lineRule="exact"/>
        <w:rPr>
          <w:sz w:val="20"/>
          <w:szCs w:val="20"/>
          <w:color w:val="auto"/>
        </w:rPr>
      </w:pPr>
    </w:p>
    <w:p>
      <w:pPr>
        <w:ind w:left="660" w:right="320" w:hanging="328"/>
        <w:spacing w:after="0" w:line="234" w:lineRule="auto"/>
        <w:tabs>
          <w:tab w:leader="none" w:pos="648"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operatng expenses of $1,809.0 million for the quarter and $3,583.1 million for the full year refect an increase in crypto costs and executon, clearing and brokerage fees driven by higher trading volume.</w:t>
      </w:r>
    </w:p>
    <w:p>
      <w:pPr>
        <w:spacing w:after="0" w:line="9" w:lineRule="exact"/>
        <w:rPr>
          <w:rFonts w:ascii="Times New Roman" w:cs="Times New Roman" w:eastAsia="Times New Roman" w:hAnsi="Times New Roman"/>
          <w:sz w:val="20"/>
          <w:szCs w:val="20"/>
          <w:color w:val="auto"/>
        </w:rPr>
      </w:pPr>
    </w:p>
    <w:p>
      <w:pPr>
        <w:ind w:left="660" w:right="20" w:hanging="328"/>
        <w:spacing w:after="0" w:line="236" w:lineRule="auto"/>
        <w:tabs>
          <w:tab w:leader="none" w:pos="648"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operatng expenses excluding crypto costs and executon, clearing and brokerage fees decreased year-over-year 69.0% to $29.5 million for the quarter and 45.4% to $155.9 million for the full year, primarily as a result of the restructuring and reducton in headcount in the frst quarter of 2024.</w:t>
      </w:r>
    </w:p>
    <w:p>
      <w:pPr>
        <w:spacing w:after="0" w:line="8" w:lineRule="exact"/>
        <w:rPr>
          <w:rFonts w:ascii="Times New Roman" w:cs="Times New Roman" w:eastAsia="Times New Roman" w:hAnsi="Times New Roman"/>
          <w:sz w:val="20"/>
          <w:szCs w:val="20"/>
          <w:color w:val="auto"/>
        </w:rPr>
      </w:pPr>
    </w:p>
    <w:p>
      <w:pPr>
        <w:ind w:left="660" w:right="40" w:hanging="328"/>
        <w:spacing w:after="0" w:line="231" w:lineRule="auto"/>
        <w:tabs>
          <w:tab w:leader="none" w:pos="648"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Operatng loss improved year-over-year 85.1% to $11.7 million for the quarter and 59.2% to $92.9 million for the full year due to the recognized $37.2 million goodwill and intangible asset impairment and impairment of long-lived assets of $30.2 million in the fourth quarter of 2023, along with higher crypto services revenue.</w:t>
      </w:r>
    </w:p>
    <w:p>
      <w:pPr>
        <w:spacing w:after="0" w:line="24" w:lineRule="exact"/>
        <w:rPr>
          <w:rFonts w:ascii="Times New Roman" w:cs="Times New Roman" w:eastAsia="Times New Roman" w:hAnsi="Times New Roman"/>
          <w:sz w:val="20"/>
          <w:szCs w:val="20"/>
          <w:color w:val="auto"/>
        </w:rPr>
      </w:pPr>
    </w:p>
    <w:p>
      <w:pPr>
        <w:ind w:left="660" w:right="140" w:hanging="328"/>
        <w:spacing w:after="0" w:line="231" w:lineRule="auto"/>
        <w:tabs>
          <w:tab w:leader="none" w:pos="648"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loss improved year-over-year 48.7% to $40.4 million for the quarter and 54.2% to $103.4 million for the full year as the fourth quarter of 2023 was impacted by the recognized goodwill and intangible asset impairment and impairment of long-lived assets.</w:t>
      </w:r>
    </w:p>
    <w:p>
      <w:pPr>
        <w:spacing w:after="0" w:line="24" w:lineRule="exact"/>
        <w:rPr>
          <w:rFonts w:ascii="Times New Roman" w:cs="Times New Roman" w:eastAsia="Times New Roman" w:hAnsi="Times New Roman"/>
          <w:sz w:val="20"/>
          <w:szCs w:val="20"/>
          <w:color w:val="auto"/>
        </w:rPr>
      </w:pPr>
    </w:p>
    <w:p>
      <w:pPr>
        <w:ind w:left="660" w:right="120" w:hanging="328"/>
        <w:spacing w:after="0" w:line="228" w:lineRule="auto"/>
        <w:tabs>
          <w:tab w:leader="none" w:pos="648"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EBITDA loss (non-GAAP) decreased year-over-year 66.3% to $6.4 million for the quarter and 31.6% to $64.2 million for the full year primarily due to the overall decrease in compensaton and benefts expense and marketng expense.</w:t>
      </w:r>
    </w:p>
    <w:p>
      <w:pPr>
        <w:spacing w:after="0" w:line="242"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Fourth Quarter 2024 Condensed Results</w:t>
      </w:r>
    </w:p>
    <w:p>
      <w:pPr>
        <w:spacing w:after="0" w:line="30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380" w:type="dxa"/>
            <w:vAlign w:val="bottom"/>
            <w:vMerge w:val="restart"/>
            <w:shd w:val="clear" w:color="auto" w:fill="000000"/>
          </w:tcPr>
          <w:p>
            <w:pPr>
              <w:ind w:left="100"/>
              <w:spacing w:after="0"/>
              <w:rPr>
                <w:sz w:val="20"/>
                <w:szCs w:val="20"/>
                <w:color w:val="auto"/>
              </w:rPr>
            </w:pPr>
            <w:r>
              <w:rPr>
                <w:rFonts w:ascii="Calibri" w:cs="Calibri" w:eastAsia="Calibri" w:hAnsi="Calibri"/>
                <w:sz w:val="18"/>
                <w:szCs w:val="18"/>
                <w:b w:val="1"/>
                <w:bCs w:val="1"/>
                <w:color w:val="FFFFFF"/>
              </w:rPr>
              <w:t>$ in millions</w:t>
            </w:r>
          </w:p>
        </w:tc>
        <w:tc>
          <w:tcPr>
            <w:tcW w:w="1860" w:type="dxa"/>
            <w:vAlign w:val="bottom"/>
            <w:vMerge w:val="restart"/>
            <w:shd w:val="clear" w:color="auto" w:fill="000000"/>
          </w:tcPr>
          <w:p>
            <w:pPr>
              <w:jc w:val="right"/>
              <w:ind w:right="350"/>
              <w:spacing w:after="0"/>
              <w:rPr>
                <w:sz w:val="20"/>
                <w:szCs w:val="20"/>
                <w:color w:val="auto"/>
              </w:rPr>
            </w:pPr>
            <w:r>
              <w:rPr>
                <w:rFonts w:ascii="Calibri" w:cs="Calibri" w:eastAsia="Calibri" w:hAnsi="Calibri"/>
                <w:sz w:val="18"/>
                <w:szCs w:val="18"/>
                <w:b w:val="1"/>
                <w:bCs w:val="1"/>
                <w:color w:val="FFFFFF"/>
              </w:rPr>
              <w:t>4Q24</w:t>
            </w:r>
          </w:p>
        </w:tc>
        <w:tc>
          <w:tcPr>
            <w:tcW w:w="1400" w:type="dxa"/>
            <w:vAlign w:val="bottom"/>
            <w:vMerge w:val="restart"/>
            <w:shd w:val="clear" w:color="auto" w:fill="000000"/>
          </w:tcPr>
          <w:p>
            <w:pPr>
              <w:jc w:val="right"/>
              <w:ind w:right="270"/>
              <w:spacing w:after="0"/>
              <w:rPr>
                <w:sz w:val="20"/>
                <w:szCs w:val="20"/>
                <w:color w:val="auto"/>
              </w:rPr>
            </w:pPr>
            <w:r>
              <w:rPr>
                <w:rFonts w:ascii="Calibri" w:cs="Calibri" w:eastAsia="Calibri" w:hAnsi="Calibri"/>
                <w:sz w:val="18"/>
                <w:szCs w:val="18"/>
                <w:b w:val="1"/>
                <w:bCs w:val="1"/>
                <w:color w:val="FFFFFF"/>
              </w:rPr>
              <w:t>4Q23</w:t>
            </w:r>
          </w:p>
        </w:tc>
        <w:tc>
          <w:tcPr>
            <w:tcW w:w="1180" w:type="dxa"/>
            <w:vAlign w:val="bottom"/>
            <w:gridSpan w:val="2"/>
            <w:shd w:val="clear" w:color="auto" w:fill="000000"/>
          </w:tcPr>
          <w:p>
            <w:pPr>
              <w:jc w:val="right"/>
              <w:ind w:right="80"/>
              <w:spacing w:after="0"/>
              <w:rPr>
                <w:sz w:val="20"/>
                <w:szCs w:val="20"/>
                <w:color w:val="auto"/>
              </w:rPr>
            </w:pPr>
            <w:r>
              <w:rPr>
                <w:rFonts w:ascii="Calibri" w:cs="Calibri" w:eastAsia="Calibri" w:hAnsi="Calibri"/>
                <w:sz w:val="18"/>
                <w:szCs w:val="18"/>
                <w:b w:val="1"/>
                <w:bCs w:val="1"/>
                <w:color w:val="FFFFFF"/>
              </w:rPr>
              <w:t>Increase/</w:t>
            </w:r>
          </w:p>
        </w:tc>
        <w:tc>
          <w:tcPr>
            <w:tcW w:w="0" w:type="dxa"/>
            <w:vAlign w:val="bottom"/>
          </w:tcPr>
          <w:p>
            <w:pPr>
              <w:spacing w:after="0"/>
              <w:rPr>
                <w:sz w:val="1"/>
                <w:szCs w:val="1"/>
                <w:color w:val="auto"/>
              </w:rPr>
            </w:pPr>
          </w:p>
        </w:tc>
      </w:tr>
      <w:tr>
        <w:trPr>
          <w:trHeight w:val="107"/>
        </w:trPr>
        <w:tc>
          <w:tcPr>
            <w:tcW w:w="6380" w:type="dxa"/>
            <w:vAlign w:val="bottom"/>
            <w:vMerge w:val="continue"/>
            <w:shd w:val="clear" w:color="auto" w:fill="000000"/>
          </w:tcPr>
          <w:p>
            <w:pPr>
              <w:spacing w:after="0"/>
              <w:rPr>
                <w:sz w:val="9"/>
                <w:szCs w:val="9"/>
                <w:color w:val="auto"/>
              </w:rPr>
            </w:pPr>
          </w:p>
        </w:tc>
        <w:tc>
          <w:tcPr>
            <w:tcW w:w="1860" w:type="dxa"/>
            <w:vAlign w:val="bottom"/>
            <w:vMerge w:val="continue"/>
            <w:shd w:val="clear" w:color="auto" w:fill="000000"/>
          </w:tcPr>
          <w:p>
            <w:pPr>
              <w:spacing w:after="0"/>
              <w:rPr>
                <w:sz w:val="9"/>
                <w:szCs w:val="9"/>
                <w:color w:val="auto"/>
              </w:rPr>
            </w:pPr>
          </w:p>
        </w:tc>
        <w:tc>
          <w:tcPr>
            <w:tcW w:w="1400" w:type="dxa"/>
            <w:vAlign w:val="bottom"/>
            <w:vMerge w:val="continue"/>
            <w:shd w:val="clear" w:color="auto" w:fill="000000"/>
          </w:tcPr>
          <w:p>
            <w:pPr>
              <w:spacing w:after="0"/>
              <w:rPr>
                <w:sz w:val="9"/>
                <w:szCs w:val="9"/>
                <w:color w:val="auto"/>
              </w:rPr>
            </w:pPr>
          </w:p>
        </w:tc>
        <w:tc>
          <w:tcPr>
            <w:tcW w:w="1180" w:type="dxa"/>
            <w:vAlign w:val="bottom"/>
            <w:gridSpan w:val="2"/>
            <w:vMerge w:val="restart"/>
            <w:shd w:val="clear" w:color="auto" w:fill="000000"/>
          </w:tcPr>
          <w:p>
            <w:pPr>
              <w:jc w:val="right"/>
              <w:ind w:right="80"/>
              <w:spacing w:after="0" w:line="215" w:lineRule="exact"/>
              <w:rPr>
                <w:sz w:val="20"/>
                <w:szCs w:val="20"/>
                <w:color w:val="auto"/>
              </w:rPr>
            </w:pPr>
            <w:r>
              <w:rPr>
                <w:rFonts w:ascii="Calibri" w:cs="Calibri" w:eastAsia="Calibri" w:hAnsi="Calibri"/>
                <w:sz w:val="18"/>
                <w:szCs w:val="18"/>
                <w:b w:val="1"/>
                <w:bCs w:val="1"/>
                <w:color w:val="FFFFFF"/>
              </w:rPr>
              <w:t>(decrease)</w:t>
            </w:r>
          </w:p>
        </w:tc>
        <w:tc>
          <w:tcPr>
            <w:tcW w:w="0" w:type="dxa"/>
            <w:vAlign w:val="bottom"/>
          </w:tcPr>
          <w:p>
            <w:pPr>
              <w:spacing w:after="0"/>
              <w:rPr>
                <w:sz w:val="1"/>
                <w:szCs w:val="1"/>
                <w:color w:val="auto"/>
              </w:rPr>
            </w:pPr>
          </w:p>
        </w:tc>
      </w:tr>
      <w:tr>
        <w:trPr>
          <w:trHeight w:val="138"/>
        </w:trPr>
        <w:tc>
          <w:tcPr>
            <w:tcW w:w="6380" w:type="dxa"/>
            <w:vAlign w:val="bottom"/>
            <w:tcBorders>
              <w:bottom w:val="single" w:sz="8" w:color="auto"/>
            </w:tcBorders>
            <w:shd w:val="clear" w:color="auto" w:fill="000000"/>
          </w:tcPr>
          <w:p>
            <w:pPr>
              <w:spacing w:after="0"/>
              <w:rPr>
                <w:sz w:val="12"/>
                <w:szCs w:val="12"/>
                <w:color w:val="auto"/>
              </w:rPr>
            </w:pPr>
          </w:p>
        </w:tc>
        <w:tc>
          <w:tcPr>
            <w:tcW w:w="1860" w:type="dxa"/>
            <w:vAlign w:val="bottom"/>
            <w:tcBorders>
              <w:bottom w:val="single" w:sz="8" w:color="auto"/>
            </w:tcBorders>
            <w:shd w:val="clear" w:color="auto" w:fill="000000"/>
          </w:tcPr>
          <w:p>
            <w:pPr>
              <w:spacing w:after="0"/>
              <w:rPr>
                <w:sz w:val="12"/>
                <w:szCs w:val="12"/>
                <w:color w:val="auto"/>
              </w:rPr>
            </w:pPr>
          </w:p>
        </w:tc>
        <w:tc>
          <w:tcPr>
            <w:tcW w:w="1400" w:type="dxa"/>
            <w:vAlign w:val="bottom"/>
            <w:tcBorders>
              <w:bottom w:val="single" w:sz="8" w:color="auto"/>
            </w:tcBorders>
            <w:shd w:val="clear" w:color="auto" w:fill="000000"/>
          </w:tcPr>
          <w:p>
            <w:pPr>
              <w:spacing w:after="0"/>
              <w:rPr>
                <w:sz w:val="12"/>
                <w:szCs w:val="12"/>
                <w:color w:val="auto"/>
              </w:rPr>
            </w:pPr>
          </w:p>
        </w:tc>
        <w:tc>
          <w:tcPr>
            <w:tcW w:w="1180" w:type="dxa"/>
            <w:vAlign w:val="bottom"/>
            <w:tcBorders>
              <w:bottom w:val="single" w:sz="8" w:color="auto"/>
            </w:tcBorders>
            <w:gridSpan w:val="2"/>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380" w:type="dxa"/>
            <w:vAlign w:val="bottom"/>
          </w:tcPr>
          <w:p>
            <w:pPr>
              <w:ind w:left="80"/>
              <w:spacing w:after="0"/>
              <w:rPr>
                <w:sz w:val="20"/>
                <w:szCs w:val="20"/>
                <w:color w:val="auto"/>
              </w:rPr>
            </w:pPr>
            <w:r>
              <w:rPr>
                <w:rFonts w:ascii="Calibri" w:cs="Calibri" w:eastAsia="Calibri" w:hAnsi="Calibri"/>
                <w:sz w:val="18"/>
                <w:szCs w:val="18"/>
                <w:color w:val="auto"/>
              </w:rPr>
              <w:t>Total revenues</w:t>
            </w:r>
            <w:r>
              <w:rPr>
                <w:rFonts w:ascii="Calibri" w:cs="Calibri" w:eastAsia="Calibri" w:hAnsi="Calibri"/>
                <w:sz w:val="23"/>
                <w:szCs w:val="23"/>
                <w:color w:val="auto"/>
                <w:vertAlign w:val="superscript"/>
              </w:rPr>
              <w:t>1</w:t>
            </w:r>
          </w:p>
        </w:tc>
        <w:tc>
          <w:tcPr>
            <w:tcW w:w="1860" w:type="dxa"/>
            <w:vAlign w:val="bottom"/>
          </w:tcPr>
          <w:p>
            <w:pPr>
              <w:jc w:val="right"/>
              <w:ind w:right="430"/>
              <w:spacing w:after="0"/>
              <w:rPr>
                <w:sz w:val="20"/>
                <w:szCs w:val="20"/>
                <w:color w:val="auto"/>
              </w:rPr>
            </w:pPr>
            <w:r>
              <w:rPr>
                <w:rFonts w:ascii="Calibri" w:cs="Calibri" w:eastAsia="Calibri" w:hAnsi="Calibri"/>
                <w:sz w:val="18"/>
                <w:szCs w:val="18"/>
                <w:color w:val="auto"/>
              </w:rPr>
              <w:t>$1,797.3</w:t>
            </w:r>
          </w:p>
        </w:tc>
        <w:tc>
          <w:tcPr>
            <w:tcW w:w="1400" w:type="dxa"/>
            <w:vAlign w:val="bottom"/>
          </w:tcPr>
          <w:p>
            <w:pPr>
              <w:jc w:val="right"/>
              <w:ind w:right="370"/>
              <w:spacing w:after="0"/>
              <w:rPr>
                <w:sz w:val="20"/>
                <w:szCs w:val="20"/>
                <w:color w:val="auto"/>
              </w:rPr>
            </w:pPr>
            <w:r>
              <w:rPr>
                <w:rFonts w:ascii="Calibri" w:cs="Calibri" w:eastAsia="Calibri" w:hAnsi="Calibri"/>
                <w:sz w:val="18"/>
                <w:szCs w:val="18"/>
                <w:color w:val="auto"/>
              </w:rPr>
              <w:t>$214.5</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737.9%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380" w:type="dxa"/>
            <w:vAlign w:val="bottom"/>
          </w:tcPr>
          <w:p>
            <w:pPr>
              <w:ind w:left="200"/>
              <w:spacing w:after="0"/>
              <w:rPr>
                <w:sz w:val="20"/>
                <w:szCs w:val="20"/>
                <w:color w:val="auto"/>
              </w:rPr>
            </w:pPr>
            <w:r>
              <w:rPr>
                <w:rFonts w:ascii="Calibri" w:cs="Calibri" w:eastAsia="Calibri" w:hAnsi="Calibri"/>
                <w:sz w:val="18"/>
                <w:szCs w:val="18"/>
                <w:color w:val="auto"/>
              </w:rPr>
              <w:t>Crypto costs and executon, clearing and brokerage fees</w:t>
            </w:r>
          </w:p>
        </w:tc>
        <w:tc>
          <w:tcPr>
            <w:tcW w:w="1860" w:type="dxa"/>
            <w:vAlign w:val="bottom"/>
          </w:tcPr>
          <w:p>
            <w:pPr>
              <w:jc w:val="right"/>
              <w:ind w:right="430"/>
              <w:spacing w:after="0"/>
              <w:rPr>
                <w:sz w:val="20"/>
                <w:szCs w:val="20"/>
                <w:color w:val="auto"/>
              </w:rPr>
            </w:pPr>
            <w:r>
              <w:rPr>
                <w:rFonts w:ascii="Calibri" w:cs="Calibri" w:eastAsia="Calibri" w:hAnsi="Calibri"/>
                <w:sz w:val="18"/>
                <w:szCs w:val="18"/>
                <w:color w:val="auto"/>
              </w:rPr>
              <w:t>1,779.5</w:t>
            </w:r>
          </w:p>
        </w:tc>
        <w:tc>
          <w:tcPr>
            <w:tcW w:w="1400" w:type="dxa"/>
            <w:vAlign w:val="bottom"/>
          </w:tcPr>
          <w:p>
            <w:pPr>
              <w:jc w:val="right"/>
              <w:ind w:right="370"/>
              <w:spacing w:after="0"/>
              <w:rPr>
                <w:sz w:val="20"/>
                <w:szCs w:val="20"/>
                <w:color w:val="auto"/>
              </w:rPr>
            </w:pPr>
            <w:r>
              <w:rPr>
                <w:rFonts w:ascii="Calibri" w:cs="Calibri" w:eastAsia="Calibri" w:hAnsi="Calibri"/>
                <w:sz w:val="18"/>
                <w:szCs w:val="18"/>
                <w:color w:val="auto"/>
              </w:rPr>
              <w:t>197.8</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799.6%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380" w:type="dxa"/>
            <w:vAlign w:val="bottom"/>
          </w:tcPr>
          <w:p>
            <w:pPr>
              <w:ind w:left="200"/>
              <w:spacing w:after="0"/>
              <w:rPr>
                <w:sz w:val="20"/>
                <w:szCs w:val="20"/>
                <w:color w:val="auto"/>
              </w:rPr>
            </w:pPr>
            <w:r>
              <w:rPr>
                <w:rFonts w:ascii="Calibri" w:cs="Calibri" w:eastAsia="Calibri" w:hAnsi="Calibri"/>
                <w:sz w:val="18"/>
                <w:szCs w:val="18"/>
                <w:color w:val="auto"/>
              </w:rPr>
              <w:t>Operatng expenses, excluding crypto costs and executon, clearing and brokerage</w:t>
            </w:r>
          </w:p>
        </w:tc>
        <w:tc>
          <w:tcPr>
            <w:tcW w:w="1860" w:type="dxa"/>
            <w:vAlign w:val="bottom"/>
            <w:vMerge w:val="restart"/>
          </w:tcPr>
          <w:p>
            <w:pPr>
              <w:jc w:val="right"/>
              <w:ind w:right="430"/>
              <w:spacing w:after="0"/>
              <w:rPr>
                <w:sz w:val="20"/>
                <w:szCs w:val="20"/>
                <w:color w:val="auto"/>
              </w:rPr>
            </w:pPr>
            <w:r>
              <w:rPr>
                <w:rFonts w:ascii="Calibri" w:cs="Calibri" w:eastAsia="Calibri" w:hAnsi="Calibri"/>
                <w:sz w:val="18"/>
                <w:szCs w:val="18"/>
                <w:color w:val="auto"/>
              </w:rPr>
              <w:t>29.5</w:t>
            </w:r>
          </w:p>
        </w:tc>
        <w:tc>
          <w:tcPr>
            <w:tcW w:w="1400" w:type="dxa"/>
            <w:vAlign w:val="bottom"/>
            <w:vMerge w:val="restart"/>
          </w:tcPr>
          <w:p>
            <w:pPr>
              <w:jc w:val="right"/>
              <w:ind w:right="370"/>
              <w:spacing w:after="0"/>
              <w:rPr>
                <w:sz w:val="20"/>
                <w:szCs w:val="20"/>
                <w:color w:val="auto"/>
              </w:rPr>
            </w:pPr>
            <w:r>
              <w:rPr>
                <w:rFonts w:ascii="Calibri" w:cs="Calibri" w:eastAsia="Calibri" w:hAnsi="Calibri"/>
                <w:sz w:val="18"/>
                <w:szCs w:val="18"/>
                <w:color w:val="auto"/>
              </w:rPr>
              <w:t>95.2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line="216" w:lineRule="exact"/>
              <w:rPr>
                <w:sz w:val="20"/>
                <w:szCs w:val="20"/>
                <w:color w:val="auto"/>
              </w:rPr>
            </w:pPr>
            <w:r>
              <w:rPr>
                <w:rFonts w:ascii="Calibri" w:cs="Calibri" w:eastAsia="Calibri" w:hAnsi="Calibri"/>
                <w:sz w:val="18"/>
                <w:szCs w:val="18"/>
                <w:color w:val="auto"/>
              </w:rPr>
              <w:t>fees</w:t>
            </w:r>
          </w:p>
        </w:tc>
        <w:tc>
          <w:tcPr>
            <w:tcW w:w="18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Calibri" w:cs="Calibri" w:eastAsia="Calibri" w:hAnsi="Calibri"/>
                <w:sz w:val="18"/>
                <w:szCs w:val="18"/>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38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380" w:type="dxa"/>
            <w:vAlign w:val="bottom"/>
          </w:tcPr>
          <w:p>
            <w:pPr>
              <w:ind w:left="80"/>
              <w:spacing w:after="0"/>
              <w:rPr>
                <w:sz w:val="20"/>
                <w:szCs w:val="20"/>
                <w:color w:val="auto"/>
              </w:rPr>
            </w:pPr>
            <w:r>
              <w:rPr>
                <w:rFonts w:ascii="Calibri" w:cs="Calibri" w:eastAsia="Calibri" w:hAnsi="Calibri"/>
                <w:sz w:val="18"/>
                <w:szCs w:val="18"/>
                <w:color w:val="auto"/>
              </w:rPr>
              <w:t>Total operatng expenses</w:t>
            </w:r>
          </w:p>
        </w:tc>
        <w:tc>
          <w:tcPr>
            <w:tcW w:w="1860" w:type="dxa"/>
            <w:vAlign w:val="bottom"/>
          </w:tcPr>
          <w:p>
            <w:pPr>
              <w:jc w:val="right"/>
              <w:ind w:right="430"/>
              <w:spacing w:after="0"/>
              <w:rPr>
                <w:sz w:val="20"/>
                <w:szCs w:val="20"/>
                <w:color w:val="auto"/>
              </w:rPr>
            </w:pPr>
            <w:r>
              <w:rPr>
                <w:rFonts w:ascii="Calibri" w:cs="Calibri" w:eastAsia="Calibri" w:hAnsi="Calibri"/>
                <w:sz w:val="18"/>
                <w:szCs w:val="18"/>
                <w:color w:val="auto"/>
              </w:rPr>
              <w:t>1,809.0</w:t>
            </w:r>
          </w:p>
        </w:tc>
        <w:tc>
          <w:tcPr>
            <w:tcW w:w="1400" w:type="dxa"/>
            <w:vAlign w:val="bottom"/>
          </w:tcPr>
          <w:p>
            <w:pPr>
              <w:jc w:val="right"/>
              <w:ind w:right="370"/>
              <w:spacing w:after="0"/>
              <w:rPr>
                <w:sz w:val="20"/>
                <w:szCs w:val="20"/>
                <w:color w:val="auto"/>
              </w:rPr>
            </w:pPr>
            <w:r>
              <w:rPr>
                <w:rFonts w:ascii="Calibri" w:cs="Calibri" w:eastAsia="Calibri" w:hAnsi="Calibri"/>
                <w:sz w:val="18"/>
                <w:szCs w:val="18"/>
                <w:color w:val="auto"/>
              </w:rPr>
              <w:t>293.0</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6380" w:type="dxa"/>
            <w:vAlign w:val="bottom"/>
          </w:tcPr>
          <w:p>
            <w:pPr>
              <w:ind w:left="80"/>
              <w:spacing w:after="0"/>
              <w:rPr>
                <w:sz w:val="20"/>
                <w:szCs w:val="20"/>
                <w:color w:val="auto"/>
              </w:rPr>
            </w:pPr>
            <w:r>
              <w:rPr>
                <w:rFonts w:ascii="Calibri" w:cs="Calibri" w:eastAsia="Calibri" w:hAnsi="Calibri"/>
                <w:sz w:val="18"/>
                <w:szCs w:val="18"/>
                <w:color w:val="auto"/>
              </w:rPr>
              <w:t>Operatng loss</w:t>
            </w:r>
          </w:p>
        </w:tc>
        <w:tc>
          <w:tcPr>
            <w:tcW w:w="1860" w:type="dxa"/>
            <w:vAlign w:val="bottom"/>
          </w:tcPr>
          <w:p>
            <w:pPr>
              <w:jc w:val="right"/>
              <w:ind w:right="450"/>
              <w:spacing w:after="0"/>
              <w:rPr>
                <w:sz w:val="20"/>
                <w:szCs w:val="20"/>
                <w:color w:val="auto"/>
              </w:rPr>
            </w:pPr>
            <w:r>
              <w:rPr>
                <w:rFonts w:ascii="Calibri" w:cs="Calibri" w:eastAsia="Calibri" w:hAnsi="Calibri"/>
                <w:sz w:val="18"/>
                <w:szCs w:val="18"/>
                <w:color w:val="auto"/>
              </w:rPr>
              <w:t>(11.7)</w:t>
            </w:r>
          </w:p>
        </w:tc>
        <w:tc>
          <w:tcPr>
            <w:tcW w:w="1400" w:type="dxa"/>
            <w:vAlign w:val="bottom"/>
          </w:tcPr>
          <w:p>
            <w:pPr>
              <w:jc w:val="right"/>
              <w:ind w:right="370"/>
              <w:spacing w:after="0"/>
              <w:rPr>
                <w:sz w:val="20"/>
                <w:szCs w:val="20"/>
                <w:color w:val="auto"/>
              </w:rPr>
            </w:pPr>
            <w:r>
              <w:rPr>
                <w:rFonts w:ascii="Calibri" w:cs="Calibri" w:eastAsia="Calibri" w:hAnsi="Calibri"/>
                <w:sz w:val="18"/>
                <w:szCs w:val="18"/>
                <w:color w:val="auto"/>
              </w:rPr>
              <w:t>(78.5)</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380" w:type="dxa"/>
            <w:vAlign w:val="bottom"/>
          </w:tcPr>
          <w:p>
            <w:pPr>
              <w:ind w:left="80"/>
              <w:spacing w:after="0"/>
              <w:rPr>
                <w:sz w:val="20"/>
                <w:szCs w:val="20"/>
                <w:color w:val="auto"/>
              </w:rPr>
            </w:pPr>
            <w:r>
              <w:rPr>
                <w:rFonts w:ascii="Calibri" w:cs="Calibri" w:eastAsia="Calibri" w:hAnsi="Calibri"/>
                <w:sz w:val="18"/>
                <w:szCs w:val="18"/>
                <w:color w:val="auto"/>
              </w:rPr>
              <w:t>Net loss</w:t>
            </w:r>
          </w:p>
        </w:tc>
        <w:tc>
          <w:tcPr>
            <w:tcW w:w="1860" w:type="dxa"/>
            <w:vAlign w:val="bottom"/>
          </w:tcPr>
          <w:p>
            <w:pPr>
              <w:jc w:val="right"/>
              <w:ind w:right="450"/>
              <w:spacing w:after="0"/>
              <w:rPr>
                <w:sz w:val="20"/>
                <w:szCs w:val="20"/>
                <w:color w:val="auto"/>
              </w:rPr>
            </w:pPr>
            <w:r>
              <w:rPr>
                <w:rFonts w:ascii="Calibri" w:cs="Calibri" w:eastAsia="Calibri" w:hAnsi="Calibri"/>
                <w:sz w:val="18"/>
                <w:szCs w:val="18"/>
                <w:color w:val="auto"/>
              </w:rPr>
              <w:t>(40.4)</w:t>
            </w:r>
          </w:p>
        </w:tc>
        <w:tc>
          <w:tcPr>
            <w:tcW w:w="1400" w:type="dxa"/>
            <w:vAlign w:val="bottom"/>
          </w:tcPr>
          <w:p>
            <w:pPr>
              <w:jc w:val="right"/>
              <w:ind w:right="370"/>
              <w:spacing w:after="0"/>
              <w:rPr>
                <w:sz w:val="20"/>
                <w:szCs w:val="20"/>
                <w:color w:val="auto"/>
              </w:rPr>
            </w:pPr>
            <w:r>
              <w:rPr>
                <w:rFonts w:ascii="Calibri" w:cs="Calibri" w:eastAsia="Calibri" w:hAnsi="Calibri"/>
                <w:sz w:val="18"/>
                <w:szCs w:val="18"/>
                <w:color w:val="auto"/>
              </w:rPr>
              <w:t>(78.7)</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(48.7%)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80" w:type="dxa"/>
            <w:vAlign w:val="bottom"/>
          </w:tcPr>
          <w:p>
            <w:pPr>
              <w:ind w:left="80"/>
              <w:spacing w:after="0"/>
              <w:rPr>
                <w:sz w:val="20"/>
                <w:szCs w:val="20"/>
                <w:color w:val="auto"/>
              </w:rPr>
            </w:pPr>
            <w:r>
              <w:rPr>
                <w:rFonts w:ascii="Calibri" w:cs="Calibri" w:eastAsia="Calibri" w:hAnsi="Calibri"/>
                <w:sz w:val="18"/>
                <w:szCs w:val="18"/>
                <w:color w:val="auto"/>
              </w:rPr>
              <w:t>Adjusted EBITDA loss (non-GAAP)</w:t>
            </w:r>
          </w:p>
        </w:tc>
        <w:tc>
          <w:tcPr>
            <w:tcW w:w="1860" w:type="dxa"/>
            <w:vAlign w:val="bottom"/>
          </w:tcPr>
          <w:p>
            <w:pPr>
              <w:jc w:val="right"/>
              <w:ind w:right="450"/>
              <w:spacing w:after="0"/>
              <w:rPr>
                <w:sz w:val="20"/>
                <w:szCs w:val="20"/>
                <w:color w:val="auto"/>
              </w:rPr>
            </w:pPr>
            <w:r>
              <w:rPr>
                <w:rFonts w:ascii="Calibri" w:cs="Calibri" w:eastAsia="Calibri" w:hAnsi="Calibri"/>
                <w:sz w:val="18"/>
                <w:szCs w:val="18"/>
                <w:color w:val="auto"/>
              </w:rPr>
              <w:t>($6.4)</w:t>
            </w:r>
          </w:p>
        </w:tc>
        <w:tc>
          <w:tcPr>
            <w:tcW w:w="1400" w:type="dxa"/>
            <w:vAlign w:val="bottom"/>
          </w:tcPr>
          <w:p>
            <w:pPr>
              <w:jc w:val="right"/>
              <w:ind w:right="370"/>
              <w:spacing w:after="0"/>
              <w:rPr>
                <w:sz w:val="20"/>
                <w:szCs w:val="20"/>
                <w:color w:val="auto"/>
              </w:rPr>
            </w:pPr>
            <w:r>
              <w:rPr>
                <w:rFonts w:ascii="Calibri" w:cs="Calibri" w:eastAsia="Calibri" w:hAnsi="Calibri"/>
                <w:sz w:val="18"/>
                <w:szCs w:val="18"/>
                <w:color w:val="auto"/>
              </w:rPr>
              <w:t>($19.0)</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(66.3%)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63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Full Year 2024 Condensed Results</w:t>
      </w:r>
    </w:p>
    <w:p>
      <w:pPr>
        <w:spacing w:after="0" w:line="29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380" w:type="dxa"/>
            <w:vAlign w:val="bottom"/>
            <w:vMerge w:val="restart"/>
            <w:shd w:val="clear" w:color="auto" w:fill="000000"/>
          </w:tcPr>
          <w:p>
            <w:pPr>
              <w:ind w:left="100"/>
              <w:spacing w:after="0"/>
              <w:rPr>
                <w:sz w:val="20"/>
                <w:szCs w:val="20"/>
                <w:color w:val="auto"/>
              </w:rPr>
            </w:pPr>
            <w:r>
              <w:rPr>
                <w:rFonts w:ascii="Calibri" w:cs="Calibri" w:eastAsia="Calibri" w:hAnsi="Calibri"/>
                <w:sz w:val="18"/>
                <w:szCs w:val="18"/>
                <w:b w:val="1"/>
                <w:bCs w:val="1"/>
                <w:color w:val="FFFFFF"/>
              </w:rPr>
              <w:t>$ in millions</w:t>
            </w:r>
          </w:p>
        </w:tc>
        <w:tc>
          <w:tcPr>
            <w:tcW w:w="1840" w:type="dxa"/>
            <w:vAlign w:val="bottom"/>
            <w:vMerge w:val="restart"/>
            <w:shd w:val="clear" w:color="auto" w:fill="000000"/>
          </w:tcPr>
          <w:p>
            <w:pPr>
              <w:jc w:val="right"/>
              <w:ind w:right="330"/>
              <w:spacing w:after="0"/>
              <w:rPr>
                <w:sz w:val="20"/>
                <w:szCs w:val="20"/>
                <w:color w:val="auto"/>
              </w:rPr>
            </w:pPr>
            <w:r>
              <w:rPr>
                <w:rFonts w:ascii="Calibri" w:cs="Calibri" w:eastAsia="Calibri" w:hAnsi="Calibri"/>
                <w:sz w:val="18"/>
                <w:szCs w:val="18"/>
                <w:b w:val="1"/>
                <w:bCs w:val="1"/>
                <w:color w:val="FFFFFF"/>
              </w:rPr>
              <w:t>FY24</w:t>
            </w:r>
          </w:p>
        </w:tc>
        <w:tc>
          <w:tcPr>
            <w:tcW w:w="1420" w:type="dxa"/>
            <w:vAlign w:val="bottom"/>
            <w:vMerge w:val="restart"/>
            <w:shd w:val="clear" w:color="auto" w:fill="000000"/>
          </w:tcPr>
          <w:p>
            <w:pPr>
              <w:jc w:val="right"/>
              <w:ind w:right="270"/>
              <w:spacing w:after="0"/>
              <w:rPr>
                <w:sz w:val="20"/>
                <w:szCs w:val="20"/>
                <w:color w:val="auto"/>
              </w:rPr>
            </w:pPr>
            <w:r>
              <w:rPr>
                <w:rFonts w:ascii="Calibri" w:cs="Calibri" w:eastAsia="Calibri" w:hAnsi="Calibri"/>
                <w:sz w:val="18"/>
                <w:szCs w:val="18"/>
                <w:b w:val="1"/>
                <w:bCs w:val="1"/>
                <w:color w:val="FFFFFF"/>
              </w:rPr>
              <w:t>FY23</w:t>
            </w:r>
          </w:p>
        </w:tc>
        <w:tc>
          <w:tcPr>
            <w:tcW w:w="1180" w:type="dxa"/>
            <w:vAlign w:val="bottom"/>
            <w:gridSpan w:val="2"/>
            <w:shd w:val="clear" w:color="auto" w:fill="000000"/>
          </w:tcPr>
          <w:p>
            <w:pPr>
              <w:jc w:val="right"/>
              <w:ind w:right="80"/>
              <w:spacing w:after="0"/>
              <w:rPr>
                <w:sz w:val="20"/>
                <w:szCs w:val="20"/>
                <w:color w:val="auto"/>
              </w:rPr>
            </w:pPr>
            <w:r>
              <w:rPr>
                <w:rFonts w:ascii="Calibri" w:cs="Calibri" w:eastAsia="Calibri" w:hAnsi="Calibri"/>
                <w:sz w:val="18"/>
                <w:szCs w:val="18"/>
                <w:b w:val="1"/>
                <w:bCs w:val="1"/>
                <w:color w:val="FFFFFF"/>
              </w:rPr>
              <w:t>Increase/</w:t>
            </w:r>
          </w:p>
        </w:tc>
        <w:tc>
          <w:tcPr>
            <w:tcW w:w="0" w:type="dxa"/>
            <w:vAlign w:val="bottom"/>
          </w:tcPr>
          <w:p>
            <w:pPr>
              <w:spacing w:after="0"/>
              <w:rPr>
                <w:sz w:val="1"/>
                <w:szCs w:val="1"/>
                <w:color w:val="auto"/>
              </w:rPr>
            </w:pPr>
          </w:p>
        </w:tc>
      </w:tr>
      <w:tr>
        <w:trPr>
          <w:trHeight w:val="107"/>
        </w:trPr>
        <w:tc>
          <w:tcPr>
            <w:tcW w:w="6380" w:type="dxa"/>
            <w:vAlign w:val="bottom"/>
            <w:vMerge w:val="continue"/>
            <w:shd w:val="clear" w:color="auto" w:fill="000000"/>
          </w:tcPr>
          <w:p>
            <w:pPr>
              <w:spacing w:after="0"/>
              <w:rPr>
                <w:sz w:val="9"/>
                <w:szCs w:val="9"/>
                <w:color w:val="auto"/>
              </w:rPr>
            </w:pPr>
          </w:p>
        </w:tc>
        <w:tc>
          <w:tcPr>
            <w:tcW w:w="1840" w:type="dxa"/>
            <w:vAlign w:val="bottom"/>
            <w:vMerge w:val="continue"/>
            <w:shd w:val="clear" w:color="auto" w:fill="000000"/>
          </w:tcPr>
          <w:p>
            <w:pPr>
              <w:spacing w:after="0"/>
              <w:rPr>
                <w:sz w:val="9"/>
                <w:szCs w:val="9"/>
                <w:color w:val="auto"/>
              </w:rPr>
            </w:pPr>
          </w:p>
        </w:tc>
        <w:tc>
          <w:tcPr>
            <w:tcW w:w="1420" w:type="dxa"/>
            <w:vAlign w:val="bottom"/>
            <w:vMerge w:val="continue"/>
            <w:shd w:val="clear" w:color="auto" w:fill="000000"/>
          </w:tcPr>
          <w:p>
            <w:pPr>
              <w:spacing w:after="0"/>
              <w:rPr>
                <w:sz w:val="9"/>
                <w:szCs w:val="9"/>
                <w:color w:val="auto"/>
              </w:rPr>
            </w:pPr>
          </w:p>
        </w:tc>
        <w:tc>
          <w:tcPr>
            <w:tcW w:w="1180" w:type="dxa"/>
            <w:vAlign w:val="bottom"/>
            <w:gridSpan w:val="2"/>
            <w:vMerge w:val="restart"/>
            <w:shd w:val="clear" w:color="auto" w:fill="000000"/>
          </w:tcPr>
          <w:p>
            <w:pPr>
              <w:jc w:val="right"/>
              <w:ind w:right="80"/>
              <w:spacing w:after="0" w:line="215" w:lineRule="exact"/>
              <w:rPr>
                <w:sz w:val="20"/>
                <w:szCs w:val="20"/>
                <w:color w:val="auto"/>
              </w:rPr>
            </w:pPr>
            <w:r>
              <w:rPr>
                <w:rFonts w:ascii="Calibri" w:cs="Calibri" w:eastAsia="Calibri" w:hAnsi="Calibri"/>
                <w:sz w:val="18"/>
                <w:szCs w:val="18"/>
                <w:b w:val="1"/>
                <w:bCs w:val="1"/>
                <w:color w:val="FFFFFF"/>
              </w:rPr>
              <w:t>(decrease)</w:t>
            </w:r>
          </w:p>
        </w:tc>
        <w:tc>
          <w:tcPr>
            <w:tcW w:w="0" w:type="dxa"/>
            <w:vAlign w:val="bottom"/>
          </w:tcPr>
          <w:p>
            <w:pPr>
              <w:spacing w:after="0"/>
              <w:rPr>
                <w:sz w:val="1"/>
                <w:szCs w:val="1"/>
                <w:color w:val="auto"/>
              </w:rPr>
            </w:pPr>
          </w:p>
        </w:tc>
      </w:tr>
      <w:tr>
        <w:trPr>
          <w:trHeight w:val="138"/>
        </w:trPr>
        <w:tc>
          <w:tcPr>
            <w:tcW w:w="6380" w:type="dxa"/>
            <w:vAlign w:val="bottom"/>
            <w:tcBorders>
              <w:bottom w:val="single" w:sz="8" w:color="auto"/>
            </w:tcBorders>
            <w:shd w:val="clear" w:color="auto" w:fill="000000"/>
          </w:tcPr>
          <w:p>
            <w:pPr>
              <w:spacing w:after="0"/>
              <w:rPr>
                <w:sz w:val="12"/>
                <w:szCs w:val="12"/>
                <w:color w:val="auto"/>
              </w:rPr>
            </w:pPr>
          </w:p>
        </w:tc>
        <w:tc>
          <w:tcPr>
            <w:tcW w:w="1840" w:type="dxa"/>
            <w:vAlign w:val="bottom"/>
            <w:tcBorders>
              <w:bottom w:val="single" w:sz="8" w:color="auto"/>
            </w:tcBorders>
            <w:shd w:val="clear" w:color="auto" w:fill="000000"/>
          </w:tcPr>
          <w:p>
            <w:pPr>
              <w:spacing w:after="0"/>
              <w:rPr>
                <w:sz w:val="12"/>
                <w:szCs w:val="12"/>
                <w:color w:val="auto"/>
              </w:rPr>
            </w:pPr>
          </w:p>
        </w:tc>
        <w:tc>
          <w:tcPr>
            <w:tcW w:w="1420" w:type="dxa"/>
            <w:vAlign w:val="bottom"/>
            <w:tcBorders>
              <w:bottom w:val="single" w:sz="8" w:color="auto"/>
            </w:tcBorders>
            <w:shd w:val="clear" w:color="auto" w:fill="000000"/>
          </w:tcPr>
          <w:p>
            <w:pPr>
              <w:spacing w:after="0"/>
              <w:rPr>
                <w:sz w:val="12"/>
                <w:szCs w:val="12"/>
                <w:color w:val="auto"/>
              </w:rPr>
            </w:pPr>
          </w:p>
        </w:tc>
        <w:tc>
          <w:tcPr>
            <w:tcW w:w="1180" w:type="dxa"/>
            <w:vAlign w:val="bottom"/>
            <w:tcBorders>
              <w:bottom w:val="single" w:sz="8" w:color="auto"/>
            </w:tcBorders>
            <w:gridSpan w:val="2"/>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6380" w:type="dxa"/>
            <w:vAlign w:val="bottom"/>
          </w:tcPr>
          <w:p>
            <w:pPr>
              <w:ind w:left="80"/>
              <w:spacing w:after="0"/>
              <w:rPr>
                <w:sz w:val="20"/>
                <w:szCs w:val="20"/>
                <w:color w:val="auto"/>
              </w:rPr>
            </w:pPr>
            <w:r>
              <w:rPr>
                <w:rFonts w:ascii="Calibri" w:cs="Calibri" w:eastAsia="Calibri" w:hAnsi="Calibri"/>
                <w:sz w:val="18"/>
                <w:szCs w:val="18"/>
                <w:color w:val="auto"/>
              </w:rPr>
              <w:t>Total revenues</w:t>
            </w:r>
            <w:r>
              <w:rPr>
                <w:rFonts w:ascii="Calibri" w:cs="Calibri" w:eastAsia="Calibri" w:hAnsi="Calibri"/>
                <w:sz w:val="23"/>
                <w:szCs w:val="23"/>
                <w:color w:val="auto"/>
                <w:vertAlign w:val="superscript"/>
              </w:rPr>
              <w:t>1</w:t>
            </w:r>
          </w:p>
        </w:tc>
        <w:tc>
          <w:tcPr>
            <w:tcW w:w="1840" w:type="dxa"/>
            <w:vAlign w:val="bottom"/>
          </w:tcPr>
          <w:p>
            <w:pPr>
              <w:jc w:val="right"/>
              <w:ind w:right="410"/>
              <w:spacing w:after="0"/>
              <w:rPr>
                <w:sz w:val="20"/>
                <w:szCs w:val="20"/>
                <w:color w:val="auto"/>
              </w:rPr>
            </w:pPr>
            <w:r>
              <w:rPr>
                <w:rFonts w:ascii="Calibri" w:cs="Calibri" w:eastAsia="Calibri" w:hAnsi="Calibri"/>
                <w:sz w:val="18"/>
                <w:szCs w:val="18"/>
                <w:color w:val="auto"/>
              </w:rPr>
              <w:t>$3490.2</w:t>
            </w:r>
          </w:p>
        </w:tc>
        <w:tc>
          <w:tcPr>
            <w:tcW w:w="1420" w:type="dxa"/>
            <w:vAlign w:val="bottom"/>
          </w:tcPr>
          <w:p>
            <w:pPr>
              <w:jc w:val="right"/>
              <w:ind w:right="370"/>
              <w:spacing w:after="0"/>
              <w:rPr>
                <w:sz w:val="20"/>
                <w:szCs w:val="20"/>
                <w:color w:val="auto"/>
              </w:rPr>
            </w:pPr>
            <w:r>
              <w:rPr>
                <w:rFonts w:ascii="Calibri" w:cs="Calibri" w:eastAsia="Calibri" w:hAnsi="Calibri"/>
                <w:sz w:val="18"/>
                <w:szCs w:val="18"/>
                <w:color w:val="auto"/>
              </w:rPr>
              <w:t>780.1</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347.4%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380" w:type="dxa"/>
            <w:vAlign w:val="bottom"/>
          </w:tcPr>
          <w:p>
            <w:pPr>
              <w:ind w:left="200"/>
              <w:spacing w:after="0"/>
              <w:rPr>
                <w:sz w:val="20"/>
                <w:szCs w:val="20"/>
                <w:color w:val="auto"/>
              </w:rPr>
            </w:pPr>
            <w:r>
              <w:rPr>
                <w:rFonts w:ascii="Calibri" w:cs="Calibri" w:eastAsia="Calibri" w:hAnsi="Calibri"/>
                <w:sz w:val="18"/>
                <w:szCs w:val="18"/>
                <w:color w:val="auto"/>
              </w:rPr>
              <w:t>Crypto costs and executon, clearing and brokerage fees</w:t>
            </w:r>
          </w:p>
        </w:tc>
        <w:tc>
          <w:tcPr>
            <w:tcW w:w="1840" w:type="dxa"/>
            <w:vAlign w:val="bottom"/>
          </w:tcPr>
          <w:p>
            <w:pPr>
              <w:jc w:val="right"/>
              <w:ind w:right="410"/>
              <w:spacing w:after="0"/>
              <w:rPr>
                <w:sz w:val="20"/>
                <w:szCs w:val="20"/>
                <w:color w:val="auto"/>
              </w:rPr>
            </w:pPr>
            <w:r>
              <w:rPr>
                <w:rFonts w:ascii="Calibri" w:cs="Calibri" w:eastAsia="Calibri" w:hAnsi="Calibri"/>
                <w:sz w:val="18"/>
                <w:szCs w:val="18"/>
                <w:color w:val="auto"/>
              </w:rPr>
              <w:t>3,427.2</w:t>
            </w:r>
          </w:p>
        </w:tc>
        <w:tc>
          <w:tcPr>
            <w:tcW w:w="1420" w:type="dxa"/>
            <w:vAlign w:val="bottom"/>
          </w:tcPr>
          <w:p>
            <w:pPr>
              <w:jc w:val="right"/>
              <w:ind w:right="370"/>
              <w:spacing w:after="0"/>
              <w:rPr>
                <w:sz w:val="20"/>
                <w:szCs w:val="20"/>
                <w:color w:val="auto"/>
              </w:rPr>
            </w:pPr>
            <w:r>
              <w:rPr>
                <w:rFonts w:ascii="Calibri" w:cs="Calibri" w:eastAsia="Calibri" w:hAnsi="Calibri"/>
                <w:sz w:val="18"/>
                <w:szCs w:val="18"/>
                <w:color w:val="auto"/>
              </w:rPr>
              <w:t>722.3</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374.5%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200"/>
              <w:spacing w:after="0"/>
              <w:rPr>
                <w:sz w:val="20"/>
                <w:szCs w:val="20"/>
                <w:color w:val="auto"/>
              </w:rPr>
            </w:pPr>
            <w:r>
              <w:rPr>
                <w:rFonts w:ascii="Calibri" w:cs="Calibri" w:eastAsia="Calibri" w:hAnsi="Calibri"/>
                <w:sz w:val="18"/>
                <w:szCs w:val="18"/>
                <w:color w:val="auto"/>
              </w:rPr>
              <w:t>Operatng expenses, excluding crypto costs and executon, clearing and brokerage</w:t>
            </w:r>
          </w:p>
        </w:tc>
        <w:tc>
          <w:tcPr>
            <w:tcW w:w="1840" w:type="dxa"/>
            <w:vAlign w:val="bottom"/>
            <w:vMerge w:val="restart"/>
          </w:tcPr>
          <w:p>
            <w:pPr>
              <w:jc w:val="right"/>
              <w:ind w:right="410"/>
              <w:spacing w:after="0"/>
              <w:rPr>
                <w:sz w:val="20"/>
                <w:szCs w:val="20"/>
                <w:color w:val="auto"/>
              </w:rPr>
            </w:pPr>
            <w:r>
              <w:rPr>
                <w:rFonts w:ascii="Calibri" w:cs="Calibri" w:eastAsia="Calibri" w:hAnsi="Calibri"/>
                <w:sz w:val="18"/>
                <w:szCs w:val="18"/>
                <w:color w:val="auto"/>
              </w:rPr>
              <w:t>155.9</w:t>
            </w: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line="216" w:lineRule="exact"/>
              <w:rPr>
                <w:sz w:val="20"/>
                <w:szCs w:val="20"/>
                <w:color w:val="auto"/>
              </w:rPr>
            </w:pPr>
            <w:r>
              <w:rPr>
                <w:rFonts w:ascii="Calibri" w:cs="Calibri" w:eastAsia="Calibri" w:hAnsi="Calibri"/>
                <w:sz w:val="18"/>
                <w:szCs w:val="18"/>
                <w:color w:val="auto"/>
              </w:rPr>
              <w:t>fees</w:t>
            </w:r>
          </w:p>
        </w:tc>
        <w:tc>
          <w:tcPr>
            <w:tcW w:w="1840" w:type="dxa"/>
            <w:vAlign w:val="bottom"/>
            <w:vMerge w:val="continue"/>
          </w:tcPr>
          <w:p>
            <w:pPr>
              <w:spacing w:after="0"/>
              <w:rPr>
                <w:sz w:val="18"/>
                <w:szCs w:val="18"/>
                <w:color w:val="auto"/>
              </w:rPr>
            </w:pPr>
          </w:p>
        </w:tc>
        <w:tc>
          <w:tcPr>
            <w:tcW w:w="1420" w:type="dxa"/>
            <w:vAlign w:val="bottom"/>
          </w:tcPr>
          <w:p>
            <w:pPr>
              <w:jc w:val="right"/>
              <w:ind w:right="370"/>
              <w:spacing w:after="0" w:line="216" w:lineRule="exact"/>
              <w:rPr>
                <w:sz w:val="20"/>
                <w:szCs w:val="20"/>
                <w:color w:val="auto"/>
              </w:rPr>
            </w:pPr>
            <w:r>
              <w:rPr>
                <w:rFonts w:ascii="Calibri" w:cs="Calibri" w:eastAsia="Calibri" w:hAnsi="Calibri"/>
                <w:sz w:val="18"/>
                <w:szCs w:val="18"/>
                <w:color w:val="auto"/>
              </w:rPr>
              <w:t>285.8</w:t>
            </w:r>
          </w:p>
        </w:tc>
        <w:tc>
          <w:tcPr>
            <w:tcW w:w="1080" w:type="dxa"/>
            <w:vAlign w:val="bottom"/>
          </w:tcPr>
          <w:p>
            <w:pPr>
              <w:jc w:val="right"/>
              <w:spacing w:after="0" w:line="216" w:lineRule="exact"/>
              <w:rPr>
                <w:sz w:val="20"/>
                <w:szCs w:val="20"/>
                <w:color w:val="auto"/>
              </w:rPr>
            </w:pPr>
            <w:r>
              <w:rPr>
                <w:rFonts w:ascii="Calibri" w:cs="Calibri" w:eastAsia="Calibri" w:hAnsi="Calibri"/>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38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380" w:type="dxa"/>
            <w:vAlign w:val="bottom"/>
          </w:tcPr>
          <w:p>
            <w:pPr>
              <w:ind w:left="80"/>
              <w:spacing w:after="0"/>
              <w:rPr>
                <w:sz w:val="20"/>
                <w:szCs w:val="20"/>
                <w:color w:val="auto"/>
              </w:rPr>
            </w:pPr>
            <w:r>
              <w:rPr>
                <w:rFonts w:ascii="Calibri" w:cs="Calibri" w:eastAsia="Calibri" w:hAnsi="Calibri"/>
                <w:sz w:val="18"/>
                <w:szCs w:val="18"/>
                <w:color w:val="auto"/>
              </w:rPr>
              <w:t>Total operatng expenses</w:t>
            </w:r>
          </w:p>
        </w:tc>
        <w:tc>
          <w:tcPr>
            <w:tcW w:w="1840" w:type="dxa"/>
            <w:vAlign w:val="bottom"/>
          </w:tcPr>
          <w:p>
            <w:pPr>
              <w:jc w:val="right"/>
              <w:ind w:right="410"/>
              <w:spacing w:after="0"/>
              <w:rPr>
                <w:sz w:val="20"/>
                <w:szCs w:val="20"/>
                <w:color w:val="auto"/>
              </w:rPr>
            </w:pPr>
            <w:r>
              <w:rPr>
                <w:rFonts w:ascii="Calibri" w:cs="Calibri" w:eastAsia="Calibri" w:hAnsi="Calibri"/>
                <w:sz w:val="18"/>
                <w:szCs w:val="18"/>
                <w:color w:val="auto"/>
              </w:rPr>
              <w:t>3,583.1</w:t>
            </w:r>
          </w:p>
        </w:tc>
        <w:tc>
          <w:tcPr>
            <w:tcW w:w="1420" w:type="dxa"/>
            <w:vAlign w:val="bottom"/>
          </w:tcPr>
          <w:p>
            <w:pPr>
              <w:jc w:val="right"/>
              <w:ind w:right="370"/>
              <w:spacing w:after="0"/>
              <w:rPr>
                <w:sz w:val="20"/>
                <w:szCs w:val="20"/>
                <w:color w:val="auto"/>
              </w:rPr>
            </w:pPr>
            <w:r>
              <w:rPr>
                <w:rFonts w:ascii="Calibri" w:cs="Calibri" w:eastAsia="Calibri" w:hAnsi="Calibri"/>
                <w:sz w:val="18"/>
                <w:szCs w:val="18"/>
                <w:color w:val="auto"/>
              </w:rPr>
              <w:t>1,008.0</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255.5%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6380" w:type="dxa"/>
            <w:vAlign w:val="bottom"/>
          </w:tcPr>
          <w:p>
            <w:pPr>
              <w:ind w:left="80"/>
              <w:spacing w:after="0"/>
              <w:rPr>
                <w:sz w:val="20"/>
                <w:szCs w:val="20"/>
                <w:color w:val="auto"/>
              </w:rPr>
            </w:pPr>
            <w:r>
              <w:rPr>
                <w:rFonts w:ascii="Calibri" w:cs="Calibri" w:eastAsia="Calibri" w:hAnsi="Calibri"/>
                <w:sz w:val="18"/>
                <w:szCs w:val="18"/>
                <w:color w:val="auto"/>
              </w:rPr>
              <w:t>Operatng loss</w:t>
            </w:r>
          </w:p>
        </w:tc>
        <w:tc>
          <w:tcPr>
            <w:tcW w:w="1840" w:type="dxa"/>
            <w:vAlign w:val="bottom"/>
          </w:tcPr>
          <w:p>
            <w:pPr>
              <w:jc w:val="right"/>
              <w:ind w:right="430"/>
              <w:spacing w:after="0"/>
              <w:rPr>
                <w:sz w:val="20"/>
                <w:szCs w:val="20"/>
                <w:color w:val="auto"/>
              </w:rPr>
            </w:pPr>
            <w:r>
              <w:rPr>
                <w:rFonts w:ascii="Calibri" w:cs="Calibri" w:eastAsia="Calibri" w:hAnsi="Calibri"/>
                <w:sz w:val="18"/>
                <w:szCs w:val="18"/>
                <w:color w:val="auto"/>
              </w:rPr>
              <w:t>(92.9)</w:t>
            </w:r>
          </w:p>
        </w:tc>
        <w:tc>
          <w:tcPr>
            <w:tcW w:w="1420" w:type="dxa"/>
            <w:vAlign w:val="bottom"/>
          </w:tcPr>
          <w:p>
            <w:pPr>
              <w:jc w:val="right"/>
              <w:ind w:right="370"/>
              <w:spacing w:after="0"/>
              <w:rPr>
                <w:sz w:val="20"/>
                <w:szCs w:val="20"/>
                <w:color w:val="auto"/>
              </w:rPr>
            </w:pPr>
            <w:r>
              <w:rPr>
                <w:rFonts w:ascii="Calibri" w:cs="Calibri" w:eastAsia="Calibri" w:hAnsi="Calibri"/>
                <w:sz w:val="18"/>
                <w:szCs w:val="18"/>
                <w:color w:val="auto"/>
              </w:rPr>
              <w:t>(227.9)</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380" w:type="dxa"/>
            <w:vAlign w:val="bottom"/>
          </w:tcPr>
          <w:p>
            <w:pPr>
              <w:ind w:left="80"/>
              <w:spacing w:after="0"/>
              <w:rPr>
                <w:sz w:val="20"/>
                <w:szCs w:val="20"/>
                <w:color w:val="auto"/>
              </w:rPr>
            </w:pPr>
            <w:r>
              <w:rPr>
                <w:rFonts w:ascii="Calibri" w:cs="Calibri" w:eastAsia="Calibri" w:hAnsi="Calibri"/>
                <w:sz w:val="18"/>
                <w:szCs w:val="18"/>
                <w:color w:val="auto"/>
              </w:rPr>
              <w:t>Net loss</w:t>
            </w:r>
          </w:p>
        </w:tc>
        <w:tc>
          <w:tcPr>
            <w:tcW w:w="1840" w:type="dxa"/>
            <w:vAlign w:val="bottom"/>
          </w:tcPr>
          <w:p>
            <w:pPr>
              <w:jc w:val="right"/>
              <w:ind w:right="430"/>
              <w:spacing w:after="0"/>
              <w:rPr>
                <w:sz w:val="20"/>
                <w:szCs w:val="20"/>
                <w:color w:val="auto"/>
              </w:rPr>
            </w:pPr>
            <w:r>
              <w:rPr>
                <w:rFonts w:ascii="Calibri" w:cs="Calibri" w:eastAsia="Calibri" w:hAnsi="Calibri"/>
                <w:sz w:val="18"/>
                <w:szCs w:val="18"/>
                <w:color w:val="auto"/>
              </w:rPr>
              <w:t>(103.4)</w:t>
            </w:r>
          </w:p>
        </w:tc>
        <w:tc>
          <w:tcPr>
            <w:tcW w:w="1420" w:type="dxa"/>
            <w:vAlign w:val="bottom"/>
          </w:tcPr>
          <w:p>
            <w:pPr>
              <w:jc w:val="right"/>
              <w:ind w:right="370"/>
              <w:spacing w:after="0"/>
              <w:rPr>
                <w:sz w:val="20"/>
                <w:szCs w:val="20"/>
                <w:color w:val="auto"/>
              </w:rPr>
            </w:pPr>
            <w:r>
              <w:rPr>
                <w:rFonts w:ascii="Calibri" w:cs="Calibri" w:eastAsia="Calibri" w:hAnsi="Calibri"/>
                <w:sz w:val="18"/>
                <w:szCs w:val="18"/>
                <w:color w:val="auto"/>
              </w:rPr>
              <w:t>(225.8)</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80" w:type="dxa"/>
            <w:vAlign w:val="bottom"/>
          </w:tcPr>
          <w:p>
            <w:pPr>
              <w:ind w:left="80"/>
              <w:spacing w:after="0"/>
              <w:rPr>
                <w:sz w:val="20"/>
                <w:szCs w:val="20"/>
                <w:color w:val="auto"/>
              </w:rPr>
            </w:pPr>
            <w:r>
              <w:rPr>
                <w:rFonts w:ascii="Calibri" w:cs="Calibri" w:eastAsia="Calibri" w:hAnsi="Calibri"/>
                <w:sz w:val="18"/>
                <w:szCs w:val="18"/>
                <w:color w:val="auto"/>
              </w:rPr>
              <w:t>Adjusted EBITDA loss (non-GAAP)</w:t>
            </w:r>
          </w:p>
        </w:tc>
        <w:tc>
          <w:tcPr>
            <w:tcW w:w="1840" w:type="dxa"/>
            <w:vAlign w:val="bottom"/>
          </w:tcPr>
          <w:p>
            <w:pPr>
              <w:jc w:val="right"/>
              <w:ind w:right="430"/>
              <w:spacing w:after="0"/>
              <w:rPr>
                <w:sz w:val="20"/>
                <w:szCs w:val="20"/>
                <w:color w:val="auto"/>
              </w:rPr>
            </w:pPr>
            <w:r>
              <w:rPr>
                <w:rFonts w:ascii="Calibri" w:cs="Calibri" w:eastAsia="Calibri" w:hAnsi="Calibri"/>
                <w:sz w:val="18"/>
                <w:szCs w:val="18"/>
                <w:color w:val="auto"/>
              </w:rPr>
              <w:t>($64.2)</w:t>
            </w:r>
          </w:p>
        </w:tc>
        <w:tc>
          <w:tcPr>
            <w:tcW w:w="1420" w:type="dxa"/>
            <w:vAlign w:val="bottom"/>
          </w:tcPr>
          <w:p>
            <w:pPr>
              <w:jc w:val="right"/>
              <w:ind w:right="370"/>
              <w:spacing w:after="0"/>
              <w:rPr>
                <w:sz w:val="20"/>
                <w:szCs w:val="20"/>
                <w:color w:val="auto"/>
              </w:rPr>
            </w:pPr>
            <w:r>
              <w:rPr>
                <w:rFonts w:ascii="Calibri" w:cs="Calibri" w:eastAsia="Calibri" w:hAnsi="Calibri"/>
                <w:sz w:val="18"/>
                <w:szCs w:val="18"/>
                <w:color w:val="auto"/>
              </w:rPr>
              <w:t>($93.9)</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63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Recent Operatonal Updates:</w:t>
      </w:r>
    </w:p>
    <w:p>
      <w:pPr>
        <w:ind w:left="640" w:hanging="308"/>
        <w:spacing w:after="0" w:line="238" w:lineRule="auto"/>
        <w:tabs>
          <w:tab w:leader="none" w:pos="64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Signed divestture of Bakkt Trust:</w:t>
      </w:r>
    </w:p>
    <w:p>
      <w:pPr>
        <w:spacing w:after="0" w:line="13" w:lineRule="exact"/>
        <w:rPr>
          <w:sz w:val="20"/>
          <w:szCs w:val="20"/>
          <w:color w:val="auto"/>
        </w:rPr>
      </w:pPr>
    </w:p>
    <w:p>
      <w:pPr>
        <w:ind w:left="1300" w:right="40" w:hanging="320"/>
        <w:spacing w:after="0" w:line="228" w:lineRule="auto"/>
        <w:tabs>
          <w:tab w:leader="none" w:pos="1300" w:val="left"/>
        </w:tabs>
        <w:numPr>
          <w:ilvl w:val="0"/>
          <w:numId w:val="7"/>
        </w:numPr>
        <w:rPr>
          <w:rFonts w:ascii="Courier New" w:cs="Courier New" w:eastAsia="Courier New" w:hAnsi="Courier New"/>
          <w:sz w:val="20"/>
          <w:szCs w:val="20"/>
          <w:color w:val="auto"/>
        </w:rPr>
      </w:pPr>
      <w:r>
        <w:rPr>
          <w:rFonts w:ascii="Calibri" w:cs="Calibri" w:eastAsia="Calibri" w:hAnsi="Calibri"/>
          <w:sz w:val="20"/>
          <w:szCs w:val="20"/>
          <w:color w:val="auto"/>
        </w:rPr>
        <w:t>Yesterday, Bakkt reached a defnitve agreement to sell its qualifed custodian subsidiary, Bakkt Trust Company, to ICE for cash consideraton of $1.5 million plus the assumpton of Bakkt Trust's regulatory capital requirement and certain operatng costs</w:t>
      </w:r>
    </w:p>
    <w:p>
      <w:pPr>
        <w:sectPr>
          <w:pgSz w:w="11900" w:h="16838" w:orient="portrait"/>
          <w:cols w:equalWidth="0" w:num="1">
            <w:col w:w="11200"/>
          </w:cols>
          <w:pgMar w:left="320" w:top="983" w:right="379" w:bottom="1440" w:gutter="0" w:footer="0" w:header="0"/>
        </w:sectPr>
      </w:pPr>
    </w:p>
    <w:bookmarkStart w:id="3" w:name="page4"/>
    <w:bookmarkEnd w:id="3"/>
    <w:p>
      <w:pPr>
        <w:ind w:left="1300" w:right="20"/>
        <w:spacing w:after="0" w:line="231" w:lineRule="auto"/>
        <w:rPr>
          <w:sz w:val="20"/>
          <w:szCs w:val="20"/>
          <w:color w:val="auto"/>
        </w:rPr>
      </w:pPr>
      <w:r>
        <w:rPr>
          <w:rFonts w:ascii="Calibri" w:cs="Calibri" w:eastAsia="Calibri" w:hAnsi="Calibri"/>
          <w:sz w:val="20"/>
          <w:szCs w:val="20"/>
          <w:color w:val="auto"/>
        </w:rPr>
        <w:t>of Bakkt Trust during the period between the signing of the purchase agreement and the closing of the transacton, subject to such closing. The closing of this transacton is subject to regulatory approval and other customary conditons. The divestture is expected to streamline operatons by reducing operatng expenses by $3.8 million annually and freeing up $3.0 million of capital held for regulatory reserves, allowing the Company to reinvest in its core crypto business, while maintaining seamless custody solutons for clients through a robust network of reputable custody providers.</w:t>
      </w:r>
    </w:p>
    <w:p>
      <w:pPr>
        <w:spacing w:after="0" w:line="1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Strategic alternatves for Loyalty:</w:t>
      </w:r>
    </w:p>
    <w:p>
      <w:pPr>
        <w:spacing w:after="0" w:line="12" w:lineRule="exact"/>
        <w:rPr>
          <w:sz w:val="20"/>
          <w:szCs w:val="20"/>
          <w:color w:val="auto"/>
        </w:rPr>
      </w:pPr>
    </w:p>
    <w:p>
      <w:pPr>
        <w:ind w:left="1300" w:right="260" w:hanging="320"/>
        <w:spacing w:after="0" w:line="224" w:lineRule="auto"/>
        <w:tabs>
          <w:tab w:leader="none" w:pos="1300" w:val="left"/>
        </w:tabs>
        <w:numPr>
          <w:ilvl w:val="1"/>
          <w:numId w:val="9"/>
        </w:numPr>
        <w:rPr>
          <w:rFonts w:ascii="Courier New" w:cs="Courier New" w:eastAsia="Courier New" w:hAnsi="Courier New"/>
          <w:sz w:val="20"/>
          <w:szCs w:val="20"/>
          <w:color w:val="auto"/>
        </w:rPr>
      </w:pPr>
      <w:r>
        <w:rPr>
          <w:rFonts w:ascii="Calibri" w:cs="Calibri" w:eastAsia="Calibri" w:hAnsi="Calibri"/>
          <w:sz w:val="20"/>
          <w:szCs w:val="20"/>
          <w:color w:val="auto"/>
        </w:rPr>
        <w:t>The Company also announced that it is exploring strategic alternatves, including a potental sale or wind-down, for its Loyalty business segment. This decision aligns with the Company's strategic realignment to focus resources on core crypto oferings.</w:t>
      </w:r>
    </w:p>
    <w:p>
      <w:pPr>
        <w:spacing w:after="0" w:line="12"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Webull:</w:t>
      </w:r>
    </w:p>
    <w:p>
      <w:pPr>
        <w:spacing w:after="0" w:line="11" w:lineRule="exact"/>
        <w:rPr>
          <w:rFonts w:ascii="Times New Roman" w:cs="Times New Roman" w:eastAsia="Times New Roman" w:hAnsi="Times New Roman"/>
          <w:sz w:val="20"/>
          <w:szCs w:val="20"/>
          <w:color w:val="auto"/>
        </w:rPr>
      </w:pPr>
    </w:p>
    <w:p>
      <w:pPr>
        <w:ind w:left="1300" w:right="120" w:hanging="320"/>
        <w:spacing w:after="0" w:line="230" w:lineRule="auto"/>
        <w:tabs>
          <w:tab w:leader="none" w:pos="1300" w:val="left"/>
        </w:tabs>
        <w:numPr>
          <w:ilvl w:val="1"/>
          <w:numId w:val="9"/>
        </w:numPr>
        <w:rPr>
          <w:rFonts w:ascii="Courier New" w:cs="Courier New" w:eastAsia="Courier New" w:hAnsi="Courier New"/>
          <w:sz w:val="20"/>
          <w:szCs w:val="20"/>
          <w:color w:val="auto"/>
        </w:rPr>
      </w:pPr>
      <w:r>
        <w:rPr>
          <w:rFonts w:ascii="Calibri" w:cs="Calibri" w:eastAsia="Calibri" w:hAnsi="Calibri"/>
          <w:sz w:val="20"/>
          <w:szCs w:val="20"/>
          <w:color w:val="auto"/>
        </w:rPr>
        <w:t>Bakkt has been notfed by Webull that it will not be renewing its existng contract when it ends in mid-June 2025. This client, which represented 74% of Bakkt's crypto revenues in 2024, has scaled and evolved its business to run more of its own infrastructure and operatons. Bakkt is working closely with Webull to ensure a smooth transiton and exploring ways to contnue working together while executng on the Company’s strategy to diversify its client base and capture opportunites throughout the crypto ecosystem.</w:t>
      </w:r>
    </w:p>
    <w:p>
      <w:pPr>
        <w:spacing w:after="0" w:line="12"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Bank of America:</w:t>
      </w:r>
    </w:p>
    <w:p>
      <w:pPr>
        <w:spacing w:after="0" w:line="11" w:lineRule="exact"/>
        <w:rPr>
          <w:rFonts w:ascii="Times New Roman" w:cs="Times New Roman" w:eastAsia="Times New Roman" w:hAnsi="Times New Roman"/>
          <w:sz w:val="20"/>
          <w:szCs w:val="20"/>
          <w:color w:val="auto"/>
        </w:rPr>
      </w:pPr>
    </w:p>
    <w:p>
      <w:pPr>
        <w:ind w:left="1300" w:hanging="320"/>
        <w:spacing w:after="0" w:line="224" w:lineRule="auto"/>
        <w:tabs>
          <w:tab w:leader="none" w:pos="1300" w:val="left"/>
        </w:tabs>
        <w:numPr>
          <w:ilvl w:val="1"/>
          <w:numId w:val="9"/>
        </w:numPr>
        <w:rPr>
          <w:rFonts w:ascii="Courier New" w:cs="Courier New" w:eastAsia="Courier New" w:hAnsi="Courier New"/>
          <w:sz w:val="20"/>
          <w:szCs w:val="20"/>
          <w:color w:val="auto"/>
        </w:rPr>
      </w:pPr>
      <w:r>
        <w:rPr>
          <w:rFonts w:ascii="Calibri" w:cs="Calibri" w:eastAsia="Calibri" w:hAnsi="Calibri"/>
          <w:sz w:val="20"/>
          <w:szCs w:val="20"/>
          <w:color w:val="auto"/>
        </w:rPr>
        <w:t>Bakkt has also been notfed by Bank of America that it will not be renewing its commercial agreement for loyalty services, which is set to expire near the end of April 2025, subject to Bakkt’s obligaton to maintain services for up to a 12 month transiton period. Bank of America represented approximately 16% of Bakkt’s loyalty services revenue in 2024.</w:t>
      </w:r>
    </w:p>
    <w:p>
      <w:pPr>
        <w:spacing w:after="0" w:line="12"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Recent Trading Volume Increase:</w:t>
      </w:r>
    </w:p>
    <w:p>
      <w:pPr>
        <w:spacing w:after="0" w:line="11" w:lineRule="exact"/>
        <w:rPr>
          <w:rFonts w:ascii="Times New Roman" w:cs="Times New Roman" w:eastAsia="Times New Roman" w:hAnsi="Times New Roman"/>
          <w:sz w:val="20"/>
          <w:szCs w:val="20"/>
          <w:color w:val="auto"/>
        </w:rPr>
      </w:pPr>
    </w:p>
    <w:p>
      <w:pPr>
        <w:ind w:left="1300" w:hanging="320"/>
        <w:spacing w:after="0" w:line="228" w:lineRule="auto"/>
        <w:tabs>
          <w:tab w:leader="none" w:pos="1300" w:val="left"/>
        </w:tabs>
        <w:numPr>
          <w:ilvl w:val="1"/>
          <w:numId w:val="9"/>
        </w:numPr>
        <w:rPr>
          <w:rFonts w:ascii="Courier New" w:cs="Courier New" w:eastAsia="Courier New" w:hAnsi="Courier New"/>
          <w:sz w:val="20"/>
          <w:szCs w:val="20"/>
          <w:color w:val="auto"/>
        </w:rPr>
      </w:pPr>
      <w:r>
        <w:rPr>
          <w:rFonts w:ascii="Calibri" w:cs="Calibri" w:eastAsia="Calibri" w:hAnsi="Calibri"/>
          <w:sz w:val="20"/>
          <w:szCs w:val="20"/>
          <w:color w:val="auto"/>
        </w:rPr>
        <w:t>Bakkt achieved record notonal trading volume in Q4 2024, reaching $1.78 billion, up 465% from Q3 2024 and 778% year-over-year. The signifcant growth was driven by increased crypto adopton, strategic expansion of coin oferings, and improved market sentment amid rising cryptocurrency prices.</w:t>
      </w:r>
    </w:p>
    <w:p>
      <w:pPr>
        <w:spacing w:after="0" w:line="1" w:lineRule="exact"/>
        <w:rPr>
          <w:rFonts w:ascii="Courier New" w:cs="Courier New" w:eastAsia="Courier New" w:hAnsi="Courier New"/>
          <w:sz w:val="20"/>
          <w:szCs w:val="20"/>
          <w:color w:val="auto"/>
        </w:rPr>
      </w:pPr>
    </w:p>
    <w:p>
      <w:pPr>
        <w:ind w:left="640" w:hanging="308"/>
        <w:spacing w:after="0" w:line="238" w:lineRule="auto"/>
        <w:tabs>
          <w:tab w:leader="none" w:pos="64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BakktX Trading Integraton:</w:t>
      </w:r>
    </w:p>
    <w:p>
      <w:pPr>
        <w:spacing w:after="0" w:line="12" w:lineRule="exact"/>
        <w:rPr>
          <w:rFonts w:ascii="Times New Roman" w:cs="Times New Roman" w:eastAsia="Times New Roman" w:hAnsi="Times New Roman"/>
          <w:sz w:val="20"/>
          <w:szCs w:val="20"/>
          <w:color w:val="auto"/>
        </w:rPr>
      </w:pPr>
    </w:p>
    <w:p>
      <w:pPr>
        <w:ind w:left="1300" w:right="80" w:hanging="320"/>
        <w:spacing w:after="0" w:line="230" w:lineRule="auto"/>
        <w:tabs>
          <w:tab w:leader="none" w:pos="1300" w:val="left"/>
        </w:tabs>
        <w:numPr>
          <w:ilvl w:val="1"/>
          <w:numId w:val="9"/>
        </w:numPr>
        <w:rPr>
          <w:rFonts w:ascii="Courier New" w:cs="Courier New" w:eastAsia="Courier New" w:hAnsi="Courier New"/>
          <w:sz w:val="20"/>
          <w:szCs w:val="20"/>
          <w:color w:val="auto"/>
        </w:rPr>
      </w:pPr>
      <w:r>
        <w:rPr>
          <w:rFonts w:ascii="Calibri" w:cs="Calibri" w:eastAsia="Calibri" w:hAnsi="Calibri"/>
          <w:sz w:val="20"/>
          <w:szCs w:val="20"/>
          <w:color w:val="auto"/>
        </w:rPr>
        <w:t>Bakkt successfully integrated the high-performance trading infrastructure of BakktX across its oferings. This technology, originally developed for an insttutonal electronic communicatons network (ECN), now powers Bakkt Crypto Solutons' trading in all U.S. states excluding New York, where it is subject to regulatory approvals. This deployment of BakktX has facilitated Bakkt improving its efciency, reliability, and scalability, which enabled Bakkt to handle recent surges in trading volumes while maintaining 100% uptme. Given the immediate opportunity, Bakkt is leveraging this technology frst in the rapidly expanding U.S. retail crypto market, while it contnues to develop insttutonal integraton capabilites, like credit counterparty clearing partners.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First Quarter 2025 Guidance:</w:t>
      </w:r>
      <w:r>
        <w:rPr>
          <w:rFonts w:ascii="Calibri" w:cs="Calibri" w:eastAsia="Calibri" w:hAnsi="Calibri"/>
          <w:sz w:val="25"/>
          <w:szCs w:val="25"/>
          <w:b w:val="1"/>
          <w:bCs w:val="1"/>
          <w:color w:val="auto"/>
          <w:vertAlign w:val="superscript"/>
        </w:rPr>
        <w:t>2</w:t>
      </w:r>
    </w:p>
    <w:p>
      <w:pPr>
        <w:ind w:left="640" w:hanging="308"/>
        <w:spacing w:after="0" w:line="220" w:lineRule="auto"/>
        <w:tabs>
          <w:tab w:leader="none" w:pos="640" w:val="left"/>
        </w:tabs>
        <w:numPr>
          <w:ilvl w:val="0"/>
          <w:numId w:val="1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revenues of $1,043 million - $1,300 million</w:t>
      </w:r>
    </w:p>
    <w:p>
      <w:pPr>
        <w:ind w:left="1300" w:hanging="320"/>
        <w:spacing w:after="0" w:line="220" w:lineRule="auto"/>
        <w:tabs>
          <w:tab w:leader="none" w:pos="1300" w:val="left"/>
        </w:tabs>
        <w:numPr>
          <w:ilvl w:val="2"/>
          <w:numId w:val="11"/>
        </w:numPr>
        <w:rPr>
          <w:rFonts w:ascii="Courier New" w:cs="Courier New" w:eastAsia="Courier New" w:hAnsi="Courier New"/>
          <w:sz w:val="20"/>
          <w:szCs w:val="20"/>
          <w:color w:val="auto"/>
        </w:rPr>
      </w:pPr>
      <w:r>
        <w:rPr>
          <w:rFonts w:ascii="Calibri" w:cs="Calibri" w:eastAsia="Calibri" w:hAnsi="Calibri"/>
          <w:sz w:val="20"/>
          <w:szCs w:val="20"/>
          <w:color w:val="auto"/>
        </w:rPr>
        <w:t>Gross crypto revenues of $1,035 million - $1,290 million</w:t>
      </w:r>
    </w:p>
    <w:p>
      <w:pPr>
        <w:spacing w:after="0" w:line="47"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2"/>
          <w:numId w:val="11"/>
        </w:numPr>
        <w:rPr>
          <w:rFonts w:ascii="Courier New" w:cs="Courier New" w:eastAsia="Courier New" w:hAnsi="Courier New"/>
          <w:sz w:val="20"/>
          <w:szCs w:val="20"/>
          <w:color w:val="auto"/>
        </w:rPr>
      </w:pPr>
      <w:r>
        <w:rPr>
          <w:rFonts w:ascii="Calibri" w:cs="Calibri" w:eastAsia="Calibri" w:hAnsi="Calibri"/>
          <w:sz w:val="20"/>
          <w:szCs w:val="20"/>
          <w:color w:val="auto"/>
        </w:rPr>
        <w:t>Net loyalty revenues of $8.5 million - $9.9 million</w:t>
      </w:r>
    </w:p>
    <w:p>
      <w:pPr>
        <w:spacing w:after="0" w:line="73" w:lineRule="exact"/>
        <w:rPr>
          <w:rFonts w:ascii="Courier New" w:cs="Courier New" w:eastAsia="Courier New" w:hAnsi="Courier New"/>
          <w:sz w:val="20"/>
          <w:szCs w:val="20"/>
          <w:color w:val="auto"/>
        </w:rPr>
      </w:pPr>
    </w:p>
    <w:p>
      <w:pPr>
        <w:ind w:left="660" w:hanging="328"/>
        <w:spacing w:after="0" w:line="181" w:lineRule="auto"/>
        <w:tabs>
          <w:tab w:leader="none" w:pos="660" w:val="left"/>
        </w:tabs>
        <w:numPr>
          <w:ilvl w:val="1"/>
          <w:numId w:val="11"/>
        </w:numPr>
        <w:rPr>
          <w:rFonts w:ascii="Times New Roman" w:cs="Times New Roman" w:eastAsia="Times New Roman" w:hAnsi="Times New Roman"/>
          <w:sz w:val="22"/>
          <w:szCs w:val="22"/>
          <w:color w:val="auto"/>
        </w:rPr>
      </w:pPr>
      <w:r>
        <w:rPr>
          <w:rFonts w:ascii="Calibri" w:cs="Calibri" w:eastAsia="Calibri" w:hAnsi="Calibri"/>
          <w:sz w:val="20"/>
          <w:szCs w:val="20"/>
          <w:color w:val="auto"/>
        </w:rPr>
        <w:t>Crypto costs and executon, clearing, and brokerage fees of $1,031 million - $1,290 million</w:t>
      </w:r>
    </w:p>
    <w:p>
      <w:pPr>
        <w:spacing w:after="0" w:line="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11"/>
        </w:numPr>
        <w:rPr>
          <w:rFonts w:ascii="Times New Roman" w:cs="Times New Roman" w:eastAsia="Times New Roman" w:hAnsi="Times New Roman"/>
          <w:sz w:val="22"/>
          <w:szCs w:val="22"/>
          <w:color w:val="auto"/>
        </w:rPr>
      </w:pPr>
      <w:r>
        <w:rPr>
          <w:rFonts w:ascii="Calibri" w:cs="Calibri" w:eastAsia="Calibri" w:hAnsi="Calibri"/>
          <w:sz w:val="20"/>
          <w:szCs w:val="20"/>
          <w:color w:val="auto"/>
        </w:rPr>
        <w:t>End of quarter available cash and cash equivalents of $22 million - $26 million</w:t>
      </w:r>
    </w:p>
    <w:p>
      <w:pPr>
        <w:spacing w:after="0" w:line="256"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1"/>
        </w:numPr>
        <w:rPr>
          <w:rFonts w:ascii="Calibri" w:cs="Calibri" w:eastAsia="Calibri" w:hAnsi="Calibri"/>
          <w:sz w:val="13"/>
          <w:szCs w:val="13"/>
          <w:color w:val="auto"/>
        </w:rPr>
      </w:pPr>
      <w:r>
        <w:rPr>
          <w:rFonts w:ascii="Calibri" w:cs="Calibri" w:eastAsia="Calibri" w:hAnsi="Calibri"/>
          <w:sz w:val="13"/>
          <w:szCs w:val="13"/>
          <w:color w:val="auto"/>
        </w:rPr>
        <w:t>In accordance with GAAP, crypto services revenue and crypto costs and executon, clearing and brokerage fees are presented on a gross basis as the Company is a principal in those transactons.</w:t>
      </w:r>
    </w:p>
    <w:p>
      <w:pPr>
        <w:spacing w:after="0" w:line="246" w:lineRule="exact"/>
        <w:rPr>
          <w:rFonts w:ascii="Calibri" w:cs="Calibri" w:eastAsia="Calibri" w:hAnsi="Calibri"/>
          <w:sz w:val="13"/>
          <w:szCs w:val="13"/>
          <w:color w:val="auto"/>
        </w:rPr>
      </w:pPr>
    </w:p>
    <w:p>
      <w:pPr>
        <w:jc w:val="both"/>
        <w:ind w:right="480" w:firstLine="8"/>
        <w:spacing w:after="0" w:line="245" w:lineRule="auto"/>
        <w:tabs>
          <w:tab w:leader="none" w:pos="133" w:val="left"/>
        </w:tabs>
        <w:numPr>
          <w:ilvl w:val="0"/>
          <w:numId w:val="11"/>
        </w:numPr>
        <w:rPr>
          <w:rFonts w:ascii="Calibri" w:cs="Calibri" w:eastAsia="Calibri" w:hAnsi="Calibri"/>
          <w:sz w:val="13"/>
          <w:szCs w:val="13"/>
          <w:color w:val="auto"/>
        </w:rPr>
      </w:pPr>
      <w:r>
        <w:rPr>
          <w:rFonts w:ascii="Calibri" w:cs="Calibri" w:eastAsia="Calibri" w:hAnsi="Calibri"/>
          <w:sz w:val="13"/>
          <w:szCs w:val="13"/>
          <w:color w:val="auto"/>
        </w:rPr>
        <w:t xml:space="preserve">Bakkt expects to provide a quarterly outlook moving forward, which aligns to industry standards given the volatle nature of crypto. All approximate values, given under the following updated key assumptons: </w:t>
      </w:r>
      <w:r>
        <w:rPr>
          <w:rFonts w:ascii="Calibri" w:cs="Calibri" w:eastAsia="Calibri" w:hAnsi="Calibri"/>
          <w:sz w:val="13"/>
          <w:szCs w:val="13"/>
          <w:i w:val="1"/>
          <w:iCs w:val="1"/>
          <w:color w:val="auto"/>
        </w:rPr>
        <w:t>Revenues, Crypto Costs and Executon, Clearing and Brokerage (“ECB”)</w:t>
      </w:r>
      <w:r>
        <w:rPr>
          <w:rFonts w:ascii="Calibri" w:cs="Calibri" w:eastAsia="Calibri" w:hAnsi="Calibri"/>
          <w:sz w:val="13"/>
          <w:szCs w:val="13"/>
          <w:color w:val="auto"/>
        </w:rPr>
        <w:t xml:space="preserve"> - revenue contributon from existng clients/accounts based on average of Jan’25 and Feb’25 retail trading levels</w:t>
      </w:r>
    </w:p>
    <w:p>
      <w:pPr>
        <w:spacing w:after="0" w:line="13" w:lineRule="exact"/>
        <w:rPr>
          <w:rFonts w:ascii="Calibri" w:cs="Calibri" w:eastAsia="Calibri" w:hAnsi="Calibri"/>
          <w:sz w:val="13"/>
          <w:szCs w:val="13"/>
          <w:color w:val="auto"/>
        </w:rPr>
      </w:pPr>
    </w:p>
    <w:p>
      <w:pPr>
        <w:ind w:right="160"/>
        <w:spacing w:after="0" w:line="245" w:lineRule="auto"/>
        <w:rPr>
          <w:rFonts w:ascii="Calibri" w:cs="Calibri" w:eastAsia="Calibri" w:hAnsi="Calibri"/>
          <w:sz w:val="13"/>
          <w:szCs w:val="13"/>
          <w:color w:val="auto"/>
        </w:rPr>
      </w:pPr>
      <w:r>
        <w:rPr>
          <w:rFonts w:ascii="Calibri" w:cs="Calibri" w:eastAsia="Calibri" w:hAnsi="Calibri"/>
          <w:sz w:val="13"/>
          <w:szCs w:val="13"/>
          <w:color w:val="auto"/>
        </w:rPr>
        <w:t xml:space="preserve">engagement metrics and Crypto Costs and ECB in line with gross crypto revenue. </w:t>
      </w:r>
      <w:r>
        <w:rPr>
          <w:rFonts w:ascii="Calibri" w:cs="Calibri" w:eastAsia="Calibri" w:hAnsi="Calibri"/>
          <w:sz w:val="13"/>
          <w:szCs w:val="13"/>
          <w:i w:val="1"/>
          <w:iCs w:val="1"/>
          <w:color w:val="auto"/>
        </w:rPr>
        <w:t>End of quarter cash, cash equivalents -</w:t>
      </w:r>
      <w:r>
        <w:rPr>
          <w:rFonts w:ascii="Calibri" w:cs="Calibri" w:eastAsia="Calibri" w:hAnsi="Calibri"/>
          <w:sz w:val="13"/>
          <w:szCs w:val="13"/>
          <w:color w:val="auto"/>
        </w:rPr>
        <w:t xml:space="preserve"> includes potental draws of up to $5 million of ICE line of credit by March 31, 2025 and does not include the sale consideraton or released capital from divestture of Custody as it is contngent on closing and regulatory approvals.</w:t>
      </w:r>
    </w:p>
    <w:p>
      <w:pPr>
        <w:sectPr>
          <w:pgSz w:w="11900" w:h="16838" w:orient="portrait"/>
          <w:cols w:equalWidth="0" w:num="1">
            <w:col w:w="11220"/>
          </w:cols>
          <w:pgMar w:left="320" w:top="993"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Webcast and Conference Call Informaton</w:t>
      </w:r>
    </w:p>
    <w:p>
      <w:pPr>
        <w:jc w:val="both"/>
        <w:ind w:right="220"/>
        <w:spacing w:after="0" w:line="230" w:lineRule="auto"/>
        <w:rPr>
          <w:sz w:val="20"/>
          <w:szCs w:val="20"/>
          <w:color w:val="auto"/>
        </w:rPr>
      </w:pPr>
      <w:r>
        <w:rPr>
          <w:rFonts w:ascii="Calibri" w:cs="Calibri" w:eastAsia="Calibri" w:hAnsi="Calibri"/>
          <w:sz w:val="20"/>
          <w:szCs w:val="20"/>
          <w:color w:val="auto"/>
        </w:rPr>
        <w:t xml:space="preserve">Bakkt will host a conference call at 8:30 AM ET, March 18, 2025. The earnings conference call will be webcast live </w:t>
      </w:r>
      <w:r>
        <w:rPr>
          <w:rFonts w:ascii="Calibri" w:cs="Calibri" w:eastAsia="Calibri" w:hAnsi="Calibri"/>
          <w:sz w:val="20"/>
          <w:szCs w:val="20"/>
          <w:u w:val="single" w:color="auto"/>
          <w:color w:val="467886"/>
        </w:rPr>
        <w:t>here</w:t>
      </w:r>
      <w:r>
        <w:rPr>
          <w:rFonts w:ascii="Calibri" w:cs="Calibri" w:eastAsia="Calibri" w:hAnsi="Calibri"/>
          <w:sz w:val="20"/>
          <w:szCs w:val="20"/>
          <w:color w:val="auto"/>
        </w:rPr>
        <w:t xml:space="preserve"> and archived on the investor relatons secton of Bakkt’s corporate website under the ‘Events &amp; Presentatons’ secton, along with any related earnings materials.</w:t>
      </w:r>
    </w:p>
    <w:p>
      <w:pPr>
        <w:spacing w:after="0" w:line="252" w:lineRule="exact"/>
        <w:rPr>
          <w:sz w:val="20"/>
          <w:szCs w:val="20"/>
          <w:color w:val="auto"/>
        </w:rPr>
      </w:pPr>
    </w:p>
    <w:p>
      <w:pPr>
        <w:ind w:right="880"/>
        <w:spacing w:after="0" w:line="234" w:lineRule="auto"/>
        <w:rPr>
          <w:sz w:val="20"/>
          <w:szCs w:val="20"/>
          <w:color w:val="auto"/>
        </w:rPr>
      </w:pPr>
      <w:r>
        <w:rPr>
          <w:rFonts w:ascii="Calibri" w:cs="Calibri" w:eastAsia="Calibri" w:hAnsi="Calibri"/>
          <w:sz w:val="20"/>
          <w:szCs w:val="20"/>
          <w:color w:val="auto"/>
        </w:rPr>
        <w:t>Investors and analysts interested in partcipatng in the call are invited to dial (833) 470-1428 or (404) 975-4839, and reference partcipant access code 796835 approximately ten minutes prior to the start of the call.</w:t>
      </w:r>
    </w:p>
    <w:p>
      <w:pPr>
        <w:jc w:val="center"/>
        <w:ind w:right="-19"/>
        <w:spacing w:after="0" w:line="226" w:lineRule="auto"/>
        <w:rPr>
          <w:sz w:val="20"/>
          <w:szCs w:val="20"/>
          <w:color w:val="auto"/>
        </w:rPr>
      </w:pPr>
      <w:r>
        <w:rPr>
          <w:rFonts w:ascii="Calibri" w:cs="Calibri" w:eastAsia="Calibri" w:hAnsi="Calibri"/>
          <w:sz w:val="20"/>
          <w:szCs w:val="20"/>
          <w:color w:val="auto"/>
        </w:rPr>
        <w:t>###</w:t>
      </w:r>
    </w:p>
    <w:p>
      <w:pPr>
        <w:spacing w:after="0"/>
        <w:rPr>
          <w:sz w:val="20"/>
          <w:szCs w:val="20"/>
          <w:color w:val="auto"/>
        </w:rPr>
      </w:pPr>
      <w:r>
        <w:rPr>
          <w:rFonts w:ascii="Calibri" w:cs="Calibri" w:eastAsia="Calibri" w:hAnsi="Calibri"/>
          <w:sz w:val="20"/>
          <w:szCs w:val="20"/>
          <w:b w:val="1"/>
          <w:bCs w:val="1"/>
          <w:color w:val="auto"/>
        </w:rPr>
        <w:t>About Bakkt</w:t>
      </w:r>
    </w:p>
    <w:p>
      <w:pPr>
        <w:ind w:right="240"/>
        <w:spacing w:after="0" w:line="232" w:lineRule="auto"/>
        <w:rPr>
          <w:sz w:val="20"/>
          <w:szCs w:val="20"/>
          <w:color w:val="auto"/>
        </w:rPr>
      </w:pPr>
      <w:r>
        <w:rPr>
          <w:rFonts w:ascii="Calibri" w:cs="Calibri" w:eastAsia="Calibri" w:hAnsi="Calibri"/>
          <w:sz w:val="20"/>
          <w:szCs w:val="20"/>
          <w:color w:val="auto"/>
        </w:rPr>
        <w:t>Founded in 2018, Bakkt builds solutons that enable our clients to grow with the crypto economy. Through insttutonal-grade custody, trading, and onramp capabilites, our clients leverage technology that’s built for sustainable, long-term involvement in crypto.</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Bakkt is headquartered in Alphareta, GA. For more informaton, visit: </w:t>
      </w:r>
      <w:r>
        <w:rPr>
          <w:rFonts w:ascii="Calibri" w:cs="Calibri" w:eastAsia="Calibri" w:hAnsi="Calibri"/>
          <w:sz w:val="20"/>
          <w:szCs w:val="20"/>
          <w:u w:val="single" w:color="auto"/>
          <w:color w:val="467886"/>
        </w:rPr>
        <w:t>htps://www.bakkt.com/</w:t>
      </w:r>
      <w:r>
        <w:rPr>
          <w:rFonts w:ascii="Calibri" w:cs="Calibri" w:eastAsia="Calibri" w:hAnsi="Calibri"/>
          <w:sz w:val="20"/>
          <w:szCs w:val="20"/>
          <w:color w:val="auto"/>
        </w:rPr>
        <w:t xml:space="preserve"> |</w:t>
      </w:r>
    </w:p>
    <w:p>
      <w:pPr>
        <w:spacing w:after="0" w:line="225" w:lineRule="auto"/>
        <w:rPr>
          <w:sz w:val="20"/>
          <w:szCs w:val="20"/>
          <w:color w:val="auto"/>
        </w:rPr>
      </w:pPr>
      <w:r>
        <w:rPr>
          <w:rFonts w:ascii="Calibri" w:cs="Calibri" w:eastAsia="Calibri" w:hAnsi="Calibri"/>
          <w:sz w:val="20"/>
          <w:szCs w:val="20"/>
          <w:color w:val="auto"/>
        </w:rPr>
        <w:t xml:space="preserve">X (Formerly Twiter) </w:t>
      </w:r>
      <w:r>
        <w:rPr>
          <w:rFonts w:ascii="Calibri" w:cs="Calibri" w:eastAsia="Calibri" w:hAnsi="Calibri"/>
          <w:sz w:val="20"/>
          <w:szCs w:val="20"/>
          <w:u w:val="single" w:color="auto"/>
          <w:color w:val="467886"/>
        </w:rPr>
        <w:t>@Bakkt</w:t>
      </w:r>
      <w:r>
        <w:rPr>
          <w:rFonts w:ascii="Calibri" w:cs="Calibri" w:eastAsia="Calibri" w:hAnsi="Calibri"/>
          <w:sz w:val="20"/>
          <w:szCs w:val="20"/>
          <w:color w:val="auto"/>
        </w:rPr>
        <w:t xml:space="preserve"> | LinkedIn </w:t>
      </w:r>
      <w:r>
        <w:rPr>
          <w:rFonts w:ascii="Calibri" w:cs="Calibri" w:eastAsia="Calibri" w:hAnsi="Calibri"/>
          <w:sz w:val="20"/>
          <w:szCs w:val="20"/>
          <w:u w:val="single" w:color="auto"/>
          <w:color w:val="467886"/>
        </w:rPr>
        <w:t>htps://www.linkedin.com/company/bakkt/</w:t>
      </w:r>
      <w:r>
        <w:rPr>
          <w:rFonts w:ascii="Calibri" w:cs="Calibri" w:eastAsia="Calibri" w:hAnsi="Calibri"/>
          <w:sz w:val="20"/>
          <w:szCs w:val="20"/>
          <w:color w:val="auto"/>
        </w:rPr>
        <w:t>.</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color w:val="auto"/>
        </w:rPr>
        <w:t>Bakkt-E</w:t>
      </w:r>
    </w:p>
    <w:p>
      <w:pPr>
        <w:spacing w:after="0" w:line="232" w:lineRule="auto"/>
        <w:rPr>
          <w:sz w:val="20"/>
          <w:szCs w:val="20"/>
          <w:color w:val="auto"/>
        </w:rPr>
      </w:pPr>
      <w:r>
        <w:rPr>
          <w:rFonts w:ascii="Calibri" w:cs="Calibri" w:eastAsia="Calibri" w:hAnsi="Calibri"/>
          <w:sz w:val="16"/>
          <w:szCs w:val="16"/>
          <w:i w:val="1"/>
          <w:iCs w:val="1"/>
          <w:color w:val="auto"/>
        </w:rPr>
        <w:t>Source: Bakkt Holdings, Inc.</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225" w:lineRule="auto"/>
        <w:rPr>
          <w:sz w:val="20"/>
          <w:szCs w:val="20"/>
          <w:color w:val="auto"/>
        </w:rPr>
      </w:pPr>
      <w:r>
        <w:rPr>
          <w:rFonts w:ascii="Calibri" w:cs="Calibri" w:eastAsia="Calibri" w:hAnsi="Calibri"/>
          <w:sz w:val="20"/>
          <w:szCs w:val="20"/>
          <w:b w:val="1"/>
          <w:bCs w:val="1"/>
          <w:color w:val="auto"/>
        </w:rPr>
        <w:t>Investor Relatons</w:t>
      </w:r>
    </w:p>
    <w:p>
      <w:pPr>
        <w:spacing w:after="0"/>
        <w:rPr>
          <w:sz w:val="20"/>
          <w:szCs w:val="20"/>
          <w:color w:val="auto"/>
        </w:rPr>
      </w:pPr>
      <w:r>
        <w:rPr>
          <w:rFonts w:ascii="Calibri" w:cs="Calibri" w:eastAsia="Calibri" w:hAnsi="Calibri"/>
          <w:sz w:val="20"/>
          <w:szCs w:val="20"/>
          <w:u w:val="single" w:color="auto"/>
          <w:color w:val="467886"/>
        </w:rPr>
        <w:t>IR@bakkt.com</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w:t>
      </w:r>
    </w:p>
    <w:p>
      <w:pPr>
        <w:spacing w:after="0" w:line="238" w:lineRule="auto"/>
        <w:rPr>
          <w:sz w:val="20"/>
          <w:szCs w:val="20"/>
          <w:color w:val="auto"/>
        </w:rPr>
      </w:pPr>
      <w:r>
        <w:rPr>
          <w:rFonts w:ascii="Calibri" w:cs="Calibri" w:eastAsia="Calibri" w:hAnsi="Calibri"/>
          <w:sz w:val="20"/>
          <w:szCs w:val="20"/>
          <w:u w:val="single" w:color="auto"/>
          <w:color w:val="467886"/>
        </w:rPr>
        <w:t>press@bakkt.com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on Forward-Looking Statements</w:t>
      </w:r>
    </w:p>
    <w:p>
      <w:pPr>
        <w:spacing w:after="0" w:line="233" w:lineRule="auto"/>
        <w:rPr>
          <w:sz w:val="20"/>
          <w:szCs w:val="20"/>
          <w:color w:val="auto"/>
        </w:rPr>
      </w:pPr>
      <w:r>
        <w:rPr>
          <w:rFonts w:ascii="Calibri" w:cs="Calibri" w:eastAsia="Calibri" w:hAnsi="Calibri"/>
          <w:sz w:val="20"/>
          <w:szCs w:val="20"/>
          <w:color w:val="auto"/>
        </w:rPr>
        <w:t>This press release contains “forward-looking statements” within the meaning of Secton 27A of the Securites Act of 1933, as amended, and Secton 21E of the Securites Exchange Act of 1934, as amended. Such statements include, but are not limited to, Bakkt’s guidance and outlook, including for the frst quarter of 2025, and the trends and assumptons underlying such guidance and outlook, statements regarding BakktX and its expected potental future functonality, Bakkt’s strategic evaluaton of alternatves for its Loyalty business, Bakkt’s aims to become more crypto focused, Bakkt’s ability to contnue working with Webull, the expected impact to Bakkt’s business from its sale of Bakkt Trust Company, Bakkt’s plans and expectatons, including statements about new products and features, partnerships, joint ventures and growth, Bakkt’s expectatons regarding crypto market growth, including from the recent positve macro sentment and Bakkt serving as an industry leader, the regulatory environment for crypto currencies, and Bakkt’s beliefs regarding its ability to deliver value to its clients and shareholders, Bakkt’s plans to provide quarterly guidance going forward;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as a result of the following factors, among others: the conditons and events that raised substantal doubt about the Company’s ability to contnue as a going concern; the Company’s ability to grow and manage growth proftably; changes in the Company’s business strategy; the Company’s future capital requirements and sources and uses of cash, including funds to satsfy its liquidity needs and access the ICE line of credit; changes in the market in which the Company competes, including with respect to its compettve landscape, technology evoluton or changes in applicable laws or regulatons; changes in the markets that the Company targets; volatlity and disruptons in the crypto</w:t>
      </w:r>
    </w:p>
    <w:p>
      <w:pPr>
        <w:sectPr>
          <w:pgSz w:w="11900" w:h="16838" w:orient="portrait"/>
          <w:cols w:equalWidth="0" w:num="1">
            <w:col w:w="11240"/>
          </w:cols>
          <w:pgMar w:left="320" w:top="1226" w:right="339" w:bottom="1440" w:gutter="0" w:footer="0" w:header="0"/>
        </w:sectPr>
      </w:pPr>
    </w:p>
    <w:bookmarkStart w:id="5" w:name="page6"/>
    <w:bookmarkEnd w:id="5"/>
    <w:p>
      <w:pPr>
        <w:ind w:right="20"/>
        <w:spacing w:after="0" w:line="233" w:lineRule="auto"/>
        <w:rPr>
          <w:sz w:val="20"/>
          <w:szCs w:val="20"/>
          <w:color w:val="auto"/>
        </w:rPr>
      </w:pPr>
      <w:r>
        <w:rPr>
          <w:rFonts w:ascii="Calibri" w:cs="Calibri" w:eastAsia="Calibri" w:hAnsi="Calibri"/>
          <w:sz w:val="20"/>
          <w:szCs w:val="20"/>
          <w:color w:val="auto"/>
        </w:rPr>
        <w:t>market that subject the Company to additonal risks, including the risk that banks may not provide banking services to the Company and market sentments regarding crypto currencies; the possibility that the Company may be adversely afected by other macroeconomic, geopolitcal, business, and/or compettve factors; the Company’s ability to launch new services and products, including with the expected commercial partners, or to proftably expand into new markets and services; the Company’s ability to execute its growth strategies, including identfying and executng acquisitons and divesttures and the Company’s initatves to add new clients; the Company’s ability to maintain and grow its existng customer relatonships following Webull’s commercial agreement terminaton; the Company’s ability to reach defnitve agreements with its expected commercial counterpartes; the Company’s ability to achieve the expected benefts from the dispositon of Bakkt Trust Company and successfully complete a strategic transacton of the Loyalty business; the Company’s failure to comply with extensive government regulatons, oversight, licensure and appraisals; uncertain and evolving regulatory regime governing blockchain technologies and crypto; the Company’s ability to establish and maintain efectve internal controls and procedures; the exposure to any liability, protracted and costly litgaton or reputatonal damage relatng to the Company’s data security; the impact of any goodwill or other intangible assets impairments on the Company’s operatng results; the Company’s ability to maintain the listng of its securites on the New York Stock Exchange; and other risks and uncertaintes indicated in the Company’s flings with the Securites and Exchange Commission, including its most recent Annual Report on Form 10-K.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Defnitons</w:t>
      </w:r>
    </w:p>
    <w:p>
      <w:pPr>
        <w:spacing w:after="0" w:line="12" w:lineRule="exact"/>
        <w:rPr>
          <w:sz w:val="20"/>
          <w:szCs w:val="20"/>
          <w:color w:val="auto"/>
        </w:rPr>
      </w:pPr>
    </w:p>
    <w:p>
      <w:pPr>
        <w:ind w:left="320" w:hanging="231"/>
        <w:spacing w:after="0"/>
        <w:tabs>
          <w:tab w:leader="none" w:pos="3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Crypto-enabled accounts</w:t>
      </w:r>
      <w:r>
        <w:rPr>
          <w:rFonts w:ascii="Calibri" w:cs="Calibri" w:eastAsia="Calibri" w:hAnsi="Calibri"/>
          <w:sz w:val="20"/>
          <w:szCs w:val="20"/>
          <w:color w:val="auto"/>
        </w:rPr>
        <w:t>: total crypto accounts open.</w:t>
      </w:r>
    </w:p>
    <w:p>
      <w:pPr>
        <w:spacing w:after="0" w:line="22" w:lineRule="exact"/>
        <w:rPr>
          <w:rFonts w:ascii="Times New Roman" w:cs="Times New Roman" w:eastAsia="Times New Roman" w:hAnsi="Times New Roman"/>
          <w:sz w:val="20"/>
          <w:szCs w:val="20"/>
          <w:color w:val="auto"/>
        </w:rPr>
      </w:pPr>
    </w:p>
    <w:p>
      <w:pPr>
        <w:ind w:left="340" w:right="420" w:hanging="251"/>
        <w:spacing w:after="0" w:line="228" w:lineRule="auto"/>
        <w:tabs>
          <w:tab w:leader="none" w:pos="328"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Transactng accounts</w:t>
      </w:r>
      <w:r>
        <w:rPr>
          <w:rFonts w:ascii="Calibri" w:cs="Calibri" w:eastAsia="Calibri" w:hAnsi="Calibri"/>
          <w:sz w:val="20"/>
          <w:szCs w:val="20"/>
          <w:color w:val="auto"/>
        </w:rPr>
        <w:t>: unique accounts that perform at least one transacton across crypto buy/sell and loyalty redempton each month. Monthly fgures are de-duped for the month. Quarterly fgure represents sum of all months in the quarter.</w:t>
      </w:r>
    </w:p>
    <w:p>
      <w:pPr>
        <w:spacing w:after="0" w:line="22" w:lineRule="exact"/>
        <w:rPr>
          <w:rFonts w:ascii="Times New Roman" w:cs="Times New Roman" w:eastAsia="Times New Roman" w:hAnsi="Times New Roman"/>
          <w:sz w:val="20"/>
          <w:szCs w:val="20"/>
          <w:color w:val="auto"/>
        </w:rPr>
      </w:pPr>
    </w:p>
    <w:p>
      <w:pPr>
        <w:ind w:left="340" w:hanging="251"/>
        <w:spacing w:after="0" w:line="228" w:lineRule="auto"/>
        <w:tabs>
          <w:tab w:leader="none" w:pos="328"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Notonal traded volume</w:t>
      </w:r>
      <w:r>
        <w:rPr>
          <w:rFonts w:ascii="Calibri" w:cs="Calibri" w:eastAsia="Calibri" w:hAnsi="Calibri"/>
          <w:sz w:val="20"/>
          <w:szCs w:val="20"/>
          <w:color w:val="auto"/>
        </w:rPr>
        <w:t>: total notonal volume of transactons across crypto buy/sell and loyalty redempton. Figures represent gross values recorded as of order date.</w:t>
      </w:r>
    </w:p>
    <w:p>
      <w:pPr>
        <w:spacing w:after="0" w:line="22" w:lineRule="exact"/>
        <w:rPr>
          <w:rFonts w:ascii="Times New Roman" w:cs="Times New Roman" w:eastAsia="Times New Roman" w:hAnsi="Times New Roman"/>
          <w:sz w:val="20"/>
          <w:szCs w:val="20"/>
          <w:color w:val="auto"/>
        </w:rPr>
      </w:pPr>
    </w:p>
    <w:p>
      <w:pPr>
        <w:ind w:left="340" w:right="80" w:hanging="251"/>
        <w:spacing w:after="0" w:line="234" w:lineRule="auto"/>
        <w:tabs>
          <w:tab w:leader="none" w:pos="328"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Assets under custody</w:t>
      </w:r>
      <w:r>
        <w:rPr>
          <w:rFonts w:ascii="Calibri" w:cs="Calibri" w:eastAsia="Calibri" w:hAnsi="Calibri"/>
          <w:sz w:val="20"/>
          <w:szCs w:val="20"/>
          <w:color w:val="auto"/>
        </w:rPr>
        <w:t>: the sum of coin quanttes held by customers multplied by the fnal quote for each coin on the last day of the quarter.</w:t>
      </w:r>
    </w:p>
    <w:p>
      <w:pPr>
        <w:sectPr>
          <w:pgSz w:w="11900" w:h="16838" w:orient="portrait"/>
          <w:cols w:equalWidth="0" w:num="1">
            <w:col w:w="11200"/>
          </w:cols>
          <w:pgMar w:left="320" w:top="993" w:right="379" w:bottom="1440" w:gutter="0" w:footer="0" w:header="0"/>
        </w:sectPr>
      </w:pPr>
    </w:p>
    <w:bookmarkStart w:id="6" w:name="page7"/>
    <w:bookmarkEnd w:id="6"/>
    <w:p>
      <w:pPr>
        <w:jc w:val="center"/>
        <w:ind w:right="-320"/>
        <w:spacing w:after="0"/>
        <w:rPr>
          <w:sz w:val="20"/>
          <w:szCs w:val="20"/>
          <w:color w:val="auto"/>
        </w:rPr>
      </w:pPr>
      <w:r>
        <w:rPr>
          <w:rFonts w:ascii="Calibri" w:cs="Calibri" w:eastAsia="Calibri" w:hAnsi="Calibri"/>
          <w:sz w:val="20"/>
          <w:szCs w:val="20"/>
          <w:b w:val="1"/>
          <w:bCs w:val="1"/>
          <w:u w:val="single" w:color="auto"/>
          <w:color w:val="auto"/>
        </w:rPr>
        <w:t>Bakkt Q4 and Full Year 2024 Financial Statements</w:t>
      </w:r>
    </w:p>
    <w:p>
      <w:pPr>
        <w:spacing w:after="0" w:line="228" w:lineRule="exact"/>
        <w:rPr>
          <w:sz w:val="20"/>
          <w:szCs w:val="20"/>
          <w:color w:val="auto"/>
        </w:rPr>
      </w:pPr>
    </w:p>
    <w:p>
      <w:pPr>
        <w:jc w:val="center"/>
        <w:ind w:right="-320"/>
        <w:spacing w:after="0"/>
        <w:rPr>
          <w:sz w:val="20"/>
          <w:szCs w:val="20"/>
          <w:color w:val="auto"/>
        </w:rPr>
      </w:pPr>
      <w:r>
        <w:rPr>
          <w:rFonts w:ascii="Calibri" w:cs="Calibri" w:eastAsia="Calibri" w:hAnsi="Calibri"/>
          <w:sz w:val="20"/>
          <w:szCs w:val="20"/>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132080</wp:posOffset>
            </wp:positionV>
            <wp:extent cx="657479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171450"/>
                    </a:xfrm>
                    <a:prstGeom prst="rect">
                      <a:avLst/>
                    </a:prstGeom>
                    <a:noFill/>
                  </pic:spPr>
                </pic:pic>
              </a:graphicData>
            </a:graphic>
          </wp:anchor>
        </w:drawing>
      </w:r>
    </w:p>
    <w:p>
      <w:pPr>
        <w:sectPr>
          <w:pgSz w:w="11900" w:h="16838" w:orient="portrait"/>
          <w:cols w:equalWidth="0" w:num="1">
            <w:col w:w="10281"/>
          </w:cols>
          <w:pgMar w:left="639" w:top="983" w:right="979" w:bottom="1440" w:gutter="0" w:footer="0" w:header="0"/>
        </w:sectPr>
      </w:pPr>
    </w:p>
    <w:p>
      <w:pPr>
        <w:spacing w:after="0" w:line="230" w:lineRule="exact"/>
        <w:rPr>
          <w:sz w:val="20"/>
          <w:szCs w:val="20"/>
          <w:color w:val="auto"/>
        </w:rPr>
      </w:pPr>
    </w:p>
    <w:p>
      <w:pPr>
        <w:ind w:left="1" w:right="3660" w:hanging="1"/>
        <w:spacing w:after="0" w:line="329" w:lineRule="auto"/>
        <w:tabs>
          <w:tab w:leader="none" w:pos="120" w:val="left"/>
        </w:tabs>
        <w:numPr>
          <w:ilvl w:val="0"/>
          <w:numId w:val="13"/>
        </w:numPr>
        <w:rPr>
          <w:rFonts w:ascii="Calibri" w:cs="Calibri" w:eastAsia="Calibri" w:hAnsi="Calibri"/>
          <w:sz w:val="16"/>
          <w:szCs w:val="16"/>
          <w:b w:val="1"/>
          <w:bCs w:val="1"/>
          <w:color w:val="FFFFFF"/>
        </w:rPr>
      </w:pPr>
      <w:r>
        <w:rPr>
          <w:rFonts w:ascii="Calibri" w:cs="Calibri" w:eastAsia="Calibri" w:hAnsi="Calibri"/>
          <w:sz w:val="16"/>
          <w:szCs w:val="16"/>
          <w:b w:val="1"/>
          <w:bCs w:val="1"/>
          <w:color w:val="FFFFFF"/>
        </w:rPr>
        <w:t xml:space="preserve">in millions except per share data </w:t>
      </w:r>
      <w:r>
        <w:rPr>
          <w:rFonts w:ascii="Calibri" w:cs="Calibri" w:eastAsia="Calibri" w:hAnsi="Calibri"/>
          <w:sz w:val="16"/>
          <w:szCs w:val="16"/>
          <w:b w:val="1"/>
          <w:bCs w:val="1"/>
          <w:color w:val="000000"/>
        </w:rPr>
        <w:t>Assets</w:t>
      </w:r>
    </w:p>
    <w:p>
      <w:pPr>
        <w:spacing w:after="0" w:line="3"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Current assets</w:t>
      </w:r>
    </w:p>
    <w:p>
      <w:pPr>
        <w:spacing w:after="0" w:line="88"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Cash and cash equivalents</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Restricted cash</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Customer funds</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Available-for-sale securites</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Accounts receivable, net</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Prepaid insurance</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Other current assets</w:t>
      </w:r>
    </w:p>
    <w:p>
      <w:pPr>
        <w:spacing w:after="0" w:line="61" w:lineRule="exact"/>
        <w:rPr>
          <w:sz w:val="20"/>
          <w:szCs w:val="20"/>
          <w:color w:val="auto"/>
        </w:rPr>
      </w:pPr>
    </w:p>
    <w:p>
      <w:pPr>
        <w:ind w:left="141"/>
        <w:spacing w:after="0"/>
        <w:rPr>
          <w:sz w:val="20"/>
          <w:szCs w:val="20"/>
          <w:color w:val="auto"/>
        </w:rPr>
      </w:pPr>
      <w:r>
        <w:rPr>
          <w:rFonts w:ascii="Calibri" w:cs="Calibri" w:eastAsia="Calibri" w:hAnsi="Calibri"/>
          <w:sz w:val="16"/>
          <w:szCs w:val="16"/>
          <w:b w:val="1"/>
          <w:bCs w:val="1"/>
          <w:color w:val="auto"/>
        </w:rPr>
        <w:t>Total current assets</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Property, equipment and sofware, net</w:t>
      </w:r>
    </w:p>
    <w:p>
      <w:pPr>
        <w:spacing w:after="0" w:line="61"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Goodwill</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Intangible assets, net</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Deposits with clearinghouse</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Other assets</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b w:val="1"/>
          <w:bCs w:val="1"/>
          <w:color w:val="auto"/>
        </w:rPr>
        <w:t>Total assets</w:t>
      </w:r>
    </w:p>
    <w:p>
      <w:pPr>
        <w:spacing w:after="0" w:line="61" w:lineRule="exact"/>
        <w:rPr>
          <w:sz w:val="20"/>
          <w:szCs w:val="20"/>
          <w:color w:val="auto"/>
        </w:rPr>
      </w:pPr>
    </w:p>
    <w:p>
      <w:pPr>
        <w:ind w:left="1"/>
        <w:spacing w:after="0"/>
        <w:rPr>
          <w:sz w:val="20"/>
          <w:szCs w:val="20"/>
          <w:color w:val="auto"/>
        </w:rPr>
      </w:pPr>
      <w:r>
        <w:rPr>
          <w:rFonts w:ascii="Calibri" w:cs="Calibri" w:eastAsia="Calibri" w:hAnsi="Calibri"/>
          <w:sz w:val="16"/>
          <w:szCs w:val="16"/>
          <w:b w:val="1"/>
          <w:bCs w:val="1"/>
          <w:color w:val="auto"/>
        </w:rPr>
        <w:t>Liabilites and stockholders' equity</w:t>
      </w:r>
    </w:p>
    <w:p>
      <w:pPr>
        <w:spacing w:after="0" w:line="61"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Current liabilites</w:t>
      </w:r>
    </w:p>
    <w:p>
      <w:pPr>
        <w:spacing w:after="0" w:line="88"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Accounts payable and accrued liabilites</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Customer funds payable</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Deferred revenue, current</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Due to related party</w:t>
      </w:r>
    </w:p>
    <w:p>
      <w:pPr>
        <w:spacing w:after="0" w:line="75" w:lineRule="exact"/>
        <w:rPr>
          <w:sz w:val="20"/>
          <w:szCs w:val="20"/>
          <w:color w:val="auto"/>
        </w:rPr>
      </w:pPr>
    </w:p>
    <w:p>
      <w:pPr>
        <w:ind w:left="141"/>
        <w:spacing w:after="0"/>
        <w:rPr>
          <w:sz w:val="20"/>
          <w:szCs w:val="20"/>
          <w:color w:val="auto"/>
        </w:rPr>
      </w:pPr>
      <w:r>
        <w:rPr>
          <w:rFonts w:ascii="Calibri" w:cs="Calibri" w:eastAsia="Calibri" w:hAnsi="Calibri"/>
          <w:sz w:val="16"/>
          <w:szCs w:val="16"/>
          <w:color w:val="auto"/>
        </w:rPr>
        <w:t>Other current liabilites</w:t>
      </w:r>
    </w:p>
    <w:p>
      <w:pPr>
        <w:spacing w:after="0" w:line="61" w:lineRule="exact"/>
        <w:rPr>
          <w:sz w:val="20"/>
          <w:szCs w:val="20"/>
          <w:color w:val="auto"/>
        </w:rPr>
      </w:pPr>
    </w:p>
    <w:p>
      <w:pPr>
        <w:ind w:left="141"/>
        <w:spacing w:after="0"/>
        <w:rPr>
          <w:sz w:val="20"/>
          <w:szCs w:val="20"/>
          <w:color w:val="auto"/>
        </w:rPr>
      </w:pPr>
      <w:r>
        <w:rPr>
          <w:rFonts w:ascii="Calibri" w:cs="Calibri" w:eastAsia="Calibri" w:hAnsi="Calibri"/>
          <w:sz w:val="16"/>
          <w:szCs w:val="16"/>
          <w:b w:val="1"/>
          <w:bCs w:val="1"/>
          <w:color w:val="auto"/>
        </w:rPr>
        <w:t>Total current liabilites</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Deferred revenue, noncurrent</w:t>
      </w:r>
    </w:p>
    <w:p>
      <w:pPr>
        <w:spacing w:after="0" w:line="61"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Warrant liability</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Other noncurrent liabilites</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b w:val="1"/>
          <w:bCs w:val="1"/>
          <w:color w:val="auto"/>
        </w:rPr>
        <w:t>Total liabilites</w:t>
      </w:r>
    </w:p>
    <w:p>
      <w:pPr>
        <w:spacing w:after="0" w:line="61" w:lineRule="exact"/>
        <w:rPr>
          <w:sz w:val="20"/>
          <w:szCs w:val="20"/>
          <w:color w:val="auto"/>
        </w:rPr>
      </w:pPr>
    </w:p>
    <w:p>
      <w:pPr>
        <w:ind w:left="121"/>
        <w:spacing w:after="0"/>
        <w:rPr>
          <w:sz w:val="20"/>
          <w:szCs w:val="20"/>
          <w:color w:val="auto"/>
        </w:rPr>
      </w:pPr>
      <w:r>
        <w:rPr>
          <w:rFonts w:ascii="Calibri" w:cs="Calibri" w:eastAsia="Calibri" w:hAnsi="Calibri"/>
          <w:sz w:val="16"/>
          <w:szCs w:val="16"/>
          <w:b w:val="1"/>
          <w:bCs w:val="1"/>
          <w:color w:val="auto"/>
        </w:rPr>
        <w:t>Stockholders' equity</w:t>
      </w:r>
    </w:p>
    <w:p>
      <w:pPr>
        <w:spacing w:after="0" w:line="333" w:lineRule="exact"/>
        <w:rPr>
          <w:sz w:val="20"/>
          <w:szCs w:val="20"/>
          <w:color w:val="auto"/>
        </w:rPr>
      </w:pPr>
    </w:p>
    <w:p>
      <w:pPr>
        <w:ind w:left="1"/>
        <w:spacing w:after="0" w:line="246" w:lineRule="auto"/>
        <w:rPr>
          <w:sz w:val="20"/>
          <w:szCs w:val="20"/>
          <w:color w:val="auto"/>
        </w:rPr>
      </w:pPr>
      <w:r>
        <w:rPr>
          <w:rFonts w:ascii="Calibri" w:cs="Calibri" w:eastAsia="Calibri" w:hAnsi="Calibri"/>
          <w:sz w:val="16"/>
          <w:szCs w:val="16"/>
          <w:color w:val="auto"/>
        </w:rPr>
        <w:t>Class A Common Stock ($0.0001 par value, 30,000,000 shares authorized, 6,510,885 shares issued and outstanding as of 12/31/24 and 3,793,838 shares outstanding as of 12/31/23)</w:t>
      </w:r>
    </w:p>
    <w:p>
      <w:pPr>
        <w:spacing w:after="0" w:line="302" w:lineRule="exact"/>
        <w:rPr>
          <w:sz w:val="20"/>
          <w:szCs w:val="20"/>
          <w:color w:val="auto"/>
        </w:rPr>
      </w:pPr>
    </w:p>
    <w:p>
      <w:pPr>
        <w:ind w:left="1"/>
        <w:spacing w:after="0" w:line="263" w:lineRule="auto"/>
        <w:rPr>
          <w:sz w:val="20"/>
          <w:szCs w:val="20"/>
          <w:color w:val="auto"/>
        </w:rPr>
      </w:pPr>
      <w:r>
        <w:rPr>
          <w:rFonts w:ascii="Calibri" w:cs="Calibri" w:eastAsia="Calibri" w:hAnsi="Calibri"/>
          <w:sz w:val="16"/>
          <w:szCs w:val="16"/>
          <w:color w:val="auto"/>
        </w:rPr>
        <w:t>Class V Common Stock ($0.0001 par value, 10,000,000 shares authorized, 7,178,303 shares issued and outstanding as of 3/31/24 and 7,200,064 shares outstanding as of 12/31/23)</w:t>
      </w:r>
    </w:p>
    <w:p>
      <w:pPr>
        <w:spacing w:after="0" w:line="56"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Additonal paid-in capital</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Accumulated other comprehensive loss</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color w:val="auto"/>
        </w:rPr>
        <w:t>Accumulated defcit</w:t>
      </w:r>
    </w:p>
    <w:p>
      <w:pPr>
        <w:spacing w:after="0" w:line="88" w:lineRule="exact"/>
        <w:rPr>
          <w:sz w:val="20"/>
          <w:szCs w:val="20"/>
          <w:color w:val="auto"/>
        </w:rPr>
      </w:pPr>
    </w:p>
    <w:p>
      <w:pPr>
        <w:ind w:left="1"/>
        <w:spacing w:after="0"/>
        <w:rPr>
          <w:sz w:val="20"/>
          <w:szCs w:val="20"/>
          <w:color w:val="auto"/>
        </w:rPr>
      </w:pPr>
      <w:r>
        <w:rPr>
          <w:rFonts w:ascii="Calibri" w:cs="Calibri" w:eastAsia="Calibri" w:hAnsi="Calibri"/>
          <w:sz w:val="16"/>
          <w:szCs w:val="16"/>
          <w:b w:val="1"/>
          <w:bCs w:val="1"/>
          <w:color w:val="auto"/>
        </w:rPr>
        <w:t>Total stockholders' equity</w:t>
      </w:r>
    </w:p>
    <w:p>
      <w:pPr>
        <w:spacing w:after="0" w:line="88" w:lineRule="exact"/>
        <w:rPr>
          <w:sz w:val="20"/>
          <w:szCs w:val="20"/>
          <w:color w:val="auto"/>
        </w:rPr>
      </w:pPr>
    </w:p>
    <w:p>
      <w:pPr>
        <w:ind w:left="281"/>
        <w:spacing w:after="0"/>
        <w:rPr>
          <w:sz w:val="20"/>
          <w:szCs w:val="20"/>
          <w:color w:val="auto"/>
        </w:rPr>
      </w:pPr>
      <w:r>
        <w:rPr>
          <w:rFonts w:ascii="Calibri" w:cs="Calibri" w:eastAsia="Calibri" w:hAnsi="Calibri"/>
          <w:sz w:val="16"/>
          <w:szCs w:val="16"/>
          <w:color w:val="auto"/>
        </w:rPr>
        <w:t>Noncontrolling interest</w:t>
      </w:r>
    </w:p>
    <w:p>
      <w:pPr>
        <w:spacing w:after="0" w:line="75" w:lineRule="exact"/>
        <w:rPr>
          <w:sz w:val="20"/>
          <w:szCs w:val="20"/>
          <w:color w:val="auto"/>
        </w:rPr>
      </w:pPr>
    </w:p>
    <w:p>
      <w:pPr>
        <w:ind w:left="1"/>
        <w:spacing w:after="0"/>
        <w:rPr>
          <w:sz w:val="20"/>
          <w:szCs w:val="20"/>
          <w:color w:val="auto"/>
        </w:rPr>
      </w:pPr>
      <w:r>
        <w:rPr>
          <w:rFonts w:ascii="Calibri" w:cs="Calibri" w:eastAsia="Calibri" w:hAnsi="Calibri"/>
          <w:sz w:val="16"/>
          <w:szCs w:val="16"/>
          <w:b w:val="1"/>
          <w:bCs w:val="1"/>
          <w:color w:val="auto"/>
        </w:rPr>
        <w:t>Total equity</w:t>
      </w:r>
    </w:p>
    <w:p>
      <w:pPr>
        <w:spacing w:after="0" w:line="129" w:lineRule="exact"/>
        <w:rPr>
          <w:sz w:val="20"/>
          <w:szCs w:val="20"/>
          <w:color w:val="auto"/>
        </w:rPr>
      </w:pPr>
    </w:p>
    <w:p>
      <w:pPr>
        <w:ind w:left="1"/>
        <w:spacing w:after="0"/>
        <w:rPr>
          <w:sz w:val="20"/>
          <w:szCs w:val="20"/>
          <w:color w:val="auto"/>
        </w:rPr>
      </w:pPr>
      <w:r>
        <w:rPr>
          <w:rFonts w:ascii="Calibri" w:cs="Calibri" w:eastAsia="Calibri" w:hAnsi="Calibri"/>
          <w:sz w:val="16"/>
          <w:szCs w:val="16"/>
          <w:b w:val="1"/>
          <w:bCs w:val="1"/>
          <w:color w:val="auto"/>
        </w:rPr>
        <w:t>Total liabilites and stockholders' equity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FFFFFF"/>
              </w:rPr>
              <w:t>As of 12/31/24</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FFFFFF"/>
              </w:rPr>
              <w:t>As of 12/31/23</w:t>
            </w:r>
          </w:p>
        </w:tc>
      </w:tr>
      <w:tr>
        <w:trPr>
          <w:trHeight w:val="81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$39.0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$52.9</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24.9</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31.8</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88.6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32.9</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17.4</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24.6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29.7</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4.0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13.0</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2.7</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3.3</w:t>
            </w:r>
          </w:p>
        </w:tc>
      </w:tr>
      <w:tr>
        <w:trPr>
          <w:trHeight w:val="54"/>
        </w:trPr>
        <w:tc>
          <w:tcPr>
            <w:tcW w:w="2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196"/>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183.8</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181.1</w:t>
            </w:r>
          </w:p>
        </w:tc>
      </w:tr>
      <w:tr>
        <w:trPr>
          <w:trHeight w:val="257"/>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2.1</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0.1</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68.0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68.0</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2.9</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2.9</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0.2</w:t>
            </w:r>
          </w:p>
        </w:tc>
      </w:tr>
      <w:tr>
        <w:trPr>
          <w:trHeight w:val="283"/>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12.6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13.3</w:t>
            </w:r>
          </w:p>
        </w:tc>
      </w:tr>
      <w:tr>
        <w:trPr>
          <w:trHeight w:val="41"/>
        </w:trPr>
        <w:tc>
          <w:tcPr>
            <w:tcW w:w="2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6"/>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$269.4</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$265.3</w:t>
            </w:r>
          </w:p>
        </w:tc>
      </w:tr>
      <w:tr>
        <w:trPr>
          <w:trHeight w:val="41"/>
        </w:trPr>
        <w:tc>
          <w:tcPr>
            <w:tcW w:w="2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82"/>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$39.9</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$55.4</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88.6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32.9</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1.6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4.3</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2.4</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5.3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4.7</w:t>
            </w:r>
          </w:p>
        </w:tc>
      </w:tr>
      <w:tr>
        <w:trPr>
          <w:trHeight w:val="55"/>
        </w:trPr>
        <w:tc>
          <w:tcPr>
            <w:tcW w:w="2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195"/>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137.7</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100.5</w:t>
            </w:r>
          </w:p>
        </w:tc>
      </w:tr>
      <w:tr>
        <w:trPr>
          <w:trHeight w:val="256"/>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46.9</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2.4</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19.3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23.5</w:t>
            </w:r>
          </w:p>
        </w:tc>
      </w:tr>
      <w:tr>
        <w:trPr>
          <w:trHeight w:val="55"/>
        </w:trPr>
        <w:tc>
          <w:tcPr>
            <w:tcW w:w="2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09"/>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$206.5</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$129.6</w:t>
            </w:r>
          </w:p>
        </w:tc>
      </w:tr>
      <w:tr>
        <w:trPr>
          <w:trHeight w:val="972"/>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0.0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729"/>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0.0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256"/>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832.7</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799.7</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(0.8)</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(0.1)</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(798.0)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(751.3)</w:t>
            </w:r>
          </w:p>
        </w:tc>
      </w:tr>
      <w:tr>
        <w:trPr>
          <w:trHeight w:val="55"/>
        </w:trPr>
        <w:tc>
          <w:tcPr>
            <w:tcW w:w="2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09"/>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33.9</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48.3</w:t>
            </w:r>
          </w:p>
        </w:tc>
      </w:tr>
      <w:tr>
        <w:trPr>
          <w:trHeight w:val="270"/>
        </w:trPr>
        <w:tc>
          <w:tcPr>
            <w:tcW w:w="2520" w:type="dxa"/>
            <w:vAlign w:val="bottom"/>
          </w:tcPr>
          <w:p>
            <w:pPr>
              <w:jc w:val="right"/>
              <w:ind w:right="379"/>
              <w:spacing w:after="0"/>
              <w:rPr>
                <w:sz w:val="20"/>
                <w:szCs w:val="20"/>
                <w:color w:val="auto"/>
              </w:rPr>
            </w:pPr>
            <w:r>
              <w:rPr>
                <w:rFonts w:ascii="Calibri" w:cs="Calibri" w:eastAsia="Calibri" w:hAnsi="Calibri"/>
                <w:sz w:val="16"/>
                <w:szCs w:val="16"/>
                <w:color w:val="auto"/>
              </w:rPr>
              <w:t>29.0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87.4</w:t>
            </w:r>
          </w:p>
        </w:tc>
      </w:tr>
      <w:tr>
        <w:trPr>
          <w:trHeight w:val="55"/>
        </w:trPr>
        <w:tc>
          <w:tcPr>
            <w:tcW w:w="2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09"/>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62.9</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135.7</w:t>
            </w:r>
          </w:p>
        </w:tc>
      </w:tr>
      <w:tr>
        <w:trPr>
          <w:trHeight w:val="54"/>
        </w:trPr>
        <w:tc>
          <w:tcPr>
            <w:tcW w:w="2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0"/>
        </w:trPr>
        <w:tc>
          <w:tcPr>
            <w:tcW w:w="2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$269.4</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$265.3</w:t>
            </w:r>
          </w:p>
        </w:tc>
      </w:tr>
    </w:tbl>
    <w:p>
      <w:pPr>
        <w:sectPr>
          <w:pgSz w:w="11900" w:h="16838" w:orient="portrait"/>
          <w:cols w:equalWidth="0" w:num="2">
            <w:col w:w="5961" w:space="280"/>
            <w:col w:w="4040"/>
          </w:cols>
          <w:pgMar w:left="639" w:top="983" w:right="979" w:bottom="1440" w:gutter="0" w:footer="0" w:header="0"/>
          <w:type w:val="continuous"/>
        </w:sectPr>
      </w:pPr>
    </w:p>
    <w:bookmarkStart w:id="7" w:name="page8"/>
    <w:bookmarkEnd w:id="7"/>
    <w:p>
      <w:pPr>
        <w:jc w:val="center"/>
        <w:ind w:right="-259"/>
        <w:spacing w:after="0"/>
        <w:rPr>
          <w:sz w:val="20"/>
          <w:szCs w:val="20"/>
          <w:color w:val="auto"/>
        </w:rPr>
      </w:pPr>
      <w:r>
        <w:rPr>
          <w:rFonts w:ascii="Calibri" w:cs="Calibri" w:eastAsia="Calibri" w:hAnsi="Calibri"/>
          <w:sz w:val="20"/>
          <w:szCs w:val="20"/>
          <w:b w:val="1"/>
          <w:bCs w:val="1"/>
          <w:color w:val="auto"/>
        </w:rPr>
        <w:t>Consolidated Statements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132080</wp:posOffset>
            </wp:positionV>
            <wp:extent cx="66865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0" cy="171450"/>
                    </a:xfrm>
                    <a:prstGeom prst="rect">
                      <a:avLst/>
                    </a:prstGeom>
                    <a:noFill/>
                  </pic:spPr>
                </pic:pic>
              </a:graphicData>
            </a:graphic>
          </wp:anchor>
        </w:drawing>
      </w:r>
    </w:p>
    <w:p>
      <w:pPr>
        <w:sectPr>
          <w:pgSz w:w="11900" w:h="16838" w:orient="portrait"/>
          <w:cols w:equalWidth="0" w:num="1">
            <w:col w:w="10440"/>
          </w:cols>
          <w:pgMar w:left="600" w:top="1226" w:right="859" w:bottom="1440" w:gutter="0" w:footer="0" w:header="0"/>
        </w:sectPr>
      </w:pPr>
    </w:p>
    <w:p>
      <w:pPr>
        <w:spacing w:after="0" w:line="22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FFFFFF"/>
        </w:rPr>
        <w:t>$ in millions except per share data</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Revenues:</w:t>
      </w:r>
    </w:p>
    <w:p>
      <w:pPr>
        <w:spacing w:after="0" w:line="88"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Crypto services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Loyalty services, net</w:t>
      </w:r>
    </w:p>
    <w:p>
      <w:pPr>
        <w:spacing w:after="0" w:line="88" w:lineRule="exact"/>
        <w:rPr>
          <w:sz w:val="20"/>
          <w:szCs w:val="20"/>
          <w:color w:val="auto"/>
        </w:rPr>
      </w:pPr>
    </w:p>
    <w:p>
      <w:pPr>
        <w:ind w:left="440"/>
        <w:spacing w:after="0"/>
        <w:rPr>
          <w:sz w:val="20"/>
          <w:szCs w:val="20"/>
          <w:color w:val="auto"/>
        </w:rPr>
      </w:pPr>
      <w:r>
        <w:rPr>
          <w:rFonts w:ascii="Calibri" w:cs="Calibri" w:eastAsia="Calibri" w:hAnsi="Calibri"/>
          <w:sz w:val="16"/>
          <w:szCs w:val="16"/>
          <w:b w:val="1"/>
          <w:bCs w:val="1"/>
          <w:color w:val="auto"/>
        </w:rPr>
        <w:t>Total revenues</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color w:val="auto"/>
        </w:rPr>
        <w:t>Operatng expenses:</w:t>
      </w:r>
    </w:p>
    <w:p>
      <w:pPr>
        <w:spacing w:after="0" w:line="88"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Crypto costs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Executon, clearing and brokerage fees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Compensaton and benefts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Professional services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Technology and communicaton</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Selling, general and administratve</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Acquisiton-related expenses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Depreciaton and amortzaton</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Related party expenses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Goodwill and intangible asset impairments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Impairment of long-lived assets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Restructuring expenses</w:t>
      </w:r>
    </w:p>
    <w:p>
      <w:pPr>
        <w:spacing w:after="0" w:line="75"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Other operatng expenses</w:t>
      </w:r>
    </w:p>
    <w:p>
      <w:pPr>
        <w:spacing w:after="0" w:line="88" w:lineRule="exact"/>
        <w:rPr>
          <w:sz w:val="20"/>
          <w:szCs w:val="20"/>
          <w:color w:val="auto"/>
        </w:rPr>
      </w:pPr>
    </w:p>
    <w:p>
      <w:pPr>
        <w:ind w:left="440"/>
        <w:spacing w:after="0"/>
        <w:rPr>
          <w:sz w:val="20"/>
          <w:szCs w:val="20"/>
          <w:color w:val="auto"/>
        </w:rPr>
      </w:pPr>
      <w:r>
        <w:rPr>
          <w:rFonts w:ascii="Calibri" w:cs="Calibri" w:eastAsia="Calibri" w:hAnsi="Calibri"/>
          <w:sz w:val="16"/>
          <w:szCs w:val="16"/>
          <w:color w:val="auto"/>
        </w:rPr>
        <w:t>Total operatng expenses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Operatng loss</w:t>
      </w:r>
    </w:p>
    <w:p>
      <w:pPr>
        <w:spacing w:after="0" w:line="88"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Interest income, net</w:t>
      </w:r>
    </w:p>
    <w:p>
      <w:pPr>
        <w:spacing w:after="0" w:line="76" w:lineRule="exact"/>
        <w:rPr>
          <w:sz w:val="20"/>
          <w:szCs w:val="20"/>
          <w:color w:val="auto"/>
        </w:rPr>
      </w:pPr>
    </w:p>
    <w:p>
      <w:pPr>
        <w:ind w:left="120" w:right="980"/>
        <w:spacing w:after="0" w:line="329" w:lineRule="auto"/>
        <w:rPr>
          <w:sz w:val="20"/>
          <w:szCs w:val="20"/>
          <w:color w:val="auto"/>
        </w:rPr>
      </w:pPr>
      <w:r>
        <w:rPr>
          <w:rFonts w:ascii="Calibri" w:cs="Calibri" w:eastAsia="Calibri" w:hAnsi="Calibri"/>
          <w:sz w:val="16"/>
          <w:szCs w:val="16"/>
          <w:color w:val="auto"/>
        </w:rPr>
        <w:t>Loss from change in fair value of warrant liability Other (expense) income, net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Loss before income taxes</w:t>
      </w:r>
    </w:p>
    <w:p>
      <w:pPr>
        <w:spacing w:after="0" w:line="88"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Income tax (expense) beneft</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loss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Less: Net loss atributable to noncontrolling interest</w:t>
      </w:r>
    </w:p>
    <w:p>
      <w:pPr>
        <w:spacing w:after="0" w:line="10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loss atributable to Bakkt Holdings, Inc.</w:t>
      </w:r>
    </w:p>
    <w:p>
      <w:pPr>
        <w:spacing w:after="0" w:line="304" w:lineRule="exact"/>
        <w:rPr>
          <w:sz w:val="20"/>
          <w:szCs w:val="20"/>
          <w:color w:val="auto"/>
        </w:rPr>
      </w:pPr>
    </w:p>
    <w:p>
      <w:pPr>
        <w:spacing w:after="0"/>
        <w:rPr>
          <w:sz w:val="20"/>
          <w:szCs w:val="20"/>
          <w:color w:val="auto"/>
        </w:rPr>
      </w:pPr>
      <w:r>
        <w:rPr>
          <w:rFonts w:ascii="Calibri" w:cs="Calibri" w:eastAsia="Calibri" w:hAnsi="Calibri"/>
          <w:sz w:val="16"/>
          <w:szCs w:val="16"/>
          <w:color w:val="auto"/>
        </w:rPr>
        <w:t>Net loss per share atributable to Class A Common Stockholders</w:t>
      </w:r>
    </w:p>
    <w:p>
      <w:pPr>
        <w:spacing w:after="0" w:line="8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Basic</w:t>
      </w:r>
    </w:p>
    <w:p>
      <w:pPr>
        <w:spacing w:after="0" w:line="75"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Diluted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jc w:val="right"/>
              <w:ind w:right="359"/>
              <w:spacing w:after="0"/>
              <w:rPr>
                <w:sz w:val="20"/>
                <w:szCs w:val="20"/>
                <w:color w:val="auto"/>
              </w:rPr>
            </w:pPr>
            <w:r>
              <w:rPr>
                <w:rFonts w:ascii="Calibri" w:cs="Calibri" w:eastAsia="Calibri" w:hAnsi="Calibri"/>
                <w:sz w:val="16"/>
                <w:szCs w:val="16"/>
                <w:b w:val="1"/>
                <w:bCs w:val="1"/>
                <w:color w:val="FFFFFF"/>
              </w:rPr>
              <w:t>4Q24</w:t>
            </w:r>
          </w:p>
        </w:tc>
        <w:tc>
          <w:tcPr>
            <w:tcW w:w="1320" w:type="dxa"/>
            <w:vAlign w:val="bottom"/>
          </w:tcPr>
          <w:p>
            <w:pPr>
              <w:jc w:val="right"/>
              <w:ind w:right="319"/>
              <w:spacing w:after="0"/>
              <w:rPr>
                <w:sz w:val="20"/>
                <w:szCs w:val="20"/>
                <w:color w:val="auto"/>
              </w:rPr>
            </w:pPr>
            <w:r>
              <w:rPr>
                <w:rFonts w:ascii="Calibri" w:cs="Calibri" w:eastAsia="Calibri" w:hAnsi="Calibri"/>
                <w:sz w:val="16"/>
                <w:szCs w:val="16"/>
                <w:b w:val="1"/>
                <w:bCs w:val="1"/>
                <w:color w:val="FFFFFF"/>
              </w:rPr>
              <w:t>4Q23</w:t>
            </w:r>
          </w:p>
        </w:tc>
        <w:tc>
          <w:tcPr>
            <w:tcW w:w="1360" w:type="dxa"/>
            <w:vAlign w:val="bottom"/>
          </w:tcPr>
          <w:p>
            <w:pPr>
              <w:jc w:val="right"/>
              <w:ind w:right="319"/>
              <w:spacing w:after="0"/>
              <w:rPr>
                <w:sz w:val="20"/>
                <w:szCs w:val="20"/>
                <w:color w:val="auto"/>
              </w:rPr>
            </w:pPr>
            <w:r>
              <w:rPr>
                <w:rFonts w:ascii="Calibri" w:cs="Calibri" w:eastAsia="Calibri" w:hAnsi="Calibri"/>
                <w:sz w:val="16"/>
                <w:szCs w:val="16"/>
                <w:b w:val="1"/>
                <w:bCs w:val="1"/>
                <w:color w:val="FFFFFF"/>
              </w:rPr>
              <w:t>FY24</w:t>
            </w: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FFFFFF"/>
              </w:rPr>
              <w:t>FY23</w:t>
            </w:r>
          </w:p>
        </w:tc>
      </w:tr>
      <w:tr>
        <w:trPr>
          <w:trHeight w:val="54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$1,786.2</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$199.4</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$3,441.1</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$727.0</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11.1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15.1</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49.2</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53.1</w:t>
            </w:r>
          </w:p>
        </w:tc>
      </w:tr>
      <w:tr>
        <w:trPr>
          <w:trHeight w:val="54"/>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17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1,797.3</w:t>
            </w:r>
          </w:p>
        </w:tc>
        <w:tc>
          <w:tcPr>
            <w:tcW w:w="132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214.5</w:t>
            </w:r>
          </w:p>
        </w:tc>
        <w:tc>
          <w:tcPr>
            <w:tcW w:w="136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3,490.2</w:t>
            </w: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auto"/>
              </w:rPr>
              <w:t>780.1</w:t>
            </w:r>
          </w:p>
        </w:tc>
      </w:tr>
      <w:tr>
        <w:trPr>
          <w:trHeight w:val="54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1,766.7</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196.9</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3,403.2</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718.5</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12.8</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0.9</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24.0</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3.8</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15.2</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16.2</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83.2</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102.0</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4.2</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3.2</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16.8</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10.4</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4.1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5.2</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17.7</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20.8</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4.7</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11.7</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26.6</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33.4</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0.1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(12.8)</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0.1</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4.3</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0.1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3.1</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0.3</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13.9</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0.2</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0.8</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0.6</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3.9</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37.2</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60.5</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30.2</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0.9</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30.3</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0.7</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0.1</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8.2</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4.6</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0.4</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0.4</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1.5</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1.6</w:t>
            </w:r>
          </w:p>
        </w:tc>
      </w:tr>
      <w:tr>
        <w:trPr>
          <w:trHeight w:val="55"/>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1,809.0</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293.0</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3,583.1</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1,008.0</w:t>
            </w:r>
          </w:p>
        </w:tc>
      </w:tr>
      <w:tr>
        <w:trPr>
          <w:trHeight w:val="55"/>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17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(11.7)</w:t>
            </w:r>
          </w:p>
        </w:tc>
        <w:tc>
          <w:tcPr>
            <w:tcW w:w="132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(78.5)</w:t>
            </w:r>
          </w:p>
        </w:tc>
        <w:tc>
          <w:tcPr>
            <w:tcW w:w="136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(92.9)</w:t>
            </w: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auto"/>
              </w:rPr>
              <w:t>(227.9)</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0.8</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4.3</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4.3</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(31.1)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(0.7)</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(17.2)</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(1.6)</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1.4</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(0.3)</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2.5</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(0.2)</w:t>
            </w:r>
          </w:p>
        </w:tc>
      </w:tr>
      <w:tr>
        <w:trPr>
          <w:trHeight w:val="54"/>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17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(40.3)</w:t>
            </w:r>
          </w:p>
        </w:tc>
        <w:tc>
          <w:tcPr>
            <w:tcW w:w="132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(78.7)</w:t>
            </w:r>
          </w:p>
        </w:tc>
        <w:tc>
          <w:tcPr>
            <w:tcW w:w="136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(103.3)</w:t>
            </w: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auto"/>
              </w:rPr>
              <w:t>(225.4)</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(0.1)</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(0.0)</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(0.2)</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(0.4)</w:t>
            </w:r>
          </w:p>
        </w:tc>
      </w:tr>
      <w:tr>
        <w:trPr>
          <w:trHeight w:val="55"/>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17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(40.4)</w:t>
            </w:r>
          </w:p>
        </w:tc>
        <w:tc>
          <w:tcPr>
            <w:tcW w:w="132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(78.7)</w:t>
            </w:r>
          </w:p>
        </w:tc>
        <w:tc>
          <w:tcPr>
            <w:tcW w:w="136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(103.4)</w:t>
            </w: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auto"/>
              </w:rPr>
              <w:t>(225.8)</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(21.2)</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(52.0)</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(56.8)</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(151.0)</w:t>
            </w:r>
          </w:p>
        </w:tc>
      </w:tr>
      <w:tr>
        <w:trPr>
          <w:trHeight w:val="55"/>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174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($19.2)</w:t>
            </w:r>
          </w:p>
        </w:tc>
        <w:tc>
          <w:tcPr>
            <w:tcW w:w="132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($26.7)</w:t>
            </w:r>
          </w:p>
        </w:tc>
        <w:tc>
          <w:tcPr>
            <w:tcW w:w="136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($46.7)</w:t>
            </w: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auto"/>
              </w:rPr>
              <w:t>($74.9)</w:t>
            </w:r>
          </w:p>
        </w:tc>
      </w:tr>
      <w:tr>
        <w:trPr>
          <w:trHeight w:val="54"/>
        </w:trPr>
        <w:tc>
          <w:tcPr>
            <w:tcW w:w="1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82"/>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($2.95)</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($0.29)</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($7.97)</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($21.01)</w:t>
            </w:r>
          </w:p>
        </w:tc>
      </w:tr>
      <w:tr>
        <w:trPr>
          <w:trHeight w:val="270"/>
        </w:trPr>
        <w:tc>
          <w:tcPr>
            <w:tcW w:w="1740" w:type="dxa"/>
            <w:vAlign w:val="bottom"/>
          </w:tcPr>
          <w:p>
            <w:pPr>
              <w:jc w:val="right"/>
              <w:ind w:right="359"/>
              <w:spacing w:after="0"/>
              <w:rPr>
                <w:sz w:val="20"/>
                <w:szCs w:val="20"/>
                <w:color w:val="auto"/>
              </w:rPr>
            </w:pPr>
            <w:r>
              <w:rPr>
                <w:rFonts w:ascii="Calibri" w:cs="Calibri" w:eastAsia="Calibri" w:hAnsi="Calibri"/>
                <w:sz w:val="16"/>
                <w:szCs w:val="16"/>
                <w:color w:val="auto"/>
              </w:rPr>
              <w:t>($2.95)</w:t>
            </w:r>
          </w:p>
        </w:tc>
        <w:tc>
          <w:tcPr>
            <w:tcW w:w="1320" w:type="dxa"/>
            <w:vAlign w:val="bottom"/>
          </w:tcPr>
          <w:p>
            <w:pPr>
              <w:jc w:val="right"/>
              <w:ind w:right="319"/>
              <w:spacing w:after="0"/>
              <w:rPr>
                <w:sz w:val="20"/>
                <w:szCs w:val="20"/>
                <w:color w:val="auto"/>
              </w:rPr>
            </w:pPr>
            <w:r>
              <w:rPr>
                <w:rFonts w:ascii="Calibri" w:cs="Calibri" w:eastAsia="Calibri" w:hAnsi="Calibri"/>
                <w:sz w:val="16"/>
                <w:szCs w:val="16"/>
                <w:color w:val="auto"/>
              </w:rPr>
              <w:t>($0.29)</w:t>
            </w:r>
          </w:p>
        </w:tc>
        <w:tc>
          <w:tcPr>
            <w:tcW w:w="1360" w:type="dxa"/>
            <w:vAlign w:val="bottom"/>
          </w:tcPr>
          <w:p>
            <w:pPr>
              <w:jc w:val="right"/>
              <w:ind w:right="319"/>
              <w:spacing w:after="0"/>
              <w:rPr>
                <w:sz w:val="20"/>
                <w:szCs w:val="20"/>
                <w:color w:val="auto"/>
              </w:rPr>
            </w:pPr>
            <w:r>
              <w:rPr>
                <w:rFonts w:ascii="Calibri" w:cs="Calibri" w:eastAsia="Calibri" w:hAnsi="Calibri"/>
                <w:sz w:val="16"/>
                <w:szCs w:val="16"/>
                <w:color w:val="auto"/>
              </w:rPr>
              <w:t>($7.97)</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($21.01)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163195</wp:posOffset>
            </wp:positionV>
            <wp:extent cx="6686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ectPr>
          <w:pgSz w:w="11900" w:h="16838" w:orient="portrait"/>
          <w:cols w:equalWidth="0" w:num="2">
            <w:col w:w="4280" w:space="720"/>
            <w:col w:w="5440"/>
          </w:cols>
          <w:pgMar w:left="600" w:top="1226" w:right="859" w:bottom="1440" w:gutter="0" w:footer="0" w:header="0"/>
          <w:type w:val="continuous"/>
        </w:sectPr>
      </w:pPr>
    </w:p>
    <w:bookmarkStart w:id="8" w:name="page9"/>
    <w:bookmarkEnd w:id="8"/>
    <w:p>
      <w:pPr>
        <w:jc w:val="center"/>
        <w:ind w:right="-39"/>
        <w:spacing w:after="0"/>
        <w:rPr>
          <w:sz w:val="20"/>
          <w:szCs w:val="20"/>
          <w:color w:val="auto"/>
        </w:rPr>
      </w:pPr>
      <w:r>
        <w:rPr>
          <w:rFonts w:ascii="Calibri" w:cs="Calibri" w:eastAsia="Calibri" w:hAnsi="Calibri"/>
          <w:sz w:val="20"/>
          <w:szCs w:val="20"/>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192405</wp:posOffset>
            </wp:positionV>
            <wp:extent cx="701230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p>
      <w:pPr>
        <w:sectPr>
          <w:pgSz w:w="11900" w:h="16838" w:orient="portrait"/>
          <w:cols w:equalWidth="0" w:num="1">
            <w:col w:w="11000"/>
          </w:cols>
          <w:pgMar w:left="420" w:top="983" w:right="479" w:bottom="1440" w:gutter="0" w:footer="0" w:header="0"/>
        </w:sectPr>
      </w:pPr>
    </w:p>
    <w:p>
      <w:pPr>
        <w:spacing w:after="0" w:line="337" w:lineRule="exact"/>
        <w:rPr>
          <w:sz w:val="20"/>
          <w:szCs w:val="20"/>
          <w:color w:val="auto"/>
        </w:rPr>
      </w:pPr>
    </w:p>
    <w:p>
      <w:pPr>
        <w:ind w:left="40"/>
        <w:spacing w:after="0"/>
        <w:rPr>
          <w:sz w:val="20"/>
          <w:szCs w:val="20"/>
          <w:color w:val="auto"/>
        </w:rPr>
      </w:pPr>
      <w:r>
        <w:rPr>
          <w:rFonts w:ascii="Calibri" w:cs="Calibri" w:eastAsia="Calibri" w:hAnsi="Calibri"/>
          <w:sz w:val="16"/>
          <w:szCs w:val="16"/>
          <w:b w:val="1"/>
          <w:bCs w:val="1"/>
          <w:color w:val="FFFFFF"/>
        </w:rPr>
        <w:t>$ in millions</w:t>
      </w:r>
    </w:p>
    <w:p>
      <w:pPr>
        <w:spacing w:after="0" w:line="8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Cash fows from operatng actvites:</w:t>
      </w:r>
    </w:p>
    <w:p>
      <w:pPr>
        <w:spacing w:after="0" w:line="75"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Net loss</w:t>
      </w:r>
    </w:p>
    <w:p>
      <w:pPr>
        <w:spacing w:after="0" w:line="75"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Adjustments to reconcile net loss to net cash used in operatng actvites: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Depreciaton and amortzaton</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Change in fair value of contngent consideraton liability</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Non-cash lease expense</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Share-based compensaton expense</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Unit-based compensaton expense</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Forfeiture and cancellaton of common units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Deferred income taxes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Impairment of long-lived assets</w:t>
      </w:r>
    </w:p>
    <w:p>
      <w:pPr>
        <w:spacing w:after="0" w:line="77" w:lineRule="exact"/>
        <w:rPr>
          <w:sz w:val="20"/>
          <w:szCs w:val="20"/>
          <w:color w:val="auto"/>
        </w:rPr>
      </w:pPr>
    </w:p>
    <w:p>
      <w:pPr>
        <w:ind w:left="260" w:right="2080"/>
        <w:spacing w:after="0" w:line="329" w:lineRule="auto"/>
        <w:rPr>
          <w:sz w:val="20"/>
          <w:szCs w:val="20"/>
          <w:color w:val="auto"/>
        </w:rPr>
      </w:pPr>
      <w:r>
        <w:rPr>
          <w:rFonts w:ascii="Calibri" w:cs="Calibri" w:eastAsia="Calibri" w:hAnsi="Calibri"/>
          <w:sz w:val="16"/>
          <w:szCs w:val="16"/>
          <w:color w:val="auto"/>
        </w:rPr>
        <w:t>Goodwill and intangible assets impairments Loss on disposal of assets</w:t>
      </w:r>
    </w:p>
    <w:p>
      <w:pPr>
        <w:spacing w:after="0" w:line="18" w:lineRule="exact"/>
        <w:rPr>
          <w:sz w:val="20"/>
          <w:szCs w:val="20"/>
          <w:color w:val="auto"/>
        </w:rPr>
      </w:pPr>
    </w:p>
    <w:p>
      <w:pPr>
        <w:ind w:left="260" w:right="1340"/>
        <w:spacing w:after="0" w:line="312" w:lineRule="auto"/>
        <w:rPr>
          <w:sz w:val="20"/>
          <w:szCs w:val="20"/>
          <w:color w:val="auto"/>
        </w:rPr>
      </w:pPr>
      <w:r>
        <w:rPr>
          <w:rFonts w:ascii="Calibri" w:cs="Calibri" w:eastAsia="Calibri" w:hAnsi="Calibri"/>
          <w:sz w:val="16"/>
          <w:szCs w:val="16"/>
          <w:color w:val="auto"/>
        </w:rPr>
        <w:t>Loss (gain) from change in fair value of warrant liability Other</w:t>
      </w:r>
    </w:p>
    <w:p>
      <w:pPr>
        <w:spacing w:after="0" w:line="17"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Changes in operatng assets and liabilites:</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Accounts receivable</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Prepaid insurance</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Deposits with clearinghouse</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Accounts payable and accrued liabilites</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Due to related party</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Deferred revenue</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Operatng lease liabilites</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Customer funds payable</w:t>
      </w:r>
    </w:p>
    <w:p>
      <w:pPr>
        <w:spacing w:after="0" w:line="75"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Other assets and liabilites</w:t>
      </w:r>
    </w:p>
    <w:p>
      <w:pPr>
        <w:spacing w:after="0" w:line="102" w:lineRule="exact"/>
        <w:rPr>
          <w:sz w:val="20"/>
          <w:szCs w:val="20"/>
          <w:color w:val="auto"/>
        </w:rPr>
      </w:pPr>
    </w:p>
    <w:p>
      <w:pPr>
        <w:spacing w:after="0"/>
        <w:rPr>
          <w:sz w:val="20"/>
          <w:szCs w:val="20"/>
          <w:color w:val="auto"/>
        </w:rPr>
      </w:pPr>
      <w:r>
        <w:rPr>
          <w:rFonts w:ascii="Calibri" w:cs="Calibri" w:eastAsia="Calibri" w:hAnsi="Calibri"/>
          <w:sz w:val="16"/>
          <w:szCs w:val="16"/>
          <w:color w:val="auto"/>
        </w:rPr>
        <w:t>Net cash provided by (used in) operatng actvites</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Cash fows from investng actvites:</w:t>
      </w:r>
    </w:p>
    <w:p>
      <w:pPr>
        <w:spacing w:after="0" w:line="76" w:lineRule="exact"/>
        <w:rPr>
          <w:sz w:val="20"/>
          <w:szCs w:val="20"/>
          <w:color w:val="auto"/>
        </w:rPr>
      </w:pPr>
    </w:p>
    <w:p>
      <w:pPr>
        <w:ind w:left="260" w:right="360"/>
        <w:spacing w:after="0" w:line="263" w:lineRule="auto"/>
        <w:rPr>
          <w:sz w:val="20"/>
          <w:szCs w:val="20"/>
          <w:color w:val="auto"/>
        </w:rPr>
      </w:pPr>
      <w:r>
        <w:rPr>
          <w:rFonts w:ascii="Calibri" w:cs="Calibri" w:eastAsia="Calibri" w:hAnsi="Calibri"/>
          <w:sz w:val="16"/>
          <w:szCs w:val="16"/>
          <w:color w:val="auto"/>
        </w:rPr>
        <w:t>Capitalized internal-use sofware development costs and other capital expenditures</w:t>
      </w:r>
    </w:p>
    <w:p>
      <w:pPr>
        <w:spacing w:after="0" w:line="56"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Purchase of available-for-sale securites</w:t>
      </w:r>
    </w:p>
    <w:p>
      <w:pPr>
        <w:spacing w:after="0" w:line="77" w:lineRule="exact"/>
        <w:rPr>
          <w:sz w:val="20"/>
          <w:szCs w:val="20"/>
          <w:color w:val="auto"/>
        </w:rPr>
      </w:pPr>
    </w:p>
    <w:p>
      <w:pPr>
        <w:ind w:left="260" w:right="1000"/>
        <w:spacing w:after="0" w:line="329" w:lineRule="auto"/>
        <w:rPr>
          <w:sz w:val="20"/>
          <w:szCs w:val="20"/>
          <w:color w:val="auto"/>
        </w:rPr>
      </w:pPr>
      <w:r>
        <w:rPr>
          <w:rFonts w:ascii="Calibri" w:cs="Calibri" w:eastAsia="Calibri" w:hAnsi="Calibri"/>
          <w:sz w:val="16"/>
          <w:szCs w:val="16"/>
          <w:color w:val="auto"/>
        </w:rPr>
        <w:t>Proceeds from the setlement of available-for-sale securites Acquisiton of Bumped Financial, LLC</w:t>
      </w:r>
    </w:p>
    <w:p>
      <w:pPr>
        <w:spacing w:after="0" w:line="5" w:lineRule="exact"/>
        <w:rPr>
          <w:sz w:val="20"/>
          <w:szCs w:val="20"/>
          <w:color w:val="auto"/>
        </w:rPr>
      </w:pPr>
    </w:p>
    <w:p>
      <w:pPr>
        <w:ind w:left="40" w:right="1540" w:firstLine="227"/>
        <w:spacing w:after="0" w:line="340" w:lineRule="auto"/>
        <w:rPr>
          <w:sz w:val="20"/>
          <w:szCs w:val="20"/>
          <w:color w:val="auto"/>
        </w:rPr>
      </w:pPr>
      <w:r>
        <w:rPr>
          <w:rFonts w:ascii="Calibri" w:cs="Calibri" w:eastAsia="Calibri" w:hAnsi="Calibri"/>
          <w:sz w:val="16"/>
          <w:szCs w:val="16"/>
          <w:color w:val="auto"/>
        </w:rPr>
        <w:t>Acquisiton of Apex Crypto LLC, net of cash acquired Net cash provided by (used in) investng actvites</w:t>
      </w:r>
    </w:p>
    <w:p>
      <w:pPr>
        <w:ind w:left="40"/>
        <w:spacing w:after="0" w:line="237" w:lineRule="auto"/>
        <w:rPr>
          <w:sz w:val="20"/>
          <w:szCs w:val="20"/>
          <w:color w:val="auto"/>
        </w:rPr>
      </w:pPr>
      <w:r>
        <w:rPr>
          <w:rFonts w:ascii="Calibri" w:cs="Calibri" w:eastAsia="Calibri" w:hAnsi="Calibri"/>
          <w:sz w:val="16"/>
          <w:szCs w:val="16"/>
          <w:b w:val="1"/>
          <w:bCs w:val="1"/>
          <w:color w:val="auto"/>
        </w:rPr>
        <w:t>Cash fows from fnancing actvites: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Proceeds from Concurrent Oferings, net of issuance costs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Withholding tax payments on net share setlements on equity awards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Proceeds from the exercise of warrants</w:t>
      </w:r>
    </w:p>
    <w:p>
      <w:pPr>
        <w:spacing w:after="0" w:line="90" w:lineRule="exact"/>
        <w:rPr>
          <w:sz w:val="20"/>
          <w:szCs w:val="20"/>
          <w:color w:val="auto"/>
        </w:rPr>
      </w:pPr>
    </w:p>
    <w:p>
      <w:pPr>
        <w:ind w:left="260" w:right="1940" w:hanging="244"/>
        <w:spacing w:after="0" w:line="340" w:lineRule="auto"/>
        <w:rPr>
          <w:sz w:val="20"/>
          <w:szCs w:val="20"/>
          <w:color w:val="auto"/>
        </w:rPr>
      </w:pPr>
      <w:r>
        <w:rPr>
          <w:rFonts w:ascii="Calibri" w:cs="Calibri" w:eastAsia="Calibri" w:hAnsi="Calibri"/>
          <w:sz w:val="16"/>
          <w:szCs w:val="16"/>
          <w:color w:val="auto"/>
        </w:rPr>
        <w:t>Net cash provided by (used in) fnancing actvites Efect of exchange rate changes</w:t>
      </w:r>
    </w:p>
    <w:p>
      <w:pPr>
        <w:ind w:left="260"/>
        <w:spacing w:after="0" w:line="263" w:lineRule="auto"/>
        <w:rPr>
          <w:sz w:val="20"/>
          <w:szCs w:val="20"/>
          <w:color w:val="auto"/>
        </w:rPr>
      </w:pPr>
      <w:r>
        <w:rPr>
          <w:rFonts w:ascii="Calibri" w:cs="Calibri" w:eastAsia="Calibri" w:hAnsi="Calibri"/>
          <w:sz w:val="16"/>
          <w:szCs w:val="16"/>
          <w:color w:val="auto"/>
        </w:rPr>
        <w:t>Net increase (decrease) in cash, cash equivalents, restricted cash, customer funds and deposits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jc w:val="right"/>
              <w:ind w:right="419"/>
              <w:spacing w:after="0"/>
              <w:rPr>
                <w:sz w:val="20"/>
                <w:szCs w:val="20"/>
                <w:color w:val="auto"/>
              </w:rPr>
            </w:pPr>
            <w:r>
              <w:rPr>
                <w:rFonts w:ascii="Calibri" w:cs="Calibri" w:eastAsia="Calibri" w:hAnsi="Calibri"/>
                <w:sz w:val="16"/>
                <w:szCs w:val="16"/>
                <w:b w:val="1"/>
                <w:bCs w:val="1"/>
                <w:color w:val="FFFFFF"/>
              </w:rPr>
              <w:t>4Q24</w:t>
            </w:r>
          </w:p>
        </w:tc>
        <w:tc>
          <w:tcPr>
            <w:tcW w:w="1360" w:type="dxa"/>
            <w:vAlign w:val="bottom"/>
          </w:tcPr>
          <w:p>
            <w:pPr>
              <w:jc w:val="right"/>
              <w:ind w:right="399"/>
              <w:spacing w:after="0"/>
              <w:rPr>
                <w:sz w:val="20"/>
                <w:szCs w:val="20"/>
                <w:color w:val="auto"/>
              </w:rPr>
            </w:pPr>
            <w:r>
              <w:rPr>
                <w:rFonts w:ascii="Calibri" w:cs="Calibri" w:eastAsia="Calibri" w:hAnsi="Calibri"/>
                <w:sz w:val="16"/>
                <w:szCs w:val="16"/>
                <w:b w:val="1"/>
                <w:bCs w:val="1"/>
                <w:color w:val="FFFFFF"/>
              </w:rPr>
              <w:t>4Q23</w:t>
            </w:r>
          </w:p>
        </w:tc>
        <w:tc>
          <w:tcPr>
            <w:tcW w:w="1380" w:type="dxa"/>
            <w:vAlign w:val="bottom"/>
          </w:tcPr>
          <w:p>
            <w:pPr>
              <w:jc w:val="right"/>
              <w:ind w:right="379"/>
              <w:spacing w:after="0"/>
              <w:rPr>
                <w:sz w:val="20"/>
                <w:szCs w:val="20"/>
                <w:color w:val="auto"/>
              </w:rPr>
            </w:pPr>
            <w:r>
              <w:rPr>
                <w:rFonts w:ascii="Calibri" w:cs="Calibri" w:eastAsia="Calibri" w:hAnsi="Calibri"/>
                <w:sz w:val="16"/>
                <w:szCs w:val="16"/>
                <w:b w:val="1"/>
                <w:bCs w:val="1"/>
                <w:color w:val="FFFFFF"/>
              </w:rPr>
              <w:t>FY24</w:t>
            </w:r>
          </w:p>
        </w:tc>
        <w:tc>
          <w:tcPr>
            <w:tcW w:w="980" w:type="dxa"/>
            <w:vAlign w:val="bottom"/>
          </w:tcPr>
          <w:p>
            <w:pPr>
              <w:jc w:val="right"/>
              <w:spacing w:after="0"/>
              <w:rPr>
                <w:sz w:val="20"/>
                <w:szCs w:val="20"/>
                <w:color w:val="auto"/>
              </w:rPr>
            </w:pPr>
            <w:r>
              <w:rPr>
                <w:rFonts w:ascii="Calibri" w:cs="Calibri" w:eastAsia="Calibri" w:hAnsi="Calibri"/>
                <w:sz w:val="16"/>
                <w:szCs w:val="16"/>
                <w:b w:val="1"/>
                <w:bCs w:val="1"/>
                <w:color w:val="FFFFFF"/>
              </w:rPr>
              <w:t>FY23</w:t>
            </w:r>
          </w:p>
        </w:tc>
      </w:tr>
      <w:tr>
        <w:trPr>
          <w:trHeight w:val="553"/>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($40.4)</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($78.7)</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($103.4)</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($225.8)</w:t>
            </w:r>
          </w:p>
        </w:tc>
      </w:tr>
      <w:tr>
        <w:trPr>
          <w:trHeight w:val="54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0.1</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3.1</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0.3</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13.9</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(3.0)</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(3.0)</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0.7</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0.8</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1.7</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2.8</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1.2</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15.8</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15.5</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0.0</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30.2</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0.9</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30.3</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37.2</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60.5</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0.0</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0.1</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31.1</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0.7</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17.2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1.6</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(0.1)</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0.0</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(0.1)</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54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1.7</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(13.6)</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5.4</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1.6</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(1.0)</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9.1</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9.8</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15.0</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(2.0)</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6.3</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(15.6)</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(8.0)</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(0.3)</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1.5</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(0.9)</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2.1</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(0.4)</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0.3</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(3.3)</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0.4</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(1.0)</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(0.9)</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(3.6)</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(3.0)</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37.0</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4.7</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55.6</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32.3</w:t>
            </w:r>
          </w:p>
        </w:tc>
      </w:tr>
      <w:tr>
        <w:trPr>
          <w:trHeight w:val="270"/>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0.4</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4.6</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(0.4)</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3.4</w:t>
            </w:r>
          </w:p>
        </w:tc>
      </w:tr>
      <w:tr>
        <w:trPr>
          <w:trHeight w:val="55"/>
        </w:trPr>
        <w:tc>
          <w:tcPr>
            <w:tcW w:w="1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9"/>
        </w:trPr>
        <w:tc>
          <w:tcPr>
            <w:tcW w:w="1860" w:type="dxa"/>
            <w:vAlign w:val="bottom"/>
          </w:tcPr>
          <w:p>
            <w:pPr>
              <w:jc w:val="right"/>
              <w:ind w:right="379"/>
              <w:spacing w:after="0"/>
              <w:rPr>
                <w:sz w:val="20"/>
                <w:szCs w:val="20"/>
                <w:color w:val="auto"/>
              </w:rPr>
            </w:pPr>
            <w:r>
              <w:rPr>
                <w:rFonts w:ascii="Calibri" w:cs="Calibri" w:eastAsia="Calibri" w:hAnsi="Calibri"/>
                <w:sz w:val="16"/>
                <w:szCs w:val="16"/>
                <w:color w:val="auto"/>
              </w:rPr>
              <w:t>31.4</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(6.8)</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(21.2)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(60.7)</w:t>
            </w:r>
          </w:p>
        </w:tc>
      </w:tr>
      <w:tr>
        <w:trPr>
          <w:trHeight w:val="55"/>
        </w:trPr>
        <w:tc>
          <w:tcPr>
            <w:tcW w:w="1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681"/>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(0.3)</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(1.5)</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(3.1)</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(9.4)</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(0.0)</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(17.2)</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(26.0)</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(61.8)</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6.6</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22.6</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43.2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185.8</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(0.6)</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(3.6)</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(47.9)</w:t>
            </w:r>
          </w:p>
        </w:tc>
      </w:tr>
      <w:tr>
        <w:trPr>
          <w:trHeight w:val="55"/>
        </w:trPr>
        <w:tc>
          <w:tcPr>
            <w:tcW w:w="1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9"/>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6.2</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0.3</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14.1</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66.0</w:t>
            </w:r>
          </w:p>
        </w:tc>
      </w:tr>
      <w:tr>
        <w:trPr>
          <w:trHeight w:val="54"/>
        </w:trPr>
        <w:tc>
          <w:tcPr>
            <w:tcW w:w="1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465"/>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46.5</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84"/>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(0.3)</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(0.1)</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(2.7)</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(2.6)</w:t>
            </w:r>
          </w:p>
        </w:tc>
      </w:tr>
      <w:tr>
        <w:trPr>
          <w:trHeight w:val="256"/>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0.0</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0.0</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54"/>
        </w:trPr>
        <w:tc>
          <w:tcPr>
            <w:tcW w:w="1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9"/>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(0.3)</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(0.1)</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43.8</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(2.6)</w:t>
            </w:r>
          </w:p>
        </w:tc>
      </w:tr>
      <w:tr>
        <w:trPr>
          <w:trHeight w:val="55"/>
        </w:trPr>
        <w:tc>
          <w:tcPr>
            <w:tcW w:w="1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3"/>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(1.1)</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0.4</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(1.5)</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0.4</w:t>
            </w:r>
          </w:p>
        </w:tc>
      </w:tr>
      <w:tr>
        <w:trPr>
          <w:trHeight w:val="486"/>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36.3</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(6.2)</w:t>
            </w:r>
          </w:p>
        </w:tc>
        <w:tc>
          <w:tcPr>
            <w:tcW w:w="1380" w:type="dxa"/>
            <w:vAlign w:val="bottom"/>
          </w:tcPr>
          <w:p>
            <w:pPr>
              <w:jc w:val="right"/>
              <w:ind w:right="339"/>
              <w:spacing w:after="0"/>
              <w:rPr>
                <w:sz w:val="20"/>
                <w:szCs w:val="20"/>
                <w:color w:val="auto"/>
              </w:rPr>
            </w:pPr>
            <w:r>
              <w:rPr>
                <w:rFonts w:ascii="Calibri" w:cs="Calibri" w:eastAsia="Calibri" w:hAnsi="Calibri"/>
                <w:sz w:val="16"/>
                <w:szCs w:val="16"/>
                <w:color w:val="auto"/>
              </w:rPr>
              <w:t>35.2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3.1</w:t>
            </w:r>
          </w:p>
        </w:tc>
      </w:tr>
    </w:tbl>
    <w:p>
      <w:pPr>
        <w:sectPr>
          <w:pgSz w:w="11900" w:h="16838" w:orient="portrait"/>
          <w:cols w:equalWidth="0" w:num="2">
            <w:col w:w="5200" w:space="220"/>
            <w:col w:w="5580"/>
          </w:cols>
          <w:pgMar w:left="420" w:top="983" w:right="47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ind w:left="80"/>
              <w:spacing w:after="0"/>
              <w:rPr>
                <w:sz w:val="20"/>
                <w:szCs w:val="20"/>
                <w:color w:val="auto"/>
              </w:rPr>
            </w:pPr>
            <w:r>
              <w:rPr>
                <w:rFonts w:ascii="Calibri" w:cs="Calibri" w:eastAsia="Calibri" w:hAnsi="Calibri"/>
                <w:sz w:val="16"/>
                <w:szCs w:val="16"/>
                <w:color w:val="auto"/>
              </w:rPr>
              <w:t>Cash, cash equivalents, restricted cash, customer funds and deposits at the</w:t>
            </w:r>
          </w:p>
        </w:tc>
        <w:tc>
          <w:tcPr>
            <w:tcW w:w="1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80"/>
              <w:spacing w:after="0"/>
              <w:rPr>
                <w:sz w:val="20"/>
                <w:szCs w:val="20"/>
                <w:color w:val="auto"/>
              </w:rPr>
            </w:pPr>
            <w:r>
              <w:rPr>
                <w:rFonts w:ascii="Calibri" w:cs="Calibri" w:eastAsia="Calibri" w:hAnsi="Calibri"/>
                <w:sz w:val="16"/>
                <w:szCs w:val="16"/>
                <w:color w:val="auto"/>
              </w:rPr>
              <w:t>beginning of the period</w:t>
            </w:r>
          </w:p>
        </w:tc>
        <w:tc>
          <w:tcPr>
            <w:tcW w:w="1840" w:type="dxa"/>
            <w:vAlign w:val="bottom"/>
          </w:tcPr>
          <w:p>
            <w:pPr>
              <w:jc w:val="right"/>
              <w:ind w:right="399"/>
              <w:spacing w:after="0"/>
              <w:rPr>
                <w:sz w:val="20"/>
                <w:szCs w:val="20"/>
                <w:color w:val="auto"/>
              </w:rPr>
            </w:pPr>
            <w:r>
              <w:rPr>
                <w:rFonts w:ascii="Calibri" w:cs="Calibri" w:eastAsia="Calibri" w:hAnsi="Calibri"/>
                <w:sz w:val="16"/>
                <w:szCs w:val="16"/>
                <w:color w:val="auto"/>
              </w:rPr>
              <w:t>117.5</w:t>
            </w:r>
          </w:p>
        </w:tc>
        <w:tc>
          <w:tcPr>
            <w:tcW w:w="1420" w:type="dxa"/>
            <w:vAlign w:val="bottom"/>
          </w:tcPr>
          <w:p>
            <w:pPr>
              <w:jc w:val="right"/>
              <w:ind w:right="379"/>
              <w:spacing w:after="0"/>
              <w:rPr>
                <w:sz w:val="20"/>
                <w:szCs w:val="20"/>
                <w:color w:val="auto"/>
              </w:rPr>
            </w:pPr>
            <w:r>
              <w:rPr>
                <w:rFonts w:ascii="Calibri" w:cs="Calibri" w:eastAsia="Calibri" w:hAnsi="Calibri"/>
                <w:sz w:val="16"/>
                <w:szCs w:val="16"/>
                <w:color w:val="auto"/>
              </w:rPr>
              <w:t>124.7</w:t>
            </w:r>
          </w:p>
        </w:tc>
        <w:tc>
          <w:tcPr>
            <w:tcW w:w="1380" w:type="dxa"/>
            <w:vAlign w:val="bottom"/>
          </w:tcPr>
          <w:p>
            <w:pPr>
              <w:jc w:val="right"/>
              <w:ind w:right="379"/>
              <w:spacing w:after="0"/>
              <w:rPr>
                <w:sz w:val="20"/>
                <w:szCs w:val="20"/>
                <w:color w:val="auto"/>
              </w:rPr>
            </w:pPr>
            <w:r>
              <w:rPr>
                <w:rFonts w:ascii="Calibri" w:cs="Calibri" w:eastAsia="Calibri" w:hAnsi="Calibri"/>
                <w:sz w:val="16"/>
                <w:szCs w:val="16"/>
                <w:color w:val="auto"/>
              </w:rPr>
              <w:t>118.5</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115.4</w:t>
            </w:r>
          </w:p>
        </w:tc>
        <w:tc>
          <w:tcPr>
            <w:tcW w:w="0" w:type="dxa"/>
            <w:vAlign w:val="bottom"/>
          </w:tcPr>
          <w:p>
            <w:pPr>
              <w:spacing w:after="0"/>
              <w:rPr>
                <w:sz w:val="1"/>
                <w:szCs w:val="1"/>
                <w:color w:val="auto"/>
              </w:rPr>
            </w:pPr>
          </w:p>
        </w:tc>
      </w:tr>
      <w:tr>
        <w:trPr>
          <w:trHeight w:val="41"/>
        </w:trPr>
        <w:tc>
          <w:tcPr>
            <w:tcW w:w="5460" w:type="dxa"/>
            <w:vAlign w:val="bottom"/>
            <w:vMerge w:val="restart"/>
          </w:tcPr>
          <w:p>
            <w:pPr>
              <w:ind w:left="80"/>
              <w:spacing w:after="0"/>
              <w:rPr>
                <w:sz w:val="20"/>
                <w:szCs w:val="20"/>
                <w:color w:val="auto"/>
              </w:rPr>
            </w:pPr>
            <w:r>
              <w:rPr>
                <w:rFonts w:ascii="Calibri" w:cs="Calibri" w:eastAsia="Calibri" w:hAnsi="Calibri"/>
                <w:sz w:val="16"/>
                <w:szCs w:val="16"/>
                <w:b w:val="1"/>
                <w:bCs w:val="1"/>
                <w:color w:val="auto"/>
              </w:rPr>
              <w:t>Cash, cash equivalents, restricted cash, customer funds and deposits at the end</w:t>
            </w:r>
          </w:p>
        </w:tc>
        <w:tc>
          <w:tcPr>
            <w:tcW w:w="18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80"/>
              <w:spacing w:after="0"/>
              <w:rPr>
                <w:sz w:val="20"/>
                <w:szCs w:val="20"/>
                <w:color w:val="auto"/>
              </w:rPr>
            </w:pPr>
            <w:r>
              <w:rPr>
                <w:rFonts w:ascii="Calibri" w:cs="Calibri" w:eastAsia="Calibri" w:hAnsi="Calibri"/>
                <w:sz w:val="16"/>
                <w:szCs w:val="16"/>
                <w:b w:val="1"/>
                <w:bCs w:val="1"/>
                <w:color w:val="auto"/>
              </w:rPr>
              <w:t>of the period</w:t>
            </w:r>
          </w:p>
        </w:tc>
        <w:tc>
          <w:tcPr>
            <w:tcW w:w="18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$153.7</w:t>
            </w:r>
          </w:p>
        </w:tc>
        <w:tc>
          <w:tcPr>
            <w:tcW w:w="1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$118.5</w:t>
            </w:r>
          </w:p>
        </w:tc>
        <w:tc>
          <w:tcPr>
            <w:tcW w:w="13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$153.7</w:t>
            </w:r>
          </w:p>
        </w:tc>
        <w:tc>
          <w:tcPr>
            <w:tcW w:w="940" w:type="dxa"/>
            <w:vAlign w:val="bottom"/>
          </w:tcPr>
          <w:p>
            <w:pPr>
              <w:jc w:val="right"/>
              <w:spacing w:after="0"/>
              <w:rPr>
                <w:sz w:val="20"/>
                <w:szCs w:val="20"/>
                <w:color w:val="auto"/>
              </w:rPr>
            </w:pPr>
            <w:r>
              <w:rPr>
                <w:rFonts w:ascii="Calibri" w:cs="Calibri" w:eastAsia="Calibri" w:hAnsi="Calibri"/>
                <w:sz w:val="16"/>
                <w:szCs w:val="16"/>
                <w:b w:val="1"/>
                <w:bCs w:val="1"/>
                <w:color w:val="auto"/>
              </w:rPr>
              <w:t>$118.5</w:t>
            </w:r>
          </w:p>
        </w:tc>
        <w:tc>
          <w:tcPr>
            <w:tcW w:w="0" w:type="dxa"/>
            <w:vAlign w:val="bottom"/>
          </w:tcPr>
          <w:p>
            <w:pPr>
              <w:spacing w:after="0"/>
              <w:rPr>
                <w:sz w:val="1"/>
                <w:szCs w:val="1"/>
                <w:color w:val="auto"/>
              </w:rPr>
            </w:pPr>
          </w:p>
        </w:tc>
      </w:tr>
      <w:tr>
        <w:trPr>
          <w:trHeight w:val="41"/>
        </w:trPr>
        <w:tc>
          <w:tcPr>
            <w:tcW w:w="546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80" w:top="1064" w:right="479" w:bottom="1440" w:gutter="0" w:footer="0" w:header="0"/>
        </w:sectPr>
      </w:pPr>
    </w:p>
    <w:bookmarkStart w:id="10" w:name="page11"/>
    <w:bookmarkEnd w:id="10"/>
    <w:p>
      <w:pPr>
        <w:spacing w:after="0" w:line="2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Reconciliaton of Non-GAAP Financial Measures</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Financial Measures – Adjusted EBITDA</w:t>
      </w:r>
    </w:p>
    <w:p>
      <w:pPr>
        <w:spacing w:after="0" w:line="9" w:lineRule="exact"/>
        <w:rPr>
          <w:sz w:val="20"/>
          <w:szCs w:val="20"/>
          <w:color w:val="auto"/>
        </w:rPr>
      </w:pPr>
    </w:p>
    <w:p>
      <w:pPr>
        <w:ind w:right="160"/>
        <w:spacing w:after="0" w:line="231" w:lineRule="auto"/>
        <w:rPr>
          <w:sz w:val="20"/>
          <w:szCs w:val="20"/>
          <w:color w:val="auto"/>
        </w:rPr>
      </w:pPr>
      <w:r>
        <w:rPr>
          <w:rFonts w:ascii="Calibri" w:cs="Calibri" w:eastAsia="Calibri" w:hAnsi="Calibri"/>
          <w:sz w:val="20"/>
          <w:szCs w:val="20"/>
          <w:color w:val="auto"/>
        </w:rPr>
        <w:t>Adjusted EBITDA is defned as earnings before interest, income taxes, depreciaton, amortzaton, acquisiton-related expenses, share-based and unit-based compensaton expense, goodwill and intangible assets impairments, restructuring charges, changes in the fair value of our warrant liability and certain other non-cash and/or non-recurring items that do not contribute directly to our evaluaton of operatng results and are not components of our core business operatons. Adjusted EBITDA provides management with an understanding of earnings before the impact of investng and fnancing transactons and income taxes, and the efects of</w:t>
      </w:r>
    </w:p>
    <w:p>
      <w:pPr>
        <w:spacing w:after="0" w:line="256"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color w:val="auto"/>
        </w:rPr>
        <w:t>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ttled measures used by other companies.</w:t>
      </w:r>
    </w:p>
    <w:p>
      <w:pPr>
        <w:spacing w:after="0" w:line="240"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Non-GAAP fnancial measures like Adjusted EBITDA and Free Cash Flow have limitatons, should be considered as supplemental in nature and are not meant as a substtute for the related fnancial informaton prepared in accordance with GAAP. The non-GAAP fnancial measures should be considered alongside other fnancial performance measures, including net loss and our other fnancial results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i w:val="1"/>
          <w:iCs w:val="1"/>
          <w:color w:val="FFFFFF"/>
        </w:rPr>
        <w:t>$mm's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Net loss</w:t>
      </w:r>
    </w:p>
    <w:p>
      <w:pPr>
        <w:spacing w:after="0" w:line="61"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Depreciaton and amortzaton</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Interest income, net</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Income tax (beneft) expense</w:t>
      </w:r>
    </w:p>
    <w:p>
      <w:pPr>
        <w:spacing w:after="0" w:line="102"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EBITDA</w:t>
      </w:r>
    </w:p>
    <w:p>
      <w:pPr>
        <w:spacing w:after="0" w:line="88"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Acquisiton-related expenses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Share-based and unit-based compensaton expense</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Cancellaton of common units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Loss from change in fair value of warrant liability</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Goodwill and intangible assets impairments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Impairment of long-lived assets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Restructuring expenses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Shelf registraton expenses</w:t>
      </w:r>
    </w:p>
    <w:p>
      <w:pPr>
        <w:spacing w:after="0" w:line="75"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Transiton services expense</w:t>
      </w:r>
    </w:p>
    <w:p>
      <w:pPr>
        <w:spacing w:after="0" w:line="88"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Adjusted EBITDA loss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195"/>
        </w:trPr>
        <w:tc>
          <w:tcPr>
            <w:tcW w:w="920" w:type="dxa"/>
            <w:vAlign w:val="bottom"/>
          </w:tcPr>
          <w:p>
            <w:pPr>
              <w:jc w:val="right"/>
              <w:ind w:right="359"/>
              <w:spacing w:after="0"/>
              <w:rPr>
                <w:sz w:val="20"/>
                <w:szCs w:val="20"/>
                <w:color w:val="auto"/>
              </w:rPr>
            </w:pPr>
            <w:r>
              <w:rPr>
                <w:rFonts w:ascii="Calibri" w:cs="Calibri" w:eastAsia="Calibri" w:hAnsi="Calibri"/>
                <w:sz w:val="16"/>
                <w:szCs w:val="16"/>
                <w:b w:val="1"/>
                <w:bCs w:val="1"/>
                <w:color w:val="FFFFFF"/>
              </w:rPr>
              <w:t>4Q24</w:t>
            </w:r>
          </w:p>
        </w:tc>
        <w:tc>
          <w:tcPr>
            <w:tcW w:w="1260" w:type="dxa"/>
            <w:vAlign w:val="bottom"/>
          </w:tcPr>
          <w:p>
            <w:pPr>
              <w:jc w:val="right"/>
              <w:ind w:right="259"/>
              <w:spacing w:after="0"/>
              <w:rPr>
                <w:sz w:val="20"/>
                <w:szCs w:val="20"/>
                <w:color w:val="auto"/>
              </w:rPr>
            </w:pPr>
            <w:r>
              <w:rPr>
                <w:rFonts w:ascii="Calibri" w:cs="Calibri" w:eastAsia="Calibri" w:hAnsi="Calibri"/>
                <w:sz w:val="16"/>
                <w:szCs w:val="16"/>
                <w:b w:val="1"/>
                <w:bCs w:val="1"/>
                <w:color w:val="FFFFFF"/>
              </w:rPr>
              <w:t>4Q23</w:t>
            </w:r>
          </w:p>
        </w:tc>
        <w:tc>
          <w:tcPr>
            <w:tcW w:w="1140" w:type="dxa"/>
            <w:vAlign w:val="bottom"/>
          </w:tcPr>
          <w:p>
            <w:pPr>
              <w:jc w:val="right"/>
              <w:ind w:right="179"/>
              <w:spacing w:after="0"/>
              <w:rPr>
                <w:sz w:val="20"/>
                <w:szCs w:val="20"/>
                <w:color w:val="auto"/>
              </w:rPr>
            </w:pPr>
            <w:r>
              <w:rPr>
                <w:rFonts w:ascii="Calibri" w:cs="Calibri" w:eastAsia="Calibri" w:hAnsi="Calibri"/>
                <w:sz w:val="16"/>
                <w:szCs w:val="16"/>
                <w:b w:val="1"/>
                <w:bCs w:val="1"/>
                <w:color w:val="FFFFFF"/>
              </w:rPr>
              <w:t>FY24</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FFFFFF"/>
              </w:rPr>
              <w:t>FY23</w:t>
            </w:r>
          </w:p>
        </w:tc>
      </w:tr>
      <w:tr>
        <w:trPr>
          <w:trHeight w:val="270"/>
        </w:trPr>
        <w:tc>
          <w:tcPr>
            <w:tcW w:w="920" w:type="dxa"/>
            <w:vAlign w:val="bottom"/>
          </w:tcPr>
          <w:p>
            <w:pPr>
              <w:jc w:val="right"/>
              <w:ind w:right="359"/>
              <w:spacing w:after="0"/>
              <w:rPr>
                <w:sz w:val="20"/>
                <w:szCs w:val="20"/>
                <w:color w:val="auto"/>
              </w:rPr>
            </w:pPr>
            <w:r>
              <w:rPr>
                <w:rFonts w:ascii="Calibri" w:cs="Calibri" w:eastAsia="Calibri" w:hAnsi="Calibri"/>
                <w:sz w:val="16"/>
                <w:szCs w:val="16"/>
                <w:b w:val="1"/>
                <w:bCs w:val="1"/>
                <w:color w:val="auto"/>
                <w:w w:val="98"/>
              </w:rPr>
              <w:t>($40.4)</w:t>
            </w:r>
          </w:p>
        </w:tc>
        <w:tc>
          <w:tcPr>
            <w:tcW w:w="126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($78.7)</w:t>
            </w:r>
          </w:p>
        </w:tc>
        <w:tc>
          <w:tcPr>
            <w:tcW w:w="11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($103.4)</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($225.8)</w:t>
            </w:r>
          </w:p>
        </w:tc>
      </w:tr>
      <w:tr>
        <w:trPr>
          <w:trHeight w:val="270"/>
        </w:trPr>
        <w:tc>
          <w:tcPr>
            <w:tcW w:w="920" w:type="dxa"/>
            <w:vAlign w:val="bottom"/>
          </w:tcPr>
          <w:p>
            <w:pPr>
              <w:jc w:val="right"/>
              <w:ind w:right="359"/>
              <w:spacing w:after="0"/>
              <w:rPr>
                <w:sz w:val="20"/>
                <w:szCs w:val="20"/>
                <w:color w:val="auto"/>
              </w:rPr>
            </w:pPr>
            <w:r>
              <w:rPr>
                <w:rFonts w:ascii="Calibri" w:cs="Calibri" w:eastAsia="Calibri" w:hAnsi="Calibri"/>
                <w:sz w:val="16"/>
                <w:szCs w:val="16"/>
                <w:color w:val="auto"/>
              </w:rPr>
              <w:t>0.1</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3.1</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0.3</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13.9</w:t>
            </w:r>
          </w:p>
        </w:tc>
      </w:tr>
      <w:tr>
        <w:trPr>
          <w:trHeight w:val="270"/>
        </w:trPr>
        <w:tc>
          <w:tcPr>
            <w:tcW w:w="920" w:type="dxa"/>
            <w:vAlign w:val="bottom"/>
          </w:tcPr>
          <w:p>
            <w:pPr>
              <w:jc w:val="right"/>
              <w:ind w:right="359"/>
              <w:spacing w:after="0"/>
              <w:rPr>
                <w:sz w:val="20"/>
                <w:szCs w:val="20"/>
                <w:color w:val="auto"/>
              </w:rPr>
            </w:pPr>
            <w:r>
              <w:rPr>
                <w:rFonts w:ascii="Calibri" w:cs="Calibri" w:eastAsia="Calibri" w:hAnsi="Calibri"/>
                <w:sz w:val="16"/>
                <w:szCs w:val="16"/>
                <w:color w:val="auto"/>
              </w:rPr>
              <w:t>(1.1)</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(0.8)</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(4.3)</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(4.3)</w:t>
            </w:r>
          </w:p>
        </w:tc>
      </w:tr>
      <w:tr>
        <w:trPr>
          <w:trHeight w:val="270"/>
        </w:trPr>
        <w:tc>
          <w:tcPr>
            <w:tcW w:w="920" w:type="dxa"/>
            <w:vAlign w:val="bottom"/>
          </w:tcPr>
          <w:p>
            <w:pPr>
              <w:jc w:val="right"/>
              <w:ind w:right="359"/>
              <w:spacing w:after="0"/>
              <w:rPr>
                <w:sz w:val="20"/>
                <w:szCs w:val="20"/>
                <w:color w:val="auto"/>
              </w:rPr>
            </w:pPr>
            <w:r>
              <w:rPr>
                <w:rFonts w:ascii="Calibri" w:cs="Calibri" w:eastAsia="Calibri" w:hAnsi="Calibri"/>
                <w:sz w:val="16"/>
                <w:szCs w:val="16"/>
                <w:color w:val="auto"/>
              </w:rPr>
              <w:t>0.1</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0.0</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0.2</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31457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($41.4)</w:t>
            </w:r>
          </w:p>
        </w:tc>
        <w:tc>
          <w:tcPr>
            <w:tcW w:w="126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($76.4)</w:t>
            </w:r>
          </w:p>
        </w:tc>
        <w:tc>
          <w:tcPr>
            <w:tcW w:w="11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($107.3)</w:t>
            </w:r>
          </w:p>
        </w:tc>
        <w:tc>
          <w:tcPr>
            <w:tcW w:w="880" w:type="dxa"/>
            <w:vAlign w:val="bottom"/>
          </w:tcPr>
          <w:p>
            <w:pPr>
              <w:jc w:val="right"/>
              <w:spacing w:after="0"/>
              <w:rPr>
                <w:sz w:val="20"/>
                <w:szCs w:val="20"/>
                <w:color w:val="auto"/>
              </w:rPr>
            </w:pPr>
            <w:r>
              <w:rPr>
                <w:rFonts w:ascii="Calibri" w:cs="Calibri" w:eastAsia="Calibri" w:hAnsi="Calibri"/>
                <w:sz w:val="16"/>
                <w:szCs w:val="16"/>
                <w:b w:val="1"/>
                <w:bCs w:val="1"/>
                <w:color w:val="auto"/>
              </w:rPr>
              <w:t>($215.8)</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0.1</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(12.8)</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0.1</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4.3</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2.8</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1.2</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15.8</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16.8</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31.1</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0.7</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17.2</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1.6</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37.2</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60.5</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30.2</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0.9</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30.3</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0.7</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0.1</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8.2</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4.6</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0.2</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70"/>
        </w:trPr>
        <w:tc>
          <w:tcPr>
            <w:tcW w:w="1680" w:type="dxa"/>
            <w:vAlign w:val="bottom"/>
          </w:tcPr>
          <w:p>
            <w:pPr>
              <w:jc w:val="right"/>
              <w:ind w:right="359"/>
              <w:spacing w:after="0"/>
              <w:rPr>
                <w:sz w:val="20"/>
                <w:szCs w:val="20"/>
                <w:color w:val="auto"/>
              </w:rPr>
            </w:pPr>
            <w:r>
              <w:rPr>
                <w:rFonts w:ascii="Calibri" w:cs="Calibri" w:eastAsia="Calibri" w:hAnsi="Calibri"/>
                <w:sz w:val="16"/>
                <w:szCs w:val="16"/>
                <w:color w:val="auto"/>
              </w:rPr>
              <w:t>0.3</w:t>
            </w:r>
          </w:p>
        </w:tc>
        <w:tc>
          <w:tcPr>
            <w:tcW w:w="1260" w:type="dxa"/>
            <w:vAlign w:val="bottom"/>
          </w:tcPr>
          <w:p>
            <w:pPr>
              <w:jc w:val="right"/>
              <w:ind w:right="259"/>
              <w:spacing w:after="0"/>
              <w:rPr>
                <w:sz w:val="20"/>
                <w:szCs w:val="20"/>
                <w:color w:val="auto"/>
              </w:rPr>
            </w:pPr>
            <w:r>
              <w:rPr>
                <w:rFonts w:ascii="Calibri" w:cs="Calibri" w:eastAsia="Calibri" w:hAnsi="Calibri"/>
                <w:sz w:val="16"/>
                <w:szCs w:val="16"/>
                <w:color w:val="auto"/>
              </w:rPr>
              <w:t>0.8</w:t>
            </w:r>
          </w:p>
        </w:tc>
        <w:tc>
          <w:tcPr>
            <w:tcW w:w="1140" w:type="dxa"/>
            <w:vAlign w:val="bottom"/>
          </w:tcPr>
          <w:p>
            <w:pPr>
              <w:jc w:val="right"/>
              <w:ind w:right="179"/>
              <w:spacing w:after="0"/>
              <w:rPr>
                <w:sz w:val="20"/>
                <w:szCs w:val="20"/>
                <w:color w:val="auto"/>
              </w:rPr>
            </w:pPr>
            <w:r>
              <w:rPr>
                <w:rFonts w:ascii="Calibri" w:cs="Calibri" w:eastAsia="Calibri" w:hAnsi="Calibri"/>
                <w:sz w:val="16"/>
                <w:szCs w:val="16"/>
                <w:color w:val="auto"/>
              </w:rPr>
              <w:t>0.6</w:t>
            </w:r>
          </w:p>
        </w:tc>
        <w:tc>
          <w:tcPr>
            <w:tcW w:w="880" w:type="dxa"/>
            <w:vAlign w:val="bottom"/>
          </w:tcPr>
          <w:p>
            <w:pPr>
              <w:jc w:val="right"/>
              <w:spacing w:after="0"/>
              <w:rPr>
                <w:sz w:val="20"/>
                <w:szCs w:val="20"/>
                <w:color w:val="auto"/>
              </w:rPr>
            </w:pPr>
            <w:r>
              <w:rPr>
                <w:rFonts w:ascii="Calibri" w:cs="Calibri" w:eastAsia="Calibri" w:hAnsi="Calibri"/>
                <w:sz w:val="16"/>
                <w:szCs w:val="16"/>
                <w:color w:val="auto"/>
              </w:rPr>
              <w:t>3.9</w:t>
            </w:r>
          </w:p>
        </w:tc>
      </w:tr>
      <w:tr>
        <w:trPr>
          <w:trHeight w:val="62"/>
        </w:trPr>
        <w:tc>
          <w:tcPr>
            <w:tcW w:w="16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15"/>
        </w:trPr>
        <w:tc>
          <w:tcPr>
            <w:tcW w:w="16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($6.4)</w:t>
            </w:r>
          </w:p>
        </w:tc>
        <w:tc>
          <w:tcPr>
            <w:tcW w:w="126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($19.0)</w:t>
            </w:r>
          </w:p>
        </w:tc>
        <w:tc>
          <w:tcPr>
            <w:tcW w:w="11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($64.2)</w:t>
            </w:r>
          </w:p>
        </w:tc>
        <w:tc>
          <w:tcPr>
            <w:tcW w:w="880" w:type="dxa"/>
            <w:vAlign w:val="bottom"/>
          </w:tcPr>
          <w:p>
            <w:pPr>
              <w:jc w:val="right"/>
              <w:spacing w:after="0"/>
              <w:rPr>
                <w:sz w:val="20"/>
                <w:szCs w:val="20"/>
                <w:color w:val="auto"/>
              </w:rPr>
            </w:pPr>
            <w:r>
              <w:rPr>
                <w:rFonts w:ascii="Calibri" w:cs="Calibri" w:eastAsia="Calibri" w:hAnsi="Calibri"/>
                <w:sz w:val="16"/>
                <w:szCs w:val="16"/>
                <w:b w:val="1"/>
                <w:bCs w:val="1"/>
                <w:color w:val="auto"/>
              </w:rPr>
              <w:t>($93.9)</w:t>
            </w:r>
          </w:p>
        </w:tc>
      </w:tr>
      <w:tr>
        <w:trPr>
          <w:trHeight w:val="62"/>
        </w:trPr>
        <w:tc>
          <w:tcPr>
            <w:tcW w:w="16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5560" w:space="720"/>
        <w:col w:w="496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lvl>
    <w:lvl w:ilvl="1">
      <w:lvlJc w:val="left"/>
      <w:lvlText w:val="•"/>
      <w:numFmt w:val="bullet"/>
      <w:start w:val="1"/>
    </w:lvl>
    <w:lvl w:ilvl="2">
      <w:lvlJc w:val="left"/>
      <w:lvlText w:val="o"/>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2025-03-19T16:14:06Z</dcterms:created>
  <dcterms:modified xsi:type="dcterms:W3CDTF">2025-03-19T16:14:06Z</dcterms:modified>
</cp:coreProperties>
</file>