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1175385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wp:posOffset>
            </wp:positionV>
            <wp:extent cx="4663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82550</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August 11, 2022, Bakkt Holdings, Inc. (the “Company”) issued a press release regarding the Company’s results for the quarter ended June 30, 2022. A copy of the press release is attached hereto as Exhibit 99.1 and incorporated herein by reference.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this Item 2.02, including the Exhibit 99.1 attached hereto, is being furnished and shall not be deemed “filed” for purposes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183"/>
        </w:trPr>
        <w:tc>
          <w:tcPr>
            <w:tcW w:w="2220" w:type="dxa"/>
            <w:vAlign w:val="bottom"/>
            <w:gridSpan w:val="2"/>
          </w:tcPr>
          <w:p>
            <w:pPr>
              <w:jc w:val="right"/>
              <w:ind w:right="7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6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Bakkt Holdings, Inc. on August 11, 2022</w:t>
            </w:r>
          </w:p>
        </w:tc>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7"/>
        </w:trPr>
        <w:tc>
          <w:tcPr>
            <w:tcW w:w="2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2022</w:t>
      </w:r>
    </w:p>
    <w:p>
      <w:pPr>
        <w:spacing w:after="0" w:line="2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4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Bakkt Reports Second Quarter 2022 Results</w:t>
      </w: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Quarterly net revenue of $13.6 million, increased 60% year over year</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Strong customer actvity with digital asset conversion volume up 60% year over year</w:t>
      </w:r>
    </w:p>
    <w:p>
      <w:pPr>
        <w:spacing w:after="0" w:line="148"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Available cash and other liquid assets</w:t>
      </w:r>
      <w:r>
        <w:rPr>
          <w:rFonts w:ascii="Calibri" w:cs="Calibri" w:eastAsia="Calibri" w:hAnsi="Calibri"/>
          <w:sz w:val="25"/>
          <w:szCs w:val="25"/>
          <w:i w:val="1"/>
          <w:iCs w:val="1"/>
          <w:color w:val="auto"/>
          <w:vertAlign w:val="superscript"/>
        </w:rPr>
        <w:t>1</w:t>
      </w:r>
      <w:r>
        <w:rPr>
          <w:rFonts w:ascii="Calibri" w:cs="Calibri" w:eastAsia="Calibri" w:hAnsi="Calibri"/>
          <w:sz w:val="20"/>
          <w:szCs w:val="20"/>
          <w:i w:val="1"/>
          <w:iCs w:val="1"/>
          <w:color w:val="auto"/>
        </w:rPr>
        <w:t xml:space="preserve"> of over $315 million provides signifcant growth capital</w:t>
      </w:r>
    </w:p>
    <w:p>
      <w:pPr>
        <w:spacing w:after="0" w:line="86"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Updated revenue and cash usage guidance for 2022 refects the current macroeconomic environment</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Net cash use expected to decline 15-20% in 2H22 versus frst half 2022 level, driven by prudent expense management</w:t>
      </w:r>
    </w:p>
    <w:p>
      <w:pPr>
        <w:spacing w:after="0" w:line="400"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b w:val="1"/>
          <w:bCs w:val="1"/>
          <w:color w:val="auto"/>
        </w:rPr>
        <w:t xml:space="preserve">ALPHARETTA, GA – August 11, 2022 </w:t>
      </w:r>
      <w:r>
        <w:rPr>
          <w:rFonts w:ascii="Calibri" w:cs="Calibri" w:eastAsia="Calibri" w:hAnsi="Calibri"/>
          <w:sz w:val="20"/>
          <w:szCs w:val="20"/>
          <w:color w:val="auto"/>
        </w:rPr>
        <w:t>– Bakkt Holdings, Inc. (“Bakkt”) (NYSE BKKT) announced its fnancial and operatonal results for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second quarter ended June 30, 2022.</w:t>
      </w:r>
    </w:p>
    <w:p>
      <w:pPr>
        <w:spacing w:after="0" w:line="239" w:lineRule="exact"/>
        <w:rPr>
          <w:sz w:val="20"/>
          <w:szCs w:val="20"/>
          <w:color w:val="auto"/>
        </w:rPr>
      </w:pPr>
    </w:p>
    <w:p>
      <w:pPr>
        <w:ind w:right="80"/>
        <w:spacing w:after="0" w:line="213" w:lineRule="auto"/>
        <w:rPr>
          <w:sz w:val="20"/>
          <w:szCs w:val="20"/>
          <w:color w:val="auto"/>
        </w:rPr>
      </w:pPr>
      <w:r>
        <w:rPr>
          <w:rFonts w:ascii="Calibri" w:cs="Calibri" w:eastAsia="Calibri" w:hAnsi="Calibri"/>
          <w:sz w:val="20"/>
          <w:szCs w:val="20"/>
          <w:color w:val="auto"/>
        </w:rPr>
        <w:t>“We are proud of our second quarter performance where we delivered robust revenue growth, with 2Q net revenues up 60% year-over-year, and maintained a strong balance sheet, with over $315 million in available cash and other highly liquid assets” said Gavin Michael, President and CEO. “Our strong platorm and compliance-frst approach enable us to withstand challenging markets and contnue to execute against our roadmap, working closely with our partners to fully integrate our capabilites and help bring them to market.”</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Strategic Highlights</w:t>
      </w:r>
    </w:p>
    <w:p>
      <w:pPr>
        <w:ind w:left="640" w:hanging="308"/>
        <w:spacing w:after="0" w:line="212" w:lineRule="auto"/>
        <w:tabs>
          <w:tab w:leader="none" w:pos="640"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Powering Loyalty: Visa – </w:t>
      </w:r>
      <w:r>
        <w:rPr>
          <w:rFonts w:ascii="Calibri" w:cs="Calibri" w:eastAsia="Calibri" w:hAnsi="Calibri"/>
          <w:sz w:val="20"/>
          <w:szCs w:val="20"/>
          <w:color w:val="auto"/>
        </w:rPr>
        <w:t>We signed a strategic alliance with Visa to provide our solutons to Visa's extensive network.</w:t>
      </w:r>
    </w:p>
    <w:p>
      <w:pPr>
        <w:ind w:left="660" w:right="60" w:hanging="328"/>
        <w:spacing w:after="0" w:line="209" w:lineRule="auto"/>
        <w:tabs>
          <w:tab w:leader="none" w:pos="65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Crypto Connect: Sullivan Bank – </w:t>
      </w:r>
      <w:r>
        <w:rPr>
          <w:rFonts w:ascii="Calibri" w:cs="Calibri" w:eastAsia="Calibri" w:hAnsi="Calibri"/>
          <w:sz w:val="20"/>
          <w:szCs w:val="20"/>
          <w:color w:val="auto"/>
        </w:rPr>
        <w:t>We are contnuing to sign up new banks for our crypto capabilites through our previously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announced platorm partnerships. We are pleased to add our newest partner, Sullivan Bank, and will enable their retail clients to buy, sell and hold cryptocurrency within their existng, trusted banking environment. Our secure, stable, regulated and trusted platorm provides simple access to crypto for a growing number of consumers.</w:t>
      </w:r>
    </w:p>
    <w:p>
      <w:pPr>
        <w:ind w:left="660" w:right="540" w:hanging="328"/>
        <w:spacing w:after="0" w:line="212" w:lineRule="auto"/>
        <w:tabs>
          <w:tab w:leader="none" w:pos="653" w:val="left"/>
        </w:tabs>
        <w:numPr>
          <w:ilvl w:val="0"/>
          <w:numId w:val="2"/>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Crypto Platorm: Mayor of Miami – </w:t>
      </w:r>
      <w:r>
        <w:rPr>
          <w:rFonts w:ascii="Calibri" w:cs="Calibri" w:eastAsia="Calibri" w:hAnsi="Calibri"/>
          <w:sz w:val="20"/>
          <w:szCs w:val="20"/>
          <w:color w:val="auto"/>
        </w:rPr>
        <w:t>We are engaged with the Mayor of Miami to explore opportunites to actvate Miami’s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crypto ecosystem. We will partner with the Mayor on various use cases including Bakkt® Crypto Payout.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40" w:type="dxa"/>
            <w:vAlign w:val="bottom"/>
          </w:tcPr>
          <w:p>
            <w:pPr>
              <w:spacing w:after="0"/>
              <w:rPr>
                <w:sz w:val="20"/>
                <w:szCs w:val="20"/>
                <w:color w:val="auto"/>
              </w:rPr>
            </w:pPr>
            <w:r>
              <w:rPr>
                <w:rFonts w:ascii="Calibri" w:cs="Calibri" w:eastAsia="Calibri" w:hAnsi="Calibri"/>
                <w:sz w:val="20"/>
                <w:szCs w:val="20"/>
                <w:b w:val="1"/>
                <w:bCs w:val="1"/>
                <w:color w:val="auto"/>
              </w:rPr>
              <w:t>Second Quarter Financial Highlights (unaudited)</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60"/>
        </w:trPr>
        <w:tc>
          <w:tcPr>
            <w:tcW w:w="6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gridSpan w:val="3"/>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1580" w:type="dxa"/>
            <w:vAlign w:val="bottom"/>
          </w:tcPr>
          <w:p>
            <w:pPr>
              <w:spacing w:after="0"/>
              <w:rPr>
                <w:sz w:val="5"/>
                <w:szCs w:val="5"/>
                <w:color w:val="auto"/>
              </w:rPr>
            </w:pPr>
          </w:p>
        </w:tc>
      </w:tr>
      <w:tr>
        <w:trPr>
          <w:trHeight w:val="278"/>
        </w:trPr>
        <w:tc>
          <w:tcPr>
            <w:tcW w:w="6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Borders>
              <w:right w:val="single" w:sz="8" w:color="auto"/>
            </w:tcBorders>
            <w:gridSpan w:val="2"/>
          </w:tcPr>
          <w:p>
            <w:pPr>
              <w:jc w:val="right"/>
              <w:ind w:right="140"/>
              <w:spacing w:after="0" w:line="236" w:lineRule="exact"/>
              <w:rPr>
                <w:sz w:val="20"/>
                <w:szCs w:val="20"/>
                <w:color w:val="auto"/>
              </w:rPr>
            </w:pPr>
            <w:r>
              <w:rPr>
                <w:rFonts w:ascii="Calibri" w:cs="Calibri" w:eastAsia="Calibri" w:hAnsi="Calibri"/>
                <w:sz w:val="20"/>
                <w:szCs w:val="20"/>
                <w:b w:val="1"/>
                <w:bCs w:val="1"/>
                <w:color w:val="auto"/>
              </w:rPr>
              <w:t>Successor</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40"/>
              <w:spacing w:after="0" w:line="236" w:lineRule="exact"/>
              <w:rPr>
                <w:sz w:val="20"/>
                <w:szCs w:val="20"/>
                <w:color w:val="auto"/>
              </w:rPr>
            </w:pPr>
            <w:r>
              <w:rPr>
                <w:rFonts w:ascii="Calibri" w:cs="Calibri" w:eastAsia="Calibri" w:hAnsi="Calibri"/>
                <w:sz w:val="20"/>
                <w:szCs w:val="20"/>
                <w:b w:val="1"/>
                <w:bCs w:val="1"/>
                <w:color w:val="auto"/>
              </w:rPr>
              <w:t>Predecessor</w:t>
            </w:r>
          </w:p>
        </w:tc>
        <w:tc>
          <w:tcPr>
            <w:tcW w:w="1580" w:type="dxa"/>
            <w:vAlign w:val="bottom"/>
          </w:tcPr>
          <w:p>
            <w:pPr>
              <w:ind w:left="680"/>
              <w:spacing w:after="0"/>
              <w:rPr>
                <w:sz w:val="20"/>
                <w:szCs w:val="20"/>
                <w:color w:val="auto"/>
              </w:rPr>
            </w:pPr>
            <w:r>
              <w:rPr>
                <w:rFonts w:ascii="Calibri" w:cs="Calibri" w:eastAsia="Calibri" w:hAnsi="Calibri"/>
                <w:sz w:val="20"/>
                <w:szCs w:val="20"/>
                <w:b w:val="1"/>
                <w:bCs w:val="1"/>
                <w:color w:val="auto"/>
              </w:rPr>
              <w:t>Increase /</w:t>
            </w:r>
          </w:p>
        </w:tc>
      </w:tr>
      <w:tr>
        <w:trPr>
          <w:trHeight w:val="256"/>
        </w:trPr>
        <w:tc>
          <w:tcPr>
            <w:tcW w:w="6440" w:type="dxa"/>
            <w:vAlign w:val="bottom"/>
          </w:tcPr>
          <w:p>
            <w:pPr>
              <w:ind w:left="20"/>
              <w:spacing w:after="0"/>
              <w:rPr>
                <w:sz w:val="20"/>
                <w:szCs w:val="20"/>
                <w:color w:val="auto"/>
              </w:rPr>
            </w:pPr>
            <w:r>
              <w:rPr>
                <w:rFonts w:ascii="Calibri" w:cs="Calibri" w:eastAsia="Calibri" w:hAnsi="Calibri"/>
                <w:sz w:val="20"/>
                <w:szCs w:val="20"/>
                <w:b w:val="1"/>
                <w:bCs w:val="1"/>
                <w:color w:val="auto"/>
              </w:rPr>
              <w:t>$mm's</w:t>
            </w:r>
          </w:p>
        </w:tc>
        <w:tc>
          <w:tcPr>
            <w:tcW w:w="360" w:type="dxa"/>
            <w:vAlign w:val="bottom"/>
          </w:tcPr>
          <w:p>
            <w:pPr>
              <w:spacing w:after="0"/>
              <w:rPr>
                <w:sz w:val="22"/>
                <w:szCs w:val="22"/>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Calibri" w:cs="Calibri" w:eastAsia="Calibri" w:hAnsi="Calibri"/>
                <w:sz w:val="20"/>
                <w:szCs w:val="20"/>
                <w:b w:val="1"/>
                <w:bCs w:val="1"/>
                <w:color w:val="auto"/>
              </w:rPr>
              <w:t>2Q22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2Q21</w:t>
            </w:r>
          </w:p>
        </w:tc>
        <w:tc>
          <w:tcPr>
            <w:tcW w:w="1580" w:type="dxa"/>
            <w:vAlign w:val="bottom"/>
          </w:tcPr>
          <w:p>
            <w:pPr>
              <w:ind w:left="680"/>
              <w:spacing w:after="0"/>
              <w:rPr>
                <w:sz w:val="20"/>
                <w:szCs w:val="20"/>
                <w:color w:val="auto"/>
              </w:rPr>
            </w:pPr>
            <w:r>
              <w:rPr>
                <w:rFonts w:ascii="Calibri" w:cs="Calibri" w:eastAsia="Calibri" w:hAnsi="Calibri"/>
                <w:sz w:val="20"/>
                <w:szCs w:val="20"/>
                <w:b w:val="1"/>
                <w:bCs w:val="1"/>
                <w:color w:val="auto"/>
              </w:rPr>
              <w:t>(decrease)</w:t>
            </w:r>
          </w:p>
        </w:tc>
      </w:tr>
      <w:tr>
        <w:trPr>
          <w:trHeight w:val="60"/>
        </w:trPr>
        <w:tc>
          <w:tcPr>
            <w:tcW w:w="6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70"/>
        </w:trPr>
        <w:tc>
          <w:tcPr>
            <w:tcW w:w="644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Net revenues</w:t>
            </w:r>
          </w:p>
        </w:tc>
        <w:tc>
          <w:tcPr>
            <w:tcW w:w="360" w:type="dxa"/>
            <w:vAlign w:val="bottom"/>
            <w:tcBorders>
              <w:bottom w:val="single" w:sz="8" w:color="CCEEFF"/>
            </w:tcBorders>
            <w:shd w:val="clear" w:color="auto" w:fill="CCEEFF"/>
          </w:tcPr>
          <w:p>
            <w:pPr>
              <w:jc w:val="right"/>
              <w:ind w:right="141"/>
              <w:spacing w:after="0" w:line="230"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CEEFF"/>
            </w:tcBorders>
            <w:shd w:val="clear" w:color="auto" w:fill="CCEEFF"/>
          </w:tcPr>
          <w:p>
            <w:pPr>
              <w:jc w:val="center"/>
              <w:ind w:left="461"/>
              <w:spacing w:after="0" w:line="230" w:lineRule="exact"/>
              <w:rPr>
                <w:sz w:val="20"/>
                <w:szCs w:val="20"/>
                <w:color w:val="auto"/>
              </w:rPr>
            </w:pPr>
            <w:r>
              <w:rPr>
                <w:rFonts w:ascii="Calibri" w:cs="Calibri" w:eastAsia="Calibri" w:hAnsi="Calibri"/>
                <w:sz w:val="20"/>
                <w:szCs w:val="20"/>
                <w:color w:val="auto"/>
              </w:rPr>
              <w:t>13.6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61"/>
              <w:spacing w:after="0" w:line="230" w:lineRule="exact"/>
              <w:rPr>
                <w:sz w:val="20"/>
                <w:szCs w:val="20"/>
                <w:color w:val="auto"/>
              </w:rPr>
            </w:pPr>
            <w:r>
              <w:rPr>
                <w:rFonts w:ascii="Calibri" w:cs="Calibri" w:eastAsia="Calibri" w:hAnsi="Calibri"/>
                <w:sz w:val="20"/>
                <w:szCs w:val="20"/>
                <w:color w:val="auto"/>
                <w:w w:val="98"/>
              </w:rPr>
              <w:t>$</w:t>
            </w:r>
          </w:p>
        </w:tc>
        <w:tc>
          <w:tcPr>
            <w:tcW w:w="118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8.5</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60 %</w:t>
            </w:r>
          </w:p>
        </w:tc>
      </w:tr>
      <w:tr>
        <w:trPr>
          <w:trHeight w:val="237"/>
        </w:trPr>
        <w:tc>
          <w:tcPr>
            <w:tcW w:w="6440" w:type="dxa"/>
            <w:vAlign w:val="bottom"/>
          </w:tcPr>
          <w:p>
            <w:pPr>
              <w:ind w:left="20"/>
              <w:spacing w:after="0" w:line="236" w:lineRule="exact"/>
              <w:rPr>
                <w:sz w:val="20"/>
                <w:szCs w:val="20"/>
                <w:color w:val="auto"/>
              </w:rPr>
            </w:pPr>
            <w:r>
              <w:rPr>
                <w:rFonts w:ascii="Calibri" w:cs="Calibri" w:eastAsia="Calibri" w:hAnsi="Calibri"/>
                <w:sz w:val="20"/>
                <w:szCs w:val="20"/>
                <w:color w:val="auto"/>
              </w:rPr>
              <w:t>Operatng expenses</w:t>
            </w:r>
          </w:p>
        </w:tc>
        <w:tc>
          <w:tcPr>
            <w:tcW w:w="360" w:type="dxa"/>
            <w:vAlign w:val="bottom"/>
          </w:tcPr>
          <w:p>
            <w:pPr>
              <w:spacing w:after="0"/>
              <w:rPr>
                <w:sz w:val="20"/>
                <w:szCs w:val="20"/>
                <w:color w:val="auto"/>
              </w:rPr>
            </w:pPr>
          </w:p>
        </w:tc>
        <w:tc>
          <w:tcPr>
            <w:tcW w:w="1080" w:type="dxa"/>
            <w:vAlign w:val="bottom"/>
          </w:tcPr>
          <w:p>
            <w:pPr>
              <w:jc w:val="center"/>
              <w:ind w:left="461"/>
              <w:spacing w:after="0" w:line="236" w:lineRule="exact"/>
              <w:rPr>
                <w:sz w:val="20"/>
                <w:szCs w:val="20"/>
                <w:color w:val="auto"/>
              </w:rPr>
            </w:pPr>
            <w:r>
              <w:rPr>
                <w:rFonts w:ascii="Calibri" w:cs="Calibri" w:eastAsia="Calibri" w:hAnsi="Calibri"/>
                <w:sz w:val="20"/>
                <w:szCs w:val="20"/>
                <w:color w:val="auto"/>
              </w:rPr>
              <w:t>57.1</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line="236" w:lineRule="exact"/>
              <w:rPr>
                <w:sz w:val="20"/>
                <w:szCs w:val="20"/>
                <w:color w:val="auto"/>
              </w:rPr>
            </w:pPr>
            <w:r>
              <w:rPr>
                <w:rFonts w:ascii="Calibri" w:cs="Calibri" w:eastAsia="Calibri" w:hAnsi="Calibri"/>
                <w:sz w:val="20"/>
                <w:szCs w:val="20"/>
                <w:color w:val="auto"/>
              </w:rPr>
              <w:t>39.8</w:t>
            </w:r>
          </w:p>
        </w:tc>
        <w:tc>
          <w:tcPr>
            <w:tcW w:w="140" w:type="dxa"/>
            <w:vAlign w:val="bottom"/>
          </w:tcPr>
          <w:p>
            <w:pPr>
              <w:spacing w:after="0"/>
              <w:rPr>
                <w:sz w:val="20"/>
                <w:szCs w:val="20"/>
                <w:color w:val="auto"/>
              </w:rPr>
            </w:pPr>
          </w:p>
        </w:tc>
        <w:tc>
          <w:tcPr>
            <w:tcW w:w="1580" w:type="dxa"/>
            <w:vAlign w:val="bottom"/>
          </w:tcPr>
          <w:p>
            <w:pPr>
              <w:jc w:val="right"/>
              <w:spacing w:after="0" w:line="236" w:lineRule="exact"/>
              <w:rPr>
                <w:sz w:val="20"/>
                <w:szCs w:val="20"/>
                <w:color w:val="auto"/>
              </w:rPr>
            </w:pPr>
            <w:r>
              <w:rPr>
                <w:rFonts w:ascii="Calibri" w:cs="Calibri" w:eastAsia="Calibri" w:hAnsi="Calibri"/>
                <w:sz w:val="20"/>
                <w:szCs w:val="20"/>
                <w:color w:val="auto"/>
              </w:rPr>
              <w:t>43 %</w:t>
            </w:r>
          </w:p>
        </w:tc>
      </w:tr>
      <w:tr>
        <w:trPr>
          <w:trHeight w:val="60"/>
        </w:trPr>
        <w:tc>
          <w:tcPr>
            <w:tcW w:w="64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right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70"/>
        </w:trPr>
        <w:tc>
          <w:tcPr>
            <w:tcW w:w="644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Operatng loss</w:t>
            </w:r>
          </w:p>
        </w:tc>
        <w:tc>
          <w:tcPr>
            <w:tcW w:w="360" w:type="dxa"/>
            <w:vAlign w:val="bottom"/>
            <w:tcBorders>
              <w:bottom w:val="single" w:sz="8" w:color="CCEEFF"/>
            </w:tcBorders>
            <w:shd w:val="clear" w:color="auto" w:fill="CCEEFF"/>
          </w:tcPr>
          <w:p>
            <w:pPr>
              <w:jc w:val="right"/>
              <w:ind w:right="141"/>
              <w:spacing w:after="0" w:line="230" w:lineRule="exact"/>
              <w:rPr>
                <w:sz w:val="20"/>
                <w:szCs w:val="20"/>
                <w:color w:val="auto"/>
              </w:rPr>
            </w:pPr>
            <w:r>
              <w:rPr>
                <w:rFonts w:ascii="Calibri" w:cs="Calibri" w:eastAsia="Calibri" w:hAnsi="Calibri"/>
                <w:sz w:val="20"/>
                <w:szCs w:val="20"/>
                <w:color w:val="auto"/>
                <w:w w:val="98"/>
              </w:rPr>
              <w:t>$</w:t>
            </w:r>
          </w:p>
        </w:tc>
        <w:tc>
          <w:tcPr>
            <w:tcW w:w="1080" w:type="dxa"/>
            <w:vAlign w:val="bottom"/>
            <w:tcBorders>
              <w:bottom w:val="single" w:sz="8" w:color="CCEEFF"/>
            </w:tcBorders>
            <w:shd w:val="clear" w:color="auto" w:fill="CCEEFF"/>
          </w:tcPr>
          <w:p>
            <w:pPr>
              <w:jc w:val="center"/>
              <w:ind w:left="441"/>
              <w:spacing w:after="0" w:line="230" w:lineRule="exact"/>
              <w:rPr>
                <w:sz w:val="20"/>
                <w:szCs w:val="20"/>
                <w:color w:val="auto"/>
              </w:rPr>
            </w:pPr>
            <w:r>
              <w:rPr>
                <w:rFonts w:ascii="Calibri" w:cs="Calibri" w:eastAsia="Calibri" w:hAnsi="Calibri"/>
                <w:sz w:val="20"/>
                <w:szCs w:val="20"/>
                <w:color w:val="auto"/>
              </w:rPr>
              <w:t>(43.6)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61"/>
              <w:spacing w:after="0" w:line="230" w:lineRule="exact"/>
              <w:rPr>
                <w:sz w:val="20"/>
                <w:szCs w:val="20"/>
                <w:color w:val="auto"/>
              </w:rPr>
            </w:pPr>
            <w:r>
              <w:rPr>
                <w:rFonts w:ascii="Calibri" w:cs="Calibri" w:eastAsia="Calibri" w:hAnsi="Calibri"/>
                <w:sz w:val="20"/>
                <w:szCs w:val="20"/>
                <w:color w:val="auto"/>
                <w:w w:val="98"/>
              </w:rPr>
              <w:t>$</w:t>
            </w:r>
          </w:p>
        </w:tc>
        <w:tc>
          <w:tcPr>
            <w:tcW w:w="118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(31.3)</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(39)%</w:t>
            </w:r>
          </w:p>
        </w:tc>
      </w:tr>
      <w:tr>
        <w:trPr>
          <w:trHeight w:val="237"/>
        </w:trPr>
        <w:tc>
          <w:tcPr>
            <w:tcW w:w="6440" w:type="dxa"/>
            <w:vAlign w:val="bottom"/>
          </w:tcPr>
          <w:p>
            <w:pPr>
              <w:ind w:left="20"/>
              <w:spacing w:after="0" w:line="236" w:lineRule="exact"/>
              <w:rPr>
                <w:sz w:val="20"/>
                <w:szCs w:val="20"/>
                <w:color w:val="auto"/>
              </w:rPr>
            </w:pPr>
            <w:r>
              <w:rPr>
                <w:rFonts w:ascii="Calibri" w:cs="Calibri" w:eastAsia="Calibri" w:hAnsi="Calibri"/>
                <w:sz w:val="20"/>
                <w:szCs w:val="20"/>
                <w:color w:val="auto"/>
              </w:rPr>
              <w:t>Net loss</w:t>
            </w:r>
          </w:p>
        </w:tc>
        <w:tc>
          <w:tcPr>
            <w:tcW w:w="360" w:type="dxa"/>
            <w:vAlign w:val="bottom"/>
          </w:tcPr>
          <w:p>
            <w:pPr>
              <w:jc w:val="right"/>
              <w:ind w:right="141"/>
              <w:spacing w:after="0" w:line="236" w:lineRule="exact"/>
              <w:rPr>
                <w:sz w:val="20"/>
                <w:szCs w:val="20"/>
                <w:color w:val="auto"/>
              </w:rPr>
            </w:pPr>
            <w:r>
              <w:rPr>
                <w:rFonts w:ascii="Calibri" w:cs="Calibri" w:eastAsia="Calibri" w:hAnsi="Calibri"/>
                <w:sz w:val="20"/>
                <w:szCs w:val="20"/>
                <w:color w:val="auto"/>
                <w:w w:val="98"/>
              </w:rPr>
              <w:t>$</w:t>
            </w:r>
          </w:p>
        </w:tc>
        <w:tc>
          <w:tcPr>
            <w:tcW w:w="1080" w:type="dxa"/>
            <w:vAlign w:val="bottom"/>
          </w:tcPr>
          <w:p>
            <w:pPr>
              <w:jc w:val="center"/>
              <w:ind w:left="441"/>
              <w:spacing w:after="0" w:line="236" w:lineRule="exact"/>
              <w:rPr>
                <w:sz w:val="20"/>
                <w:szCs w:val="20"/>
                <w:color w:val="auto"/>
              </w:rPr>
            </w:pPr>
            <w:r>
              <w:rPr>
                <w:rFonts w:ascii="Calibri" w:cs="Calibri" w:eastAsia="Calibri" w:hAnsi="Calibri"/>
                <w:sz w:val="20"/>
                <w:szCs w:val="20"/>
                <w:color w:val="auto"/>
              </w:rPr>
              <w:t>(27.6)</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61"/>
              <w:spacing w:after="0" w:line="236" w:lineRule="exact"/>
              <w:rPr>
                <w:sz w:val="20"/>
                <w:szCs w:val="20"/>
                <w:color w:val="auto"/>
              </w:rPr>
            </w:pPr>
            <w:r>
              <w:rPr>
                <w:rFonts w:ascii="Calibri" w:cs="Calibri" w:eastAsia="Calibri" w:hAnsi="Calibri"/>
                <w:sz w:val="20"/>
                <w:szCs w:val="20"/>
                <w:color w:val="auto"/>
                <w:w w:val="98"/>
              </w:rPr>
              <w:t>$</w:t>
            </w:r>
          </w:p>
        </w:tc>
        <w:tc>
          <w:tcPr>
            <w:tcW w:w="1180" w:type="dxa"/>
            <w:vAlign w:val="bottom"/>
          </w:tcPr>
          <w:p>
            <w:pPr>
              <w:jc w:val="right"/>
              <w:spacing w:after="0" w:line="236" w:lineRule="exact"/>
              <w:rPr>
                <w:sz w:val="20"/>
                <w:szCs w:val="20"/>
                <w:color w:val="auto"/>
              </w:rPr>
            </w:pPr>
            <w:r>
              <w:rPr>
                <w:rFonts w:ascii="Calibri" w:cs="Calibri" w:eastAsia="Calibri" w:hAnsi="Calibri"/>
                <w:sz w:val="20"/>
                <w:szCs w:val="20"/>
                <w:color w:val="auto"/>
              </w:rPr>
              <w:t>(31.9)</w:t>
            </w:r>
          </w:p>
        </w:tc>
        <w:tc>
          <w:tcPr>
            <w:tcW w:w="140" w:type="dxa"/>
            <w:vAlign w:val="bottom"/>
          </w:tcPr>
          <w:p>
            <w:pPr>
              <w:spacing w:after="0"/>
              <w:rPr>
                <w:sz w:val="20"/>
                <w:szCs w:val="20"/>
                <w:color w:val="auto"/>
              </w:rPr>
            </w:pPr>
          </w:p>
        </w:tc>
        <w:tc>
          <w:tcPr>
            <w:tcW w:w="1580" w:type="dxa"/>
            <w:vAlign w:val="bottom"/>
          </w:tcPr>
          <w:p>
            <w:pPr>
              <w:jc w:val="right"/>
              <w:spacing w:after="0" w:line="236" w:lineRule="exact"/>
              <w:rPr>
                <w:sz w:val="20"/>
                <w:szCs w:val="20"/>
                <w:color w:val="auto"/>
              </w:rPr>
            </w:pPr>
            <w:r>
              <w:rPr>
                <w:rFonts w:ascii="Calibri" w:cs="Calibri" w:eastAsia="Calibri" w:hAnsi="Calibri"/>
                <w:sz w:val="20"/>
                <w:szCs w:val="20"/>
                <w:color w:val="auto"/>
              </w:rPr>
              <w:t>13 %</w:t>
            </w:r>
          </w:p>
        </w:tc>
      </w:tr>
      <w:tr>
        <w:trPr>
          <w:trHeight w:val="60"/>
        </w:trPr>
        <w:tc>
          <w:tcPr>
            <w:tcW w:w="6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Pr>
          <w:p>
            <w:pPr>
              <w:spacing w:after="0"/>
              <w:rPr>
                <w:sz w:val="5"/>
                <w:szCs w:val="5"/>
                <w:color w:val="auto"/>
              </w:rPr>
            </w:pPr>
          </w:p>
        </w:tc>
      </w:tr>
      <w:tr>
        <w:trPr>
          <w:trHeight w:val="237"/>
        </w:trPr>
        <w:tc>
          <w:tcPr>
            <w:tcW w:w="6440" w:type="dxa"/>
            <w:vAlign w:val="bottom"/>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Adjusted EBITDA (non-GAAP)</w:t>
            </w:r>
          </w:p>
        </w:tc>
        <w:tc>
          <w:tcPr>
            <w:tcW w:w="360" w:type="dxa"/>
            <w:vAlign w:val="bottom"/>
            <w:shd w:val="clear" w:color="auto" w:fill="CCEEFF"/>
          </w:tcPr>
          <w:p>
            <w:pPr>
              <w:jc w:val="right"/>
              <w:ind w:right="141"/>
              <w:spacing w:after="0" w:line="236" w:lineRule="exact"/>
              <w:rPr>
                <w:sz w:val="20"/>
                <w:szCs w:val="20"/>
                <w:color w:val="auto"/>
              </w:rPr>
            </w:pPr>
            <w:r>
              <w:rPr>
                <w:rFonts w:ascii="Calibri" w:cs="Calibri" w:eastAsia="Calibri" w:hAnsi="Calibri"/>
                <w:sz w:val="20"/>
                <w:szCs w:val="20"/>
                <w:color w:val="auto"/>
                <w:w w:val="98"/>
              </w:rPr>
              <w:t>$</w:t>
            </w:r>
          </w:p>
        </w:tc>
        <w:tc>
          <w:tcPr>
            <w:tcW w:w="1080" w:type="dxa"/>
            <w:vAlign w:val="bottom"/>
            <w:shd w:val="clear" w:color="auto" w:fill="CCEEFF"/>
          </w:tcPr>
          <w:p>
            <w:pPr>
              <w:jc w:val="center"/>
              <w:ind w:left="441"/>
              <w:spacing w:after="0" w:line="236" w:lineRule="exact"/>
              <w:rPr>
                <w:sz w:val="20"/>
                <w:szCs w:val="20"/>
                <w:color w:val="auto"/>
              </w:rPr>
            </w:pPr>
            <w:r>
              <w:rPr>
                <w:rFonts w:ascii="Calibri" w:cs="Calibri" w:eastAsia="Calibri" w:hAnsi="Calibri"/>
                <w:sz w:val="20"/>
                <w:szCs w:val="20"/>
                <w:color w:val="auto"/>
              </w:rPr>
              <w:t>(29.6)</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1"/>
              <w:spacing w:after="0" w:line="236" w:lineRule="exact"/>
              <w:rPr>
                <w:sz w:val="20"/>
                <w:szCs w:val="20"/>
                <w:color w:val="auto"/>
              </w:rPr>
            </w:pPr>
            <w:r>
              <w:rPr>
                <w:rFonts w:ascii="Calibri" w:cs="Calibri" w:eastAsia="Calibri" w:hAnsi="Calibri"/>
                <w:sz w:val="20"/>
                <w:szCs w:val="20"/>
                <w:color w:val="auto"/>
                <w:w w:val="98"/>
              </w:rPr>
              <w:t>$</w:t>
            </w:r>
          </w:p>
        </w:tc>
        <w:tc>
          <w:tcPr>
            <w:tcW w:w="118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(24.9)</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(19)%</w:t>
            </w:r>
          </w:p>
        </w:tc>
      </w:tr>
      <w:tr>
        <w:trPr>
          <w:trHeight w:val="60"/>
        </w:trPr>
        <w:tc>
          <w:tcPr>
            <w:tcW w:w="64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tcBorders>
              <w:right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2" w:lineRule="exact"/>
        <w:rPr>
          <w:sz w:val="20"/>
          <w:szCs w:val="20"/>
          <w:color w:val="auto"/>
        </w:rPr>
      </w:pPr>
    </w:p>
    <w:p>
      <w:pPr>
        <w:ind w:left="120" w:hanging="106"/>
        <w:spacing w:after="0"/>
        <w:tabs>
          <w:tab w:leader="none" w:pos="120" w:val="left"/>
        </w:tabs>
        <w:numPr>
          <w:ilvl w:val="0"/>
          <w:numId w:val="3"/>
        </w:numPr>
        <w:rPr>
          <w:rFonts w:ascii="Calibri" w:cs="Calibri" w:eastAsia="Calibri" w:hAnsi="Calibri"/>
          <w:sz w:val="21"/>
          <w:szCs w:val="21"/>
          <w:color w:val="auto"/>
          <w:vertAlign w:val="superscript"/>
        </w:rPr>
      </w:pPr>
      <w:r>
        <w:rPr>
          <w:rFonts w:ascii="Calibri" w:cs="Calibri" w:eastAsia="Calibri" w:hAnsi="Calibri"/>
          <w:sz w:val="16"/>
          <w:szCs w:val="16"/>
          <w:color w:val="auto"/>
        </w:rPr>
        <w:t>Includes other highly liquid assets such as Treasury bills and notes; excludes restricted cash</w:t>
      </w:r>
    </w:p>
    <w:p>
      <w:pPr>
        <w:spacing w:after="0" w:line="200" w:lineRule="exact"/>
        <w:rPr>
          <w:rFonts w:ascii="Calibri" w:cs="Calibri" w:eastAsia="Calibri" w:hAnsi="Calibri"/>
          <w:sz w:val="21"/>
          <w:szCs w:val="21"/>
          <w:color w:val="auto"/>
          <w:vertAlign w:val="superscript"/>
        </w:rPr>
      </w:pPr>
    </w:p>
    <w:p>
      <w:pPr>
        <w:spacing w:after="0" w:line="200" w:lineRule="exact"/>
        <w:rPr>
          <w:rFonts w:ascii="Calibri" w:cs="Calibri" w:eastAsia="Calibri" w:hAnsi="Calibri"/>
          <w:sz w:val="21"/>
          <w:szCs w:val="21"/>
          <w:color w:val="auto"/>
          <w:vertAlign w:val="superscript"/>
        </w:rPr>
      </w:pPr>
    </w:p>
    <w:p>
      <w:pPr>
        <w:spacing w:after="0" w:line="200" w:lineRule="exact"/>
        <w:rPr>
          <w:rFonts w:ascii="Calibri" w:cs="Calibri" w:eastAsia="Calibri" w:hAnsi="Calibri"/>
          <w:sz w:val="21"/>
          <w:szCs w:val="21"/>
          <w:color w:val="auto"/>
          <w:vertAlign w:val="superscript"/>
        </w:rPr>
      </w:pPr>
    </w:p>
    <w:p>
      <w:pPr>
        <w:spacing w:after="0" w:line="273" w:lineRule="exact"/>
        <w:rPr>
          <w:rFonts w:ascii="Calibri" w:cs="Calibri" w:eastAsia="Calibri" w:hAnsi="Calibri"/>
          <w:sz w:val="21"/>
          <w:szCs w:val="21"/>
          <w:color w:val="auto"/>
          <w:vertAlign w:val="superscript"/>
        </w:rPr>
      </w:pPr>
    </w:p>
    <w:p>
      <w:pPr>
        <w:ind w:left="5580"/>
        <w:spacing w:after="0"/>
        <w:rPr>
          <w:rFonts w:ascii="Calibri" w:cs="Calibri" w:eastAsia="Calibri" w:hAnsi="Calibri"/>
          <w:sz w:val="21"/>
          <w:szCs w:val="21"/>
          <w:color w:val="auto"/>
          <w:vertAlign w:val="superscript"/>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spacing w:after="0" w:line="201" w:lineRule="exact"/>
        <w:rPr>
          <w:sz w:val="20"/>
          <w:szCs w:val="20"/>
          <w:color w:val="auto"/>
        </w:rPr>
      </w:pPr>
    </w:p>
    <w:p>
      <w:pPr>
        <w:ind w:left="660" w:right="260" w:hanging="328"/>
        <w:spacing w:after="0" w:line="221"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Transactng accounts of 681,000 increased 10% year-over-year. Digital asset conversion volume of $205 million increased 60% year-over-year due to strong loyalty redempton growth, led by increased travel actvity.</w:t>
      </w:r>
    </w:p>
    <w:p>
      <w:pPr>
        <w:ind w:left="660" w:right="180" w:hanging="328"/>
        <w:spacing w:after="0" w:line="21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Net revenue of $13.6 million increased 60% year-over-year, primarily driven by strong transacton revenue growth from loyalty redempton.</w:t>
      </w:r>
    </w:p>
    <w:p>
      <w:pPr>
        <w:spacing w:after="0" w:line="1" w:lineRule="exact"/>
        <w:rPr>
          <w:rFonts w:ascii="Calibri" w:cs="Calibri" w:eastAsia="Calibri" w:hAnsi="Calibri"/>
          <w:sz w:val="20"/>
          <w:szCs w:val="20"/>
          <w:color w:val="auto"/>
        </w:rPr>
      </w:pPr>
    </w:p>
    <w:p>
      <w:pPr>
        <w:ind w:left="640" w:hanging="308"/>
        <w:spacing w:after="0" w:line="225" w:lineRule="auto"/>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Operatng expense of $57.1 million increased 43% year-over-year, primarily driven by increased noncash compensaton expense.</w:t>
      </w:r>
    </w:p>
    <w:p>
      <w:pPr>
        <w:ind w:left="640" w:hanging="308"/>
        <w:spacing w:after="0" w:line="212" w:lineRule="auto"/>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Adjusted EBITDA (non-GAAP) of $(29.6 million) decreased 19% year-over-year, primarily due to higher operatng expenses.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Updated Guidance for 2022</w:t>
      </w:r>
      <w:r>
        <w:rPr>
          <w:rFonts w:ascii="Calibri" w:cs="Calibri" w:eastAsia="Calibri" w:hAnsi="Calibri"/>
          <w:sz w:val="25"/>
          <w:szCs w:val="25"/>
          <w:b w:val="1"/>
          <w:bCs w:val="1"/>
          <w:color w:val="auto"/>
          <w:vertAlign w:val="superscript"/>
        </w:rPr>
        <w:t>2</w:t>
      </w:r>
    </w:p>
    <w:p>
      <w:pPr>
        <w:spacing w:after="0" w:line="163" w:lineRule="exact"/>
        <w:rPr>
          <w:sz w:val="20"/>
          <w:szCs w:val="20"/>
          <w:color w:val="auto"/>
        </w:rPr>
      </w:pPr>
    </w:p>
    <w:p>
      <w:pPr>
        <w:ind w:left="660" w:right="60" w:hanging="328"/>
        <w:spacing w:after="0" w:line="222"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Net revenue expected to grow to $57 million - $62 million in 2022, an increase of approximately 45% to 60% compared to $27.9 million in Predecessor from 1/1/21-10/14/21 and $11.5 million in Successor from 10/15/21-12/31/21 (or 2021 Combined net revenue of $39.4 million).</w:t>
      </w:r>
    </w:p>
    <w:p>
      <w:pPr>
        <w:spacing w:after="0" w:line="2" w:lineRule="exact"/>
        <w:rPr>
          <w:rFonts w:ascii="Calibri" w:cs="Calibri" w:eastAsia="Calibri" w:hAnsi="Calibri"/>
          <w:sz w:val="20"/>
          <w:szCs w:val="20"/>
          <w:color w:val="auto"/>
        </w:rPr>
      </w:pPr>
    </w:p>
    <w:p>
      <w:pPr>
        <w:ind w:left="1300" w:hanging="320"/>
        <w:spacing w:after="0" w:line="212" w:lineRule="auto"/>
        <w:tabs>
          <w:tab w:leader="none" w:pos="1300"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Prior 2022 guidance of $60 million - $80 million.</w:t>
      </w:r>
    </w:p>
    <w:p>
      <w:pPr>
        <w:spacing w:after="0" w:line="16" w:lineRule="exact"/>
        <w:rPr>
          <w:rFonts w:ascii="Arial" w:cs="Arial" w:eastAsia="Arial" w:hAnsi="Arial"/>
          <w:sz w:val="20"/>
          <w:szCs w:val="20"/>
          <w:color w:val="auto"/>
        </w:rPr>
      </w:pPr>
    </w:p>
    <w:p>
      <w:pPr>
        <w:ind w:left="1300" w:right="120" w:hanging="320"/>
        <w:spacing w:after="0" w:line="211" w:lineRule="auto"/>
        <w:tabs>
          <w:tab w:leader="none" w:pos="1303"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Updated guidance due to elongated crypto decision tmelines given current market environment and summer air travel supply constraints.</w:t>
      </w:r>
    </w:p>
    <w:p>
      <w:pPr>
        <w:ind w:left="1300" w:right="420" w:hanging="320"/>
        <w:spacing w:after="0" w:line="218" w:lineRule="auto"/>
        <w:tabs>
          <w:tab w:leader="none" w:pos="1303"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Assumes macro environment that supports strong merchandise loyalty redempton volume in the seasonally strong fourth quarter.</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Expect to use $135 million - $140 million of cash during 2022 as we contnue to work to execute on our roadmap.</w:t>
      </w:r>
    </w:p>
    <w:p>
      <w:pPr>
        <w:ind w:left="1300" w:hanging="320"/>
        <w:spacing w:after="0" w:line="212" w:lineRule="auto"/>
        <w:tabs>
          <w:tab w:leader="none" w:pos="1300"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Prior 2022 guidance of $150 million - $170 million.</w:t>
      </w:r>
    </w:p>
    <w:p>
      <w:pPr>
        <w:spacing w:after="0" w:line="16" w:lineRule="exact"/>
        <w:rPr>
          <w:rFonts w:ascii="Arial" w:cs="Arial" w:eastAsia="Arial" w:hAnsi="Arial"/>
          <w:sz w:val="20"/>
          <w:szCs w:val="20"/>
          <w:color w:val="auto"/>
        </w:rPr>
      </w:pPr>
    </w:p>
    <w:p>
      <w:pPr>
        <w:ind w:left="1300" w:hanging="320"/>
        <w:spacing w:after="0" w:line="196" w:lineRule="auto"/>
        <w:tabs>
          <w:tab w:leader="none" w:pos="1300"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We used approximately $76 million of cash in the frst half of 2022.</w:t>
      </w:r>
    </w:p>
    <w:p>
      <w:pPr>
        <w:spacing w:after="0" w:line="16" w:lineRule="exact"/>
        <w:rPr>
          <w:rFonts w:ascii="Arial" w:cs="Arial" w:eastAsia="Arial" w:hAnsi="Arial"/>
          <w:sz w:val="20"/>
          <w:szCs w:val="20"/>
          <w:color w:val="auto"/>
        </w:rPr>
      </w:pPr>
    </w:p>
    <w:p>
      <w:pPr>
        <w:ind w:left="1300" w:right="60" w:hanging="320"/>
        <w:spacing w:after="0" w:line="211" w:lineRule="auto"/>
        <w:tabs>
          <w:tab w:leader="none" w:pos="1303"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Updated outlook refects an approximate 15% to 20% reducton in the second half of 2022 from levels in the frst half of the year, driven by prudent expense management, while contnuing to deliver on our roadmap.</w:t>
      </w:r>
    </w:p>
    <w:p>
      <w:pPr>
        <w:ind w:left="640" w:hanging="308"/>
        <w:spacing w:after="0" w:line="195" w:lineRule="auto"/>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Strong available liquidity, with approximately $315 million of available cash and other liquid assets</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as of June 30, 2022.</w:t>
      </w:r>
    </w:p>
    <w:p>
      <w:pPr>
        <w:spacing w:after="0" w:line="1" w:lineRule="exact"/>
        <w:rPr>
          <w:rFonts w:ascii="Calibri" w:cs="Calibri" w:eastAsia="Calibri" w:hAnsi="Calibri"/>
          <w:sz w:val="20"/>
          <w:szCs w:val="20"/>
          <w:color w:val="auto"/>
        </w:rPr>
      </w:pPr>
    </w:p>
    <w:p>
      <w:pPr>
        <w:ind w:left="640" w:hanging="308"/>
        <w:spacing w:after="0" w:line="193" w:lineRule="auto"/>
        <w:tabs>
          <w:tab w:leader="none" w:pos="640"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We expect to contnue to invest in growing the business, and therefore expect to recognize quarterly net losses during 2022.</w:t>
      </w:r>
    </w:p>
    <w:p>
      <w:pPr>
        <w:spacing w:after="0" w:line="36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Webcast and Conference Call Informaton</w:t>
      </w:r>
    </w:p>
    <w:p>
      <w:pPr>
        <w:spacing w:after="0" w:line="144" w:lineRule="exact"/>
        <w:rPr>
          <w:sz w:val="20"/>
          <w:szCs w:val="20"/>
          <w:color w:val="auto"/>
        </w:rPr>
      </w:pPr>
    </w:p>
    <w:p>
      <w:pPr>
        <w:ind w:right="60"/>
        <w:spacing w:after="0" w:line="216" w:lineRule="auto"/>
        <w:rPr>
          <w:sz w:val="20"/>
          <w:szCs w:val="20"/>
          <w:color w:val="auto"/>
        </w:rPr>
      </w:pPr>
      <w:r>
        <w:rPr>
          <w:rFonts w:ascii="Calibri" w:cs="Calibri" w:eastAsia="Calibri" w:hAnsi="Calibri"/>
          <w:sz w:val="20"/>
          <w:szCs w:val="20"/>
          <w:color w:val="auto"/>
        </w:rPr>
        <w:t xml:space="preserve">Bakkt will host a conference call at 9:00AM ET, August 11, 2022. The live webcast of Bakkt’s earnings conference call can be accessed at </w:t>
      </w:r>
      <w:r>
        <w:rPr>
          <w:rFonts w:ascii="Calibri" w:cs="Calibri" w:eastAsia="Calibri" w:hAnsi="Calibri"/>
          <w:sz w:val="20"/>
          <w:szCs w:val="20"/>
          <w:u w:val="single" w:color="auto"/>
          <w:color w:val="0563C1"/>
        </w:rPr>
        <w:t>htps://investors.bakkt.com</w:t>
      </w:r>
      <w:r>
        <w:rPr>
          <w:rFonts w:ascii="Calibri" w:cs="Calibri" w:eastAsia="Calibri" w:hAnsi="Calibri"/>
          <w:sz w:val="20"/>
          <w:szCs w:val="20"/>
          <w:color w:val="000000"/>
        </w:rPr>
        <w:t>, along with the earnings press release and accompanying slide presentaton. Investors and analysts</w:t>
      </w:r>
      <w:r>
        <w:rPr>
          <w:rFonts w:ascii="Calibri" w:cs="Calibri" w:eastAsia="Calibri" w:hAnsi="Calibri"/>
          <w:sz w:val="20"/>
          <w:szCs w:val="20"/>
          <w:color w:val="0563C1"/>
        </w:rPr>
        <w:t xml:space="preserve"> </w:t>
      </w:r>
      <w:r>
        <w:rPr>
          <w:rFonts w:ascii="Calibri" w:cs="Calibri" w:eastAsia="Calibri" w:hAnsi="Calibri"/>
          <w:sz w:val="20"/>
          <w:szCs w:val="20"/>
          <w:color w:val="000000"/>
        </w:rPr>
        <w:t>interested in partcipatng in the call are invited to dial (844) 200-6205 or (646) 904-5544, and reference partcipant access code 262063 approximately ten minutes prior to the start of the call. A replay will be available promptly afer the call and can be accessed by dialing</w:t>
      </w:r>
    </w:p>
    <w:p>
      <w:pPr>
        <w:ind w:left="480" w:hanging="472"/>
        <w:spacing w:after="0" w:line="202" w:lineRule="auto"/>
        <w:tabs>
          <w:tab w:leader="none" w:pos="48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813-9403 and entering the access code 733268. The replay will be available through September 10, 2022.</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317" w:lineRule="exact"/>
        <w:rPr>
          <w:rFonts w:ascii="Calibri" w:cs="Calibri" w:eastAsia="Calibri" w:hAnsi="Calibri"/>
          <w:sz w:val="20"/>
          <w:szCs w:val="20"/>
          <w:color w:val="auto"/>
        </w:rPr>
      </w:pPr>
    </w:p>
    <w:p>
      <w:pPr>
        <w:ind w:left="5480"/>
        <w:spacing w:after="0"/>
        <w:rPr>
          <w:rFonts w:ascii="Calibri" w:cs="Calibri" w:eastAsia="Calibri" w:hAnsi="Calibri"/>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6" w:lineRule="exact"/>
        <w:rPr>
          <w:sz w:val="20"/>
          <w:szCs w:val="20"/>
          <w:color w:val="auto"/>
        </w:rPr>
      </w:pPr>
    </w:p>
    <w:p>
      <w:pPr>
        <w:ind w:right="20" w:firstLine="8"/>
        <w:spacing w:after="0" w:line="186" w:lineRule="auto"/>
        <w:tabs>
          <w:tab w:leader="none" w:pos="111" w:val="left"/>
        </w:tabs>
        <w:numPr>
          <w:ilvl w:val="0"/>
          <w:numId w:val="7"/>
        </w:numPr>
        <w:rPr>
          <w:rFonts w:ascii="Calibri" w:cs="Calibri" w:eastAsia="Calibri" w:hAnsi="Calibri"/>
          <w:sz w:val="26"/>
          <w:szCs w:val="26"/>
          <w:color w:val="auto"/>
          <w:vertAlign w:val="superscript"/>
        </w:rPr>
      </w:pPr>
      <w:r>
        <w:rPr>
          <w:rFonts w:ascii="Calibri" w:cs="Calibri" w:eastAsia="Calibri" w:hAnsi="Calibri"/>
          <w:sz w:val="18"/>
          <w:szCs w:val="18"/>
          <w:color w:val="auto"/>
        </w:rPr>
        <w:t>Guidance assumes no further signifcant disruptons from COVID-19 pandemic; potental acquisitons and other signifcant opportunites are not included in this guidance. See disclaimers for more informaton regarding forward-looking statements, which includes all guidance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1440" w:right="399" w:bottom="1440" w:gutter="0" w:footer="0" w:header="0"/>
        </w:sectPr>
      </w:pPr>
    </w:p>
    <w:bookmarkStart w:id="5" w:name="page6"/>
    <w:bookmarkEnd w:id="5"/>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Bakkt</w:t>
      </w:r>
    </w:p>
    <w:p>
      <w:pPr>
        <w:spacing w:after="0" w:line="157"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 xml:space="preserve">Bakkt is a digital asset platorm that unlocks crypto and drives loyalty to create delightul, connected experiences for a broad range of clients. Bakkt’s platorm, available through the Bakkt App and to partners, amplifes consumer spending and bolsters loyalty programs, adding value for all key stakeholders within the Bakkt payments and digital assets ecosystem. Launched in 2018, Bakkt is headquartered in Alphareta, GA. For more informaton, visit: htps://www.bakkt.com/ | Twiter @Bakkt | LinkedIn </w:t>
      </w:r>
      <w:r>
        <w:rPr>
          <w:rFonts w:ascii="Calibri" w:cs="Calibri" w:eastAsia="Calibri" w:hAnsi="Calibri"/>
          <w:sz w:val="20"/>
          <w:szCs w:val="20"/>
          <w:u w:val="single" w:color="auto"/>
          <w:color w:val="0563C1"/>
        </w:rPr>
        <w:t>htps://www.linkedin.com/company/bakkt/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6"/>
          <w:szCs w:val="16"/>
          <w:color w:val="auto"/>
        </w:rPr>
        <w:t>Bakkt-E</w:t>
      </w:r>
    </w:p>
    <w:p>
      <w:pPr>
        <w:spacing w:after="0" w:line="232" w:lineRule="auto"/>
        <w:rPr>
          <w:sz w:val="20"/>
          <w:szCs w:val="20"/>
          <w:color w:val="auto"/>
        </w:rPr>
      </w:pPr>
      <w:r>
        <w:rPr>
          <w:rFonts w:ascii="Calibri" w:cs="Calibri" w:eastAsia="Calibri" w:hAnsi="Calibri"/>
          <w:sz w:val="16"/>
          <w:szCs w:val="16"/>
          <w:i w:val="1"/>
          <w:iCs w:val="1"/>
          <w:color w:val="auto"/>
        </w:rPr>
        <w:t>Source: Bakkt Holdings, Inc.</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Relatons</w:t>
      </w:r>
    </w:p>
    <w:p>
      <w:pPr>
        <w:spacing w:after="0" w:line="238" w:lineRule="auto"/>
        <w:rPr>
          <w:sz w:val="20"/>
          <w:szCs w:val="20"/>
          <w:color w:val="auto"/>
        </w:rPr>
      </w:pPr>
      <w:r>
        <w:rPr>
          <w:rFonts w:ascii="Calibri" w:cs="Calibri" w:eastAsia="Calibri" w:hAnsi="Calibri"/>
          <w:sz w:val="20"/>
          <w:szCs w:val="20"/>
          <w:color w:val="auto"/>
        </w:rPr>
        <w:t>Ann DeVries, Head of Investor Relatons</w:t>
      </w:r>
    </w:p>
    <w:p>
      <w:pPr>
        <w:spacing w:after="0" w:line="226" w:lineRule="auto"/>
        <w:rPr>
          <w:sz w:val="20"/>
          <w:szCs w:val="20"/>
          <w:color w:val="auto"/>
        </w:rPr>
      </w:pPr>
      <w:r>
        <w:rPr>
          <w:rFonts w:ascii="Calibri" w:cs="Calibri" w:eastAsia="Calibri" w:hAnsi="Calibri"/>
          <w:sz w:val="20"/>
          <w:szCs w:val="20"/>
          <w:u w:val="single" w:color="auto"/>
          <w:color w:val="0563C1"/>
        </w:rPr>
        <w:t>Ann.DeVries@bakkt.com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w:t>
      </w:r>
    </w:p>
    <w:p>
      <w:pPr>
        <w:spacing w:after="0" w:line="225" w:lineRule="auto"/>
        <w:rPr>
          <w:sz w:val="20"/>
          <w:szCs w:val="20"/>
          <w:color w:val="auto"/>
        </w:rPr>
      </w:pPr>
      <w:r>
        <w:rPr>
          <w:rFonts w:ascii="Calibri" w:cs="Calibri" w:eastAsia="Calibri" w:hAnsi="Calibri"/>
          <w:sz w:val="20"/>
          <w:szCs w:val="20"/>
          <w:color w:val="auto"/>
        </w:rPr>
        <w:t>Lauren Post, Head of Communicatons</w:t>
      </w:r>
    </w:p>
    <w:p>
      <w:pPr>
        <w:spacing w:after="0"/>
        <w:rPr>
          <w:sz w:val="20"/>
          <w:szCs w:val="20"/>
          <w:color w:val="auto"/>
        </w:rPr>
      </w:pPr>
      <w:r>
        <w:rPr>
          <w:rFonts w:ascii="Calibri" w:cs="Calibri" w:eastAsia="Calibri" w:hAnsi="Calibri"/>
          <w:sz w:val="20"/>
          <w:szCs w:val="20"/>
          <w:u w:val="single" w:color="auto"/>
          <w:color w:val="0563C1"/>
        </w:rPr>
        <w:t>Lauren.Post@bakkt.com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of Presentaton</w:t>
      </w:r>
    </w:p>
    <w:p>
      <w:pPr>
        <w:spacing w:after="0" w:line="157"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color w:val="auto"/>
        </w:rPr>
        <w:t>“Predecessor” informaton represents the results of Bakkt Holdings, LLC prior to the business combinaton with VPC Impact Acquisiton Holdings (VIH), which closed on October 15, 2021. “Successor” informaton represents the results of Bakkt Holdings, Inc. from the date the business combinaton closed through the end of the applicable period. “Combined” informaton represents the combinaton of Predecessor and Successor for the applicable period. Bakkt has provided the Combined informaton as management uses such informaton when evaluatng the company’s results for periods that straddle the closing of the business combinaton. Combined informaton has not been calculated in accordance with generally accepted accountng principles (“GAAP”).</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on Forward-Looking Statements</w:t>
      </w:r>
    </w:p>
    <w:p>
      <w:pPr>
        <w:spacing w:after="0" w:line="144" w:lineRule="exact"/>
        <w:rPr>
          <w:sz w:val="20"/>
          <w:szCs w:val="20"/>
          <w:color w:val="auto"/>
        </w:rPr>
      </w:pPr>
    </w:p>
    <w:p>
      <w:pPr>
        <w:spacing w:after="0"/>
        <w:rPr>
          <w:sz w:val="20"/>
          <w:szCs w:val="20"/>
          <w:color w:val="auto"/>
        </w:rPr>
      </w:pPr>
      <w:r>
        <w:rPr>
          <w:rFonts w:ascii="Calibri" w:cs="Calibri" w:eastAsia="Calibri" w:hAnsi="Calibri"/>
          <w:sz w:val="20"/>
          <w:szCs w:val="20"/>
          <w:color w:val="auto"/>
        </w:rPr>
        <w:t>This press release contains “forward-looking statements” within the meaning of Secton 27A of the Securites Act of 1933, as amended, and Secton 21E of the Securites Exchange Act of 1934, as amended. Such statements include, but are not limited to, statements regarding Bakkt’s guidance, plans, objectves, expectatons and intentons with respect to future operatons, products, services and the applicaton of Bakkt’s available cash,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40" w:right="379" w:bottom="1440" w:gutter="0" w:footer="0" w:header="0"/>
        </w:sectPr>
      </w:pPr>
    </w:p>
    <w:bookmarkStart w:id="6" w:name="page7"/>
    <w:bookmarkEnd w:id="6"/>
    <w:p>
      <w:pPr>
        <w:ind w:right="80"/>
        <w:spacing w:after="0" w:line="231" w:lineRule="auto"/>
        <w:rPr>
          <w:sz w:val="20"/>
          <w:szCs w:val="20"/>
          <w:color w:val="auto"/>
        </w:rPr>
      </w:pPr>
      <w:r>
        <w:rPr>
          <w:rFonts w:ascii="Calibri" w:cs="Calibri" w:eastAsia="Calibri" w:hAnsi="Calibri"/>
          <w:sz w:val="20"/>
          <w:szCs w:val="20"/>
          <w:color w:val="auto"/>
        </w:rPr>
        <w:t>statements.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162" w:lineRule="exact"/>
        <w:rPr>
          <w:sz w:val="20"/>
          <w:szCs w:val="20"/>
          <w:color w:val="auto"/>
        </w:rPr>
      </w:pPr>
    </w:p>
    <w:p>
      <w:pPr>
        <w:spacing w:after="0" w:line="230" w:lineRule="auto"/>
        <w:rPr>
          <w:sz w:val="20"/>
          <w:szCs w:val="20"/>
          <w:color w:val="auto"/>
        </w:rPr>
      </w:pPr>
      <w:r>
        <w:rPr>
          <w:rFonts w:ascii="Calibri" w:cs="Calibri" w:eastAsia="Calibri" w:hAnsi="Calibri"/>
          <w:sz w:val="20"/>
          <w:szCs w:val="20"/>
          <w:color w:val="auto"/>
        </w:rPr>
        <w:t>The following factors, among others, could cause actual results and the tming of events to difer materially from the antcipated results or other expectatons expressed in such forward-looking statements: (i) risks related to disrupton of management tme from ongoing business operatons due to post-closing business combinaton maters; (ii) the impact of the ongoing COVID-19 pandemic; (iii) changes in the markets in which Bakkt competes, including with respect to its compettve landscape, technology evoluton or regulatory changes;</w:t>
      </w:r>
    </w:p>
    <w:p>
      <w:pPr>
        <w:spacing w:after="0" w:line="9" w:lineRule="exact"/>
        <w:rPr>
          <w:sz w:val="20"/>
          <w:szCs w:val="20"/>
          <w:color w:val="auto"/>
        </w:rPr>
      </w:pPr>
    </w:p>
    <w:p>
      <w:pPr>
        <w:ind w:right="120" w:firstLine="8"/>
        <w:spacing w:after="0" w:line="231" w:lineRule="auto"/>
        <w:tabs>
          <w:tab w:leader="none" w:pos="307"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changes in the markets that Bakkt targets; (v) risk that Bakkt may not be able to execute its growth strategies, including identfying and executng acquisitons; (vi) risks relatng to data security; and (vii) risk that Bakkt may not be able to develop and maintain efectve internal controls. The foregoing list of factors is not exhaustve. You should carefully consider the foregoing factors and the other risks and uncertaintes described under the heading “Risk Factors” in Bakkt’s flings with the Securites and Exchange Commission, including its most recent Annual Report on Form 10-K and any subsequent Quarterly Reports on Form 10-Q.</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Defnitons</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Digital asset conversion volume:</w:t>
      </w:r>
      <w:r>
        <w:rPr>
          <w:rFonts w:ascii="Calibri" w:cs="Calibri" w:eastAsia="Calibri" w:hAnsi="Calibri"/>
          <w:sz w:val="20"/>
          <w:szCs w:val="20"/>
          <w:color w:val="auto"/>
        </w:rPr>
        <w:t xml:space="preserve"> Dollar value of transacton volume across loyalty redempton, crypto buy/sell and gif card purchases</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Transactng accounts:</w:t>
      </w:r>
      <w:r>
        <w:rPr>
          <w:rFonts w:ascii="Calibri" w:cs="Calibri" w:eastAsia="Calibri" w:hAnsi="Calibri"/>
          <w:sz w:val="20"/>
          <w:szCs w:val="20"/>
          <w:color w:val="auto"/>
        </w:rPr>
        <w:t xml:space="preserve"> Unique accounts that perform transactons on the Bakkt platorm each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Measures</w:t>
      </w:r>
    </w:p>
    <w:p>
      <w:pPr>
        <w:spacing w:after="0" w:line="144"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Adjusted EBITDA is a non-GAAP fnancial measure, which we defne as earnings before interest, income taxes, depreciaton, amortzaton and certain non-cash and/or non-recurring items that do not contribute directly to our evaluaton of operatng results. Adjusted EBITDA provides management with an understanding of earnings before the impact of investng and fnancing transactons and income taxes, and the efects of 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ted measures used by other companies.</w:t>
      </w:r>
    </w:p>
    <w:p>
      <w:pPr>
        <w:spacing w:after="0" w:line="150"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color w:val="auto"/>
        </w:rPr>
        <w:t>In additon to the items above, Adjusted EBITDA as a non-GAAP fnancial measure also excludes interest income (expense) and other income (expense), and income tax (expense) beneft, as these items are not components of our core business operatons.</w:t>
      </w:r>
    </w:p>
    <w:p>
      <w:pPr>
        <w:spacing w:after="0" w:line="145"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Non-GAAP fnancial measures like Adjusted EBITDA have limitatons, should be considered as supplemental in nature and are not meant as a substtute for the related fnancial informaton prepared in accordance with GAAP. These limitatons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1" w:right="379" w:bottom="1440" w:gutter="0" w:footer="0" w:header="0"/>
        </w:sectPr>
      </w:pPr>
    </w:p>
    <w:bookmarkStart w:id="7" w:name="page8"/>
    <w:bookmarkEnd w:id="7"/>
    <w:p>
      <w:pPr>
        <w:spacing w:after="0" w:line="350" w:lineRule="exact"/>
        <w:rPr>
          <w:sz w:val="20"/>
          <w:szCs w:val="20"/>
          <w:color w:val="auto"/>
        </w:rPr>
      </w:pPr>
    </w:p>
    <w:p>
      <w:pPr>
        <w:ind w:left="660" w:right="100" w:hanging="328"/>
        <w:spacing w:after="0" w:line="220"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share-based and unit-based compensaton expense, including changes in the fair value of our partcipaton unit liability, which has been excluded from Adjusted EBITDA because the amount of such expenses in any specifc period may not directly correlate to the underlying performance of our business operatons, has been, and will contnue to be for the foreseeable future, a signifcant recurring expense in our business and an important part of our compensaton strategy;</w:t>
      </w:r>
    </w:p>
    <w:p>
      <w:pPr>
        <w:ind w:left="660" w:right="320" w:hanging="328"/>
        <w:spacing w:after="0" w:line="216"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changes in the fair value of our warrant liability, which in any specifc period may not directly correlate to the underlying performance of our business operatons, and do not necessarily refect future cash outlays as the liability is measured at each reportng date;</w:t>
      </w:r>
    </w:p>
    <w:p>
      <w:pPr>
        <w:spacing w:after="0" w:line="2" w:lineRule="exact"/>
        <w:rPr>
          <w:rFonts w:ascii="Calibri" w:cs="Calibri" w:eastAsia="Calibri" w:hAnsi="Calibri"/>
          <w:sz w:val="20"/>
          <w:szCs w:val="20"/>
          <w:color w:val="auto"/>
        </w:rPr>
      </w:pPr>
    </w:p>
    <w:p>
      <w:pPr>
        <w:jc w:val="both"/>
        <w:ind w:left="660" w:right="300" w:hanging="328"/>
        <w:spacing w:after="0" w:line="221"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the intangible assets being amortzed, and property and equipment being depreciated, may have to be replaced in the future, and the non-GAAP fnancial measures do not refect cash capital expenditure requirements for such replacements or for new capital expenditures or other capital commitments; and</w:t>
      </w:r>
    </w:p>
    <w:p>
      <w:pPr>
        <w:ind w:left="640" w:hanging="308"/>
        <w:spacing w:after="0" w:line="212" w:lineRule="auto"/>
        <w:tabs>
          <w:tab w:leader="none" w:pos="64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non-GAAP measures do not refect changes in, or cash requirements for, our working capital needs.</w:t>
      </w:r>
    </w:p>
    <w:p>
      <w:pPr>
        <w:spacing w:after="0" w:line="387"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Because of these limitatons, Adjusted EBITDA should be considered alongside other fnancial performance measures, including net loss and our other fnancial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Reconciliaton of GAAP Net Income / (Loss) to Non-GAAP Adjusted EBITDA ($ in millions) (unaudited)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Borders>
              <w:right w:val="single" w:sz="8" w:color="auto"/>
            </w:tcBorders>
            <w:gridSpan w:val="3"/>
          </w:tcPr>
          <w:p>
            <w:pPr>
              <w:jc w:val="right"/>
              <w:ind w:right="180"/>
              <w:spacing w:after="0"/>
              <w:rPr>
                <w:sz w:val="20"/>
                <w:szCs w:val="20"/>
                <w:color w:val="auto"/>
              </w:rPr>
            </w:pPr>
            <w:r>
              <w:rPr>
                <w:rFonts w:ascii="Calibri" w:cs="Calibri" w:eastAsia="Calibri" w:hAnsi="Calibri"/>
                <w:sz w:val="20"/>
                <w:szCs w:val="20"/>
                <w:b w:val="1"/>
                <w:bCs w:val="1"/>
                <w:color w:val="auto"/>
                <w:w w:val="98"/>
              </w:rPr>
              <w:t>Successor</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ind w:left="260"/>
              <w:spacing w:after="0"/>
              <w:rPr>
                <w:sz w:val="20"/>
                <w:szCs w:val="20"/>
                <w:color w:val="auto"/>
              </w:rPr>
            </w:pPr>
            <w:r>
              <w:rPr>
                <w:rFonts w:ascii="Calibri" w:cs="Calibri" w:eastAsia="Calibri" w:hAnsi="Calibri"/>
                <w:sz w:val="20"/>
                <w:szCs w:val="20"/>
                <w:b w:val="1"/>
                <w:bCs w:val="1"/>
                <w:color w:val="auto"/>
              </w:rPr>
              <w:t>Predecessor</w:t>
            </w:r>
          </w:p>
        </w:tc>
      </w:tr>
      <w:tr>
        <w:trPr>
          <w:trHeight w:val="20"/>
        </w:trPr>
        <w:tc>
          <w:tcPr>
            <w:tcW w:w="7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2"/>
        </w:trPr>
        <w:tc>
          <w:tcPr>
            <w:tcW w:w="7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Borders>
              <w:right w:val="single" w:sz="8" w:color="auto"/>
            </w:tcBorders>
            <w:gridSpan w:val="3"/>
          </w:tcPr>
          <w:p>
            <w:pPr>
              <w:jc w:val="right"/>
              <w:ind w:right="180"/>
              <w:spacing w:after="0"/>
              <w:rPr>
                <w:sz w:val="20"/>
                <w:szCs w:val="20"/>
                <w:color w:val="auto"/>
              </w:rPr>
            </w:pPr>
            <w:r>
              <w:rPr>
                <w:rFonts w:ascii="Calibri" w:cs="Calibri" w:eastAsia="Calibri" w:hAnsi="Calibri"/>
                <w:sz w:val="20"/>
                <w:szCs w:val="20"/>
                <w:b w:val="1"/>
                <w:bCs w:val="1"/>
                <w:color w:val="auto"/>
              </w:rPr>
              <w:t>2Q22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2Q21</w:t>
            </w:r>
          </w:p>
        </w:tc>
      </w:tr>
      <w:tr>
        <w:trPr>
          <w:trHeight w:val="60"/>
        </w:trPr>
        <w:tc>
          <w:tcPr>
            <w:tcW w:w="7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600" w:type="dxa"/>
            <w:vAlign w:val="bottom"/>
            <w:tcBorders>
              <w:bottom w:val="single" w:sz="8" w:color="CCEEFF"/>
            </w:tcBorders>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Net loss</w:t>
            </w:r>
          </w:p>
        </w:tc>
        <w:tc>
          <w:tcPr>
            <w:tcW w:w="840" w:type="dxa"/>
            <w:vAlign w:val="bottom"/>
            <w:tcBorders>
              <w:bottom w:val="single" w:sz="8" w:color="CCEEFF"/>
            </w:tcBorders>
            <w:shd w:val="clear" w:color="auto" w:fill="CCEEFF"/>
          </w:tcPr>
          <w:p>
            <w:pPr>
              <w:jc w:val="right"/>
              <w:ind w:right="621"/>
              <w:spacing w:after="0" w:line="236" w:lineRule="exact"/>
              <w:rPr>
                <w:sz w:val="20"/>
                <w:szCs w:val="20"/>
                <w:color w:val="auto"/>
              </w:rPr>
            </w:pPr>
            <w:r>
              <w:rPr>
                <w:rFonts w:ascii="Calibri" w:cs="Calibri" w:eastAsia="Calibri" w:hAnsi="Calibri"/>
                <w:sz w:val="20"/>
                <w:szCs w:val="20"/>
                <w:color w:val="auto"/>
                <w:w w:val="98"/>
              </w:rPr>
              <w:t>$</w:t>
            </w:r>
          </w:p>
        </w:tc>
        <w:tc>
          <w:tcPr>
            <w:tcW w:w="8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(27.6)</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line="236"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(31.9)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600" w:type="dxa"/>
            <w:vAlign w:val="bottom"/>
          </w:tcPr>
          <w:p>
            <w:pPr>
              <w:ind w:left="140"/>
              <w:spacing w:after="0" w:line="236" w:lineRule="exact"/>
              <w:rPr>
                <w:sz w:val="20"/>
                <w:szCs w:val="20"/>
                <w:color w:val="auto"/>
              </w:rPr>
            </w:pPr>
            <w:r>
              <w:rPr>
                <w:rFonts w:ascii="Calibri" w:cs="Calibri" w:eastAsia="Calibri" w:hAnsi="Calibri"/>
                <w:sz w:val="20"/>
                <w:szCs w:val="20"/>
                <w:color w:val="auto"/>
              </w:rPr>
              <w:t>Depreciaton and amortzaton</w:t>
            </w:r>
          </w:p>
        </w:tc>
        <w:tc>
          <w:tcPr>
            <w:tcW w:w="840" w:type="dxa"/>
            <w:vAlign w:val="bottom"/>
          </w:tcPr>
          <w:p>
            <w:pPr>
              <w:spacing w:after="0"/>
              <w:rPr>
                <w:sz w:val="20"/>
                <w:szCs w:val="20"/>
                <w:color w:val="auto"/>
              </w:rPr>
            </w:pPr>
          </w:p>
        </w:tc>
        <w:tc>
          <w:tcPr>
            <w:tcW w:w="820" w:type="dxa"/>
            <w:vAlign w:val="bottom"/>
          </w:tcPr>
          <w:p>
            <w:pPr>
              <w:jc w:val="right"/>
              <w:spacing w:after="0" w:line="236" w:lineRule="exact"/>
              <w:rPr>
                <w:sz w:val="20"/>
                <w:szCs w:val="20"/>
                <w:color w:val="auto"/>
              </w:rPr>
            </w:pPr>
            <w:r>
              <w:rPr>
                <w:rFonts w:ascii="Calibri" w:cs="Calibri" w:eastAsia="Calibri" w:hAnsi="Calibri"/>
                <w:sz w:val="20"/>
                <w:szCs w:val="20"/>
                <w:color w:val="auto"/>
              </w:rPr>
              <w:t>6.1</w:t>
            </w:r>
          </w:p>
        </w:tc>
        <w:tc>
          <w:tcPr>
            <w:tcW w:w="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3.0</w:t>
            </w:r>
          </w:p>
        </w:tc>
        <w:tc>
          <w:tcPr>
            <w:tcW w:w="20" w:type="dxa"/>
            <w:vAlign w:val="bottom"/>
          </w:tcPr>
          <w:p>
            <w:pPr>
              <w:spacing w:after="0"/>
              <w:rPr>
                <w:sz w:val="20"/>
                <w:szCs w:val="20"/>
                <w:color w:val="auto"/>
              </w:rPr>
            </w:pPr>
          </w:p>
        </w:tc>
      </w:tr>
      <w:tr>
        <w:trPr>
          <w:trHeight w:val="60"/>
        </w:trPr>
        <w:tc>
          <w:tcPr>
            <w:tcW w:w="7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600" w:type="dxa"/>
            <w:vAlign w:val="bottom"/>
            <w:tcBorders>
              <w:bottom w:val="single" w:sz="8" w:color="CCEEFF"/>
            </w:tcBorders>
            <w:shd w:val="clear" w:color="auto" w:fill="CCEEFF"/>
          </w:tcPr>
          <w:p>
            <w:pPr>
              <w:ind w:left="140"/>
              <w:spacing w:after="0" w:line="236" w:lineRule="exact"/>
              <w:rPr>
                <w:sz w:val="20"/>
                <w:szCs w:val="20"/>
                <w:color w:val="auto"/>
              </w:rPr>
            </w:pPr>
            <w:r>
              <w:rPr>
                <w:rFonts w:ascii="Calibri" w:cs="Calibri" w:eastAsia="Calibri" w:hAnsi="Calibri"/>
                <w:sz w:val="20"/>
                <w:szCs w:val="20"/>
                <w:color w:val="auto"/>
              </w:rPr>
              <w:t>Interest (income) expense</w:t>
            </w:r>
          </w:p>
        </w:tc>
        <w:tc>
          <w:tcPr>
            <w:tcW w:w="8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(0.2)</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600" w:type="dxa"/>
            <w:vAlign w:val="bottom"/>
          </w:tcPr>
          <w:p>
            <w:pPr>
              <w:ind w:left="140"/>
              <w:spacing w:after="0" w:line="236" w:lineRule="exact"/>
              <w:rPr>
                <w:sz w:val="20"/>
                <w:szCs w:val="20"/>
                <w:color w:val="auto"/>
              </w:rPr>
            </w:pPr>
            <w:r>
              <w:rPr>
                <w:rFonts w:ascii="Calibri" w:cs="Calibri" w:eastAsia="Calibri" w:hAnsi="Calibri"/>
                <w:sz w:val="20"/>
                <w:szCs w:val="20"/>
                <w:color w:val="auto"/>
              </w:rPr>
              <w:t>Income tax (beneft) expense</w:t>
            </w:r>
          </w:p>
        </w:tc>
        <w:tc>
          <w:tcPr>
            <w:tcW w:w="840" w:type="dxa"/>
            <w:vAlign w:val="bottom"/>
          </w:tcPr>
          <w:p>
            <w:pPr>
              <w:spacing w:after="0"/>
              <w:rPr>
                <w:sz w:val="20"/>
                <w:szCs w:val="20"/>
                <w:color w:val="auto"/>
              </w:rPr>
            </w:pPr>
          </w:p>
        </w:tc>
        <w:tc>
          <w:tcPr>
            <w:tcW w:w="820" w:type="dxa"/>
            <w:vAlign w:val="bottom"/>
          </w:tcPr>
          <w:p>
            <w:pPr>
              <w:jc w:val="right"/>
              <w:spacing w:after="0" w:line="236" w:lineRule="exact"/>
              <w:rPr>
                <w:sz w:val="20"/>
                <w:szCs w:val="20"/>
                <w:color w:val="auto"/>
              </w:rPr>
            </w:pPr>
            <w:r>
              <w:rPr>
                <w:rFonts w:ascii="Calibri" w:cs="Calibri" w:eastAsia="Calibri" w:hAnsi="Calibri"/>
                <w:sz w:val="20"/>
                <w:szCs w:val="20"/>
                <w:color w:val="auto"/>
              </w:rPr>
              <w:t>(5.1)</w:t>
            </w:r>
          </w:p>
        </w:tc>
        <w:tc>
          <w:tcPr>
            <w:tcW w:w="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0.2</w:t>
            </w:r>
          </w:p>
        </w:tc>
        <w:tc>
          <w:tcPr>
            <w:tcW w:w="20" w:type="dxa"/>
            <w:vAlign w:val="bottom"/>
          </w:tcPr>
          <w:p>
            <w:pPr>
              <w:spacing w:after="0"/>
              <w:rPr>
                <w:sz w:val="20"/>
                <w:szCs w:val="20"/>
                <w:color w:val="auto"/>
              </w:rPr>
            </w:pPr>
          </w:p>
        </w:tc>
      </w:tr>
      <w:tr>
        <w:trPr>
          <w:trHeight w:val="60"/>
        </w:trPr>
        <w:tc>
          <w:tcPr>
            <w:tcW w:w="76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CCEEFF"/>
              <w:right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0"/>
        </w:trPr>
        <w:tc>
          <w:tcPr>
            <w:tcW w:w="760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b w:val="1"/>
                <w:bCs w:val="1"/>
                <w:color w:val="auto"/>
              </w:rPr>
              <w:t>EBITDA</w:t>
            </w:r>
          </w:p>
        </w:tc>
        <w:tc>
          <w:tcPr>
            <w:tcW w:w="840" w:type="dxa"/>
            <w:vAlign w:val="bottom"/>
            <w:tcBorders>
              <w:bottom w:val="single" w:sz="8" w:color="CCEEFF"/>
            </w:tcBorders>
            <w:shd w:val="clear" w:color="auto" w:fill="CCEEFF"/>
          </w:tcPr>
          <w:p>
            <w:pPr>
              <w:jc w:val="right"/>
              <w:ind w:right="621"/>
              <w:spacing w:after="0" w:line="230" w:lineRule="exact"/>
              <w:rPr>
                <w:sz w:val="20"/>
                <w:szCs w:val="20"/>
                <w:color w:val="auto"/>
              </w:rPr>
            </w:pPr>
            <w:r>
              <w:rPr>
                <w:rFonts w:ascii="Calibri" w:cs="Calibri" w:eastAsia="Calibri" w:hAnsi="Calibri"/>
                <w:sz w:val="20"/>
                <w:szCs w:val="20"/>
                <w:b w:val="1"/>
                <w:bCs w:val="1"/>
                <w:color w:val="auto"/>
                <w:w w:val="98"/>
              </w:rPr>
              <w:t>$</w:t>
            </w:r>
          </w:p>
        </w:tc>
        <w:tc>
          <w:tcPr>
            <w:tcW w:w="82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b w:val="1"/>
                <w:bCs w:val="1"/>
                <w:color w:val="auto"/>
              </w:rPr>
              <w:t>(26.8)</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61"/>
              <w:spacing w:after="0" w:line="230" w:lineRule="exact"/>
              <w:rPr>
                <w:sz w:val="20"/>
                <w:szCs w:val="20"/>
                <w:color w:val="auto"/>
              </w:rPr>
            </w:pPr>
            <w:r>
              <w:rPr>
                <w:rFonts w:ascii="Calibri" w:cs="Calibri" w:eastAsia="Calibri" w:hAnsi="Calibri"/>
                <w:sz w:val="20"/>
                <w:szCs w:val="20"/>
                <w:b w:val="1"/>
                <w:bCs w:val="1"/>
                <w:color w:val="auto"/>
                <w:w w:val="98"/>
              </w:rPr>
              <w:t>$</w:t>
            </w:r>
          </w:p>
        </w:tc>
        <w:tc>
          <w:tcPr>
            <w:tcW w:w="128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Calibri" w:cs="Calibri" w:eastAsia="Calibri" w:hAnsi="Calibri"/>
                <w:sz w:val="20"/>
                <w:szCs w:val="20"/>
                <w:b w:val="1"/>
                <w:bCs w:val="1"/>
                <w:color w:val="auto"/>
              </w:rPr>
              <w:t>(28.6)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7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7600" w:type="dxa"/>
            <w:vAlign w:val="bottom"/>
            <w:shd w:val="clear" w:color="auto" w:fill="CCEEFF"/>
          </w:tcPr>
          <w:p>
            <w:pPr>
              <w:ind w:left="140"/>
              <w:spacing w:after="0" w:line="236" w:lineRule="exact"/>
              <w:rPr>
                <w:sz w:val="20"/>
                <w:szCs w:val="20"/>
                <w:color w:val="auto"/>
              </w:rPr>
            </w:pPr>
            <w:r>
              <w:rPr>
                <w:rFonts w:ascii="Calibri" w:cs="Calibri" w:eastAsia="Calibri" w:hAnsi="Calibri"/>
                <w:sz w:val="20"/>
                <w:szCs w:val="20"/>
                <w:color w:val="auto"/>
              </w:rPr>
              <w:t>Acquisiton-related transacton costs</w:t>
            </w:r>
          </w:p>
        </w:tc>
        <w:tc>
          <w:tcPr>
            <w:tcW w:w="8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0.2</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2.5</w:t>
            </w:r>
          </w:p>
        </w:tc>
        <w:tc>
          <w:tcPr>
            <w:tcW w:w="20" w:type="dxa"/>
            <w:vAlign w:val="bottom"/>
            <w:shd w:val="clear" w:color="auto" w:fill="CCEEFF"/>
          </w:tcPr>
          <w:p>
            <w:pPr>
              <w:spacing w:after="0"/>
              <w:rPr>
                <w:sz w:val="20"/>
                <w:szCs w:val="20"/>
                <w:color w:val="auto"/>
              </w:rPr>
            </w:pPr>
          </w:p>
        </w:tc>
      </w:tr>
      <w:tr>
        <w:trPr>
          <w:trHeight w:val="60"/>
        </w:trPr>
        <w:tc>
          <w:tcPr>
            <w:tcW w:w="76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tcBorders>
              <w:right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37"/>
        </w:trPr>
        <w:tc>
          <w:tcPr>
            <w:tcW w:w="7600" w:type="dxa"/>
            <w:vAlign w:val="bottom"/>
          </w:tcPr>
          <w:p>
            <w:pPr>
              <w:ind w:left="140"/>
              <w:spacing w:after="0" w:line="236" w:lineRule="exact"/>
              <w:rPr>
                <w:sz w:val="20"/>
                <w:szCs w:val="20"/>
                <w:color w:val="auto"/>
              </w:rPr>
            </w:pPr>
            <w:r>
              <w:rPr>
                <w:rFonts w:ascii="Calibri" w:cs="Calibri" w:eastAsia="Calibri" w:hAnsi="Calibri"/>
                <w:sz w:val="20"/>
                <w:szCs w:val="20"/>
                <w:color w:val="auto"/>
              </w:rPr>
              <w:t>Share-based and unit-based compensaton expense</w:t>
            </w:r>
          </w:p>
        </w:tc>
        <w:tc>
          <w:tcPr>
            <w:tcW w:w="840" w:type="dxa"/>
            <w:vAlign w:val="bottom"/>
          </w:tcPr>
          <w:p>
            <w:pPr>
              <w:spacing w:after="0"/>
              <w:rPr>
                <w:sz w:val="20"/>
                <w:szCs w:val="20"/>
                <w:color w:val="auto"/>
              </w:rPr>
            </w:pPr>
          </w:p>
        </w:tc>
        <w:tc>
          <w:tcPr>
            <w:tcW w:w="820" w:type="dxa"/>
            <w:vAlign w:val="bottom"/>
          </w:tcPr>
          <w:p>
            <w:pPr>
              <w:jc w:val="right"/>
              <w:spacing w:after="0" w:line="236" w:lineRule="exact"/>
              <w:rPr>
                <w:sz w:val="20"/>
                <w:szCs w:val="20"/>
                <w:color w:val="auto"/>
              </w:rPr>
            </w:pPr>
            <w:r>
              <w:rPr>
                <w:rFonts w:ascii="Calibri" w:cs="Calibri" w:eastAsia="Calibri" w:hAnsi="Calibri"/>
                <w:sz w:val="20"/>
                <w:szCs w:val="20"/>
                <w:color w:val="auto"/>
              </w:rPr>
              <w:t>7.1</w:t>
            </w:r>
          </w:p>
        </w:tc>
        <w:tc>
          <w:tcPr>
            <w:tcW w:w="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1.3</w:t>
            </w:r>
          </w:p>
        </w:tc>
        <w:tc>
          <w:tcPr>
            <w:tcW w:w="20" w:type="dxa"/>
            <w:vAlign w:val="bottom"/>
          </w:tcPr>
          <w:p>
            <w:pPr>
              <w:spacing w:after="0"/>
              <w:rPr>
                <w:sz w:val="20"/>
                <w:szCs w:val="20"/>
                <w:color w:val="auto"/>
              </w:rPr>
            </w:pPr>
          </w:p>
        </w:tc>
      </w:tr>
      <w:tr>
        <w:trPr>
          <w:trHeight w:val="60"/>
        </w:trPr>
        <w:tc>
          <w:tcPr>
            <w:tcW w:w="7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600" w:type="dxa"/>
            <w:vAlign w:val="bottom"/>
            <w:tcBorders>
              <w:bottom w:val="single" w:sz="8" w:color="CCEEFF"/>
            </w:tcBorders>
            <w:shd w:val="clear" w:color="auto" w:fill="CCEEFF"/>
          </w:tcPr>
          <w:p>
            <w:pPr>
              <w:ind w:left="140"/>
              <w:spacing w:after="0" w:line="236" w:lineRule="exact"/>
              <w:rPr>
                <w:sz w:val="20"/>
                <w:szCs w:val="20"/>
                <w:color w:val="auto"/>
              </w:rPr>
            </w:pPr>
            <w:r>
              <w:rPr>
                <w:rFonts w:ascii="Calibri" w:cs="Calibri" w:eastAsia="Calibri" w:hAnsi="Calibri"/>
                <w:sz w:val="20"/>
                <w:szCs w:val="20"/>
                <w:color w:val="auto"/>
              </w:rPr>
              <w:t>(Gain) from change in fair value of warrant liability</w:t>
            </w:r>
          </w:p>
        </w:tc>
        <w:tc>
          <w:tcPr>
            <w:tcW w:w="8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(10.3)</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line="236" w:lineRule="exact"/>
              <w:rPr>
                <w:sz w:val="20"/>
                <w:szCs w:val="20"/>
                <w:color w:val="auto"/>
              </w:rPr>
            </w:pPr>
            <w:r>
              <w:rPr>
                <w:rFonts w:ascii="Calibri" w:cs="Calibri" w:eastAsia="Calibri" w:hAnsi="Calibri"/>
                <w:sz w:val="20"/>
                <w:szCs w:val="20"/>
                <w:color w:val="auto"/>
              </w:rPr>
              <w:t>—</w:t>
            </w:r>
          </w:p>
        </w:tc>
      </w:tr>
      <w:tr>
        <w:trPr>
          <w:trHeight w:val="237"/>
        </w:trPr>
        <w:tc>
          <w:tcPr>
            <w:tcW w:w="7600" w:type="dxa"/>
            <w:vAlign w:val="bottom"/>
          </w:tcPr>
          <w:p>
            <w:pPr>
              <w:ind w:left="140"/>
              <w:spacing w:after="0" w:line="236" w:lineRule="exact"/>
              <w:rPr>
                <w:sz w:val="20"/>
                <w:szCs w:val="20"/>
                <w:color w:val="auto"/>
              </w:rPr>
            </w:pPr>
            <w:r>
              <w:rPr>
                <w:rFonts w:ascii="Calibri" w:cs="Calibri" w:eastAsia="Calibri" w:hAnsi="Calibri"/>
                <w:sz w:val="20"/>
                <w:szCs w:val="20"/>
                <w:color w:val="auto"/>
              </w:rPr>
              <w:t>ICE transiton services expense</w:t>
            </w:r>
          </w:p>
        </w:tc>
        <w:tc>
          <w:tcPr>
            <w:tcW w:w="840" w:type="dxa"/>
            <w:vAlign w:val="bottom"/>
          </w:tcPr>
          <w:p>
            <w:pPr>
              <w:spacing w:after="0"/>
              <w:rPr>
                <w:sz w:val="20"/>
                <w:szCs w:val="20"/>
                <w:color w:val="auto"/>
              </w:rPr>
            </w:pPr>
          </w:p>
        </w:tc>
        <w:tc>
          <w:tcPr>
            <w:tcW w:w="820" w:type="dxa"/>
            <w:vAlign w:val="bottom"/>
          </w:tcPr>
          <w:p>
            <w:pPr>
              <w:jc w:val="right"/>
              <w:spacing w:after="0" w:line="236" w:lineRule="exact"/>
              <w:rPr>
                <w:sz w:val="20"/>
                <w:szCs w:val="20"/>
                <w:color w:val="auto"/>
              </w:rPr>
            </w:pPr>
            <w:r>
              <w:rPr>
                <w:rFonts w:ascii="Calibri" w:cs="Calibri" w:eastAsia="Calibri" w:hAnsi="Calibri"/>
                <w:sz w:val="20"/>
                <w:szCs w:val="20"/>
                <w:color w:val="auto"/>
              </w:rPr>
              <w:t>0.3</w:t>
            </w:r>
          </w:p>
        </w:tc>
        <w:tc>
          <w:tcPr>
            <w:tcW w:w="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80"/>
              <w:spacing w:after="0" w:line="236" w:lineRule="exact"/>
              <w:rPr>
                <w:sz w:val="20"/>
                <w:szCs w:val="20"/>
                <w:color w:val="auto"/>
              </w:rPr>
            </w:pPr>
            <w:r>
              <w:rPr>
                <w:rFonts w:ascii="Calibri" w:cs="Calibri" w:eastAsia="Calibri" w:hAnsi="Calibri"/>
                <w:sz w:val="20"/>
                <w:szCs w:val="20"/>
                <w:color w:val="auto"/>
              </w:rPr>
              <w:t>—</w:t>
            </w:r>
          </w:p>
        </w:tc>
      </w:tr>
      <w:tr>
        <w:trPr>
          <w:trHeight w:val="60"/>
        </w:trPr>
        <w:tc>
          <w:tcPr>
            <w:tcW w:w="76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CCEEFF"/>
              <w:right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315"/>
        </w:trPr>
        <w:tc>
          <w:tcPr>
            <w:tcW w:w="76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20"/>
                <w:szCs w:val="20"/>
                <w:b w:val="1"/>
                <w:bCs w:val="1"/>
                <w:color w:val="auto"/>
              </w:rPr>
              <w:t>Adjusted EBITDA</w:t>
            </w:r>
          </w:p>
        </w:tc>
        <w:tc>
          <w:tcPr>
            <w:tcW w:w="840" w:type="dxa"/>
            <w:vAlign w:val="bottom"/>
            <w:tcBorders>
              <w:bottom w:val="single" w:sz="8" w:color="CCEEFF"/>
            </w:tcBorders>
            <w:shd w:val="clear" w:color="auto" w:fill="CCEEFF"/>
          </w:tcPr>
          <w:p>
            <w:pPr>
              <w:jc w:val="right"/>
              <w:ind w:right="621"/>
              <w:spacing w:after="0" w:line="234" w:lineRule="exact"/>
              <w:rPr>
                <w:sz w:val="20"/>
                <w:szCs w:val="20"/>
                <w:color w:val="auto"/>
              </w:rPr>
            </w:pPr>
            <w:r>
              <w:rPr>
                <w:rFonts w:ascii="Calibri" w:cs="Calibri" w:eastAsia="Calibri" w:hAnsi="Calibri"/>
                <w:sz w:val="20"/>
                <w:szCs w:val="20"/>
                <w:b w:val="1"/>
                <w:bCs w:val="1"/>
                <w:color w:val="auto"/>
                <w:w w:val="98"/>
              </w:rPr>
              <w:t>$</w:t>
            </w:r>
          </w:p>
        </w:tc>
        <w:tc>
          <w:tcPr>
            <w:tcW w:w="8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b w:val="1"/>
                <w:bCs w:val="1"/>
                <w:color w:val="auto"/>
              </w:rPr>
              <w:t>(29.6)</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61"/>
              <w:spacing w:after="0" w:line="234" w:lineRule="exact"/>
              <w:rPr>
                <w:sz w:val="20"/>
                <w:szCs w:val="20"/>
                <w:color w:val="auto"/>
              </w:rPr>
            </w:pPr>
            <w:r>
              <w:rPr>
                <w:rFonts w:ascii="Calibri" w:cs="Calibri" w:eastAsia="Calibri" w:hAnsi="Calibri"/>
                <w:sz w:val="20"/>
                <w:szCs w:val="20"/>
                <w:b w:val="1"/>
                <w:bCs w:val="1"/>
                <w:color w:val="auto"/>
                <w:w w:val="98"/>
              </w:rPr>
              <w:t>$</w:t>
            </w:r>
          </w:p>
        </w:tc>
        <w:tc>
          <w:tcPr>
            <w:tcW w:w="1280" w:type="dxa"/>
            <w:vAlign w:val="bottom"/>
            <w:tcBorders>
              <w:bottom w:val="single" w:sz="8" w:color="CCEEFF"/>
            </w:tcBorders>
            <w:gridSpan w:val="2"/>
            <w:shd w:val="clear" w:color="auto" w:fill="CCEEFF"/>
          </w:tcPr>
          <w:p>
            <w:pPr>
              <w:jc w:val="right"/>
              <w:spacing w:after="0" w:line="234" w:lineRule="exact"/>
              <w:rPr>
                <w:sz w:val="20"/>
                <w:szCs w:val="20"/>
                <w:color w:val="auto"/>
              </w:rPr>
            </w:pPr>
            <w:r>
              <w:rPr>
                <w:rFonts w:ascii="Calibri" w:cs="Calibri" w:eastAsia="Calibri" w:hAnsi="Calibri"/>
                <w:sz w:val="20"/>
                <w:szCs w:val="20"/>
                <w:b w:val="1"/>
                <w:bCs w:val="1"/>
                <w:color w:val="auto"/>
              </w:rPr>
              <w:t>(24.9)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3"/>
          </w:tcPr>
          <w:p>
            <w:pPr>
              <w:jc w:val="right"/>
              <w:ind w:right="228"/>
              <w:spacing w:after="0"/>
              <w:rPr>
                <w:sz w:val="20"/>
                <w:szCs w:val="20"/>
                <w:color w:val="auto"/>
              </w:rPr>
            </w:pPr>
            <w:r>
              <w:rPr>
                <w:rFonts w:ascii="Calibri" w:cs="Calibri" w:eastAsia="Calibri" w:hAnsi="Calibri"/>
                <w:sz w:val="14"/>
                <w:szCs w:val="14"/>
                <w:b w:val="1"/>
                <w:bCs w:val="1"/>
                <w:color w:val="auto"/>
              </w:rPr>
              <w:t>Successor</w:t>
            </w:r>
          </w:p>
        </w:tc>
        <w:tc>
          <w:tcPr>
            <w:tcW w:w="1220" w:type="dxa"/>
            <w:vAlign w:val="bottom"/>
          </w:tcPr>
          <w:p>
            <w:pPr>
              <w:spacing w:after="0"/>
              <w:rPr>
                <w:sz w:val="14"/>
                <w:szCs w:val="14"/>
                <w:color w:val="auto"/>
              </w:rPr>
            </w:pPr>
          </w:p>
        </w:tc>
      </w:tr>
      <w:tr>
        <w:trPr>
          <w:trHeight w:val="47"/>
        </w:trPr>
        <w:tc>
          <w:tcPr>
            <w:tcW w:w="76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176"/>
        </w:trPr>
        <w:tc>
          <w:tcPr>
            <w:tcW w:w="7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As of 6/30/22</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7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Calibri" w:cs="Calibri" w:eastAsia="Calibri" w:hAnsi="Calibri"/>
                <w:sz w:val="14"/>
                <w:szCs w:val="14"/>
                <w:b w:val="1"/>
                <w:bCs w:val="1"/>
                <w:color w:val="auto"/>
              </w:rPr>
              <w:t>(Unaudited)</w:t>
            </w: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b w:val="1"/>
                <w:bCs w:val="1"/>
                <w:color w:val="auto"/>
              </w:rPr>
              <w:t>As of 12/31/21</w:t>
            </w:r>
          </w:p>
        </w:tc>
      </w:tr>
      <w:tr>
        <w:trPr>
          <w:trHeight w:val="229"/>
        </w:trPr>
        <w:tc>
          <w:tcPr>
            <w:tcW w:w="7620" w:type="dxa"/>
            <w:vAlign w:val="bottom"/>
          </w:tcPr>
          <w:p>
            <w:pPr>
              <w:ind w:left="20"/>
              <w:spacing w:after="0"/>
              <w:rPr>
                <w:sz w:val="20"/>
                <w:szCs w:val="20"/>
                <w:color w:val="auto"/>
              </w:rPr>
            </w:pPr>
            <w:r>
              <w:rPr>
                <w:rFonts w:ascii="Calibri" w:cs="Calibri" w:eastAsia="Calibri" w:hAnsi="Calibri"/>
                <w:sz w:val="14"/>
                <w:szCs w:val="14"/>
                <w:b w:val="1"/>
                <w:bCs w:val="1"/>
                <w:color w:val="auto"/>
              </w:rPr>
              <w:t>Assets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Current Assets: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Cash and cash equivalents</w:t>
            </w:r>
          </w:p>
        </w:tc>
        <w:tc>
          <w:tcPr>
            <w:tcW w:w="460" w:type="dxa"/>
            <w:vAlign w:val="bottom"/>
          </w:tcPr>
          <w:p>
            <w:pPr>
              <w:jc w:val="right"/>
              <w:ind w:right="288"/>
              <w:spacing w:after="0"/>
              <w:rPr>
                <w:sz w:val="20"/>
                <w:szCs w:val="20"/>
                <w:color w:val="auto"/>
              </w:rPr>
            </w:pPr>
            <w:r>
              <w:rPr>
                <w:rFonts w:ascii="Calibri" w:cs="Calibri" w:eastAsia="Calibri" w:hAnsi="Calibri"/>
                <w:sz w:val="14"/>
                <w:szCs w:val="14"/>
                <w:color w:val="auto"/>
              </w:rPr>
              <w:t>$</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126.8</w:t>
            </w:r>
          </w:p>
        </w:tc>
        <w:tc>
          <w:tcPr>
            <w:tcW w:w="26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Calibri" w:cs="Calibri" w:eastAsia="Calibri" w:hAnsi="Calibri"/>
                <w:sz w:val="14"/>
                <w:szCs w:val="14"/>
                <w:color w:val="auto"/>
              </w:rPr>
              <w:t>$</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391.4</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Restricted cash</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16.5</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16.5</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Customer funds</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0.6</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0.6</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Available-for-sale securites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188.7</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Accounts receivable, net</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21.8</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18.1</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Prepaid insurance</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23.6</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32.2</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Safeguarding asset for cryptoassets</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147.1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0.0</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9"/>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Other current assets</w:t>
            </w:r>
          </w:p>
        </w:tc>
        <w:tc>
          <w:tcPr>
            <w:tcW w:w="4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7.7</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4.8</w:t>
            </w:r>
          </w:p>
        </w:tc>
      </w:tr>
      <w:tr>
        <w:trPr>
          <w:trHeight w:val="176"/>
        </w:trPr>
        <w:tc>
          <w:tcPr>
            <w:tcW w:w="7620" w:type="dxa"/>
            <w:vAlign w:val="bottom"/>
          </w:tcPr>
          <w:p>
            <w:pPr>
              <w:ind w:left="460"/>
              <w:spacing w:after="0"/>
              <w:rPr>
                <w:sz w:val="20"/>
                <w:szCs w:val="20"/>
                <w:color w:val="auto"/>
              </w:rPr>
            </w:pPr>
            <w:r>
              <w:rPr>
                <w:rFonts w:ascii="Calibri" w:cs="Calibri" w:eastAsia="Calibri" w:hAnsi="Calibri"/>
                <w:sz w:val="14"/>
                <w:szCs w:val="14"/>
                <w:color w:val="auto"/>
              </w:rPr>
              <w:t>Total current assets</w:t>
            </w:r>
          </w:p>
        </w:tc>
        <w:tc>
          <w:tcPr>
            <w:tcW w:w="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532.8</w:t>
            </w:r>
          </w:p>
        </w:tc>
        <w:tc>
          <w:tcPr>
            <w:tcW w:w="2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color w:val="auto"/>
              </w:rPr>
              <w:t>463.5</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Property, equipment and sofware, net</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21.3</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6.1</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Goodwill</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1,527.1</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1,527.1</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Intangible assets, net</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377.7</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388.5</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Deposits with clearinghouse, noncurrent (afliate in Predecessor period)</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15.2</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alibri" w:cs="Calibri" w:eastAsia="Calibri" w:hAnsi="Calibri"/>
                <w:sz w:val="14"/>
                <w:szCs w:val="14"/>
                <w:color w:val="auto"/>
              </w:rPr>
              <w:t>15.2</w:t>
            </w:r>
          </w:p>
        </w:tc>
      </w:tr>
      <w:tr>
        <w:trPr>
          <w:trHeight w:val="47"/>
        </w:trPr>
        <w:tc>
          <w:tcPr>
            <w:tcW w:w="7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9"/>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assets</w:t>
            </w: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24.1</w:t>
            </w: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13.9</w:t>
            </w:r>
          </w:p>
        </w:tc>
      </w:tr>
      <w:tr>
        <w:trPr>
          <w:trHeight w:val="20"/>
        </w:trPr>
        <w:tc>
          <w:tcPr>
            <w:tcW w:w="7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20" w:type="dxa"/>
            <w:vAlign w:val="bottom"/>
          </w:tcPr>
          <w:p>
            <w:pPr>
              <w:ind w:left="460"/>
              <w:spacing w:after="0"/>
              <w:rPr>
                <w:sz w:val="20"/>
                <w:szCs w:val="20"/>
                <w:color w:val="auto"/>
              </w:rPr>
            </w:pPr>
            <w:r>
              <w:rPr>
                <w:rFonts w:ascii="Calibri" w:cs="Calibri" w:eastAsia="Calibri" w:hAnsi="Calibri"/>
                <w:sz w:val="14"/>
                <w:szCs w:val="14"/>
                <w:b w:val="1"/>
                <w:bCs w:val="1"/>
                <w:color w:val="auto"/>
              </w:rPr>
              <w:t>Total assets</w:t>
            </w:r>
          </w:p>
        </w:tc>
        <w:tc>
          <w:tcPr>
            <w:tcW w:w="640" w:type="dxa"/>
            <w:vAlign w:val="bottom"/>
            <w:tcBorders>
              <w:bottom w:val="single" w:sz="8" w:color="auto"/>
            </w:tcBorders>
          </w:tcPr>
          <w:p>
            <w:pPr>
              <w:jc w:val="right"/>
              <w:ind w:right="468"/>
              <w:spacing w:after="0"/>
              <w:rPr>
                <w:sz w:val="20"/>
                <w:szCs w:val="20"/>
                <w:color w:val="auto"/>
              </w:rPr>
            </w:pPr>
            <w:r>
              <w:rPr>
                <w:rFonts w:ascii="Calibri" w:cs="Calibri" w:eastAsia="Calibri" w:hAnsi="Calibri"/>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2,498.1</w:t>
            </w:r>
          </w:p>
        </w:tc>
        <w:tc>
          <w:tcPr>
            <w:tcW w:w="260" w:type="dxa"/>
            <w:vAlign w:val="bottom"/>
          </w:tcPr>
          <w:p>
            <w:pPr>
              <w:spacing w:after="0"/>
              <w:rPr>
                <w:sz w:val="18"/>
                <w:szCs w:val="18"/>
                <w:color w:val="auto"/>
              </w:rPr>
            </w:pPr>
          </w:p>
        </w:tc>
        <w:tc>
          <w:tcPr>
            <w:tcW w:w="640" w:type="dxa"/>
            <w:vAlign w:val="bottom"/>
            <w:tcBorders>
              <w:bottom w:val="single" w:sz="8" w:color="auto"/>
            </w:tcBorders>
          </w:tcPr>
          <w:p>
            <w:pPr>
              <w:jc w:val="right"/>
              <w:ind w:right="468"/>
              <w:spacing w:after="0"/>
              <w:rPr>
                <w:sz w:val="20"/>
                <w:szCs w:val="20"/>
                <w:color w:val="auto"/>
              </w:rPr>
            </w:pPr>
            <w:r>
              <w:rPr>
                <w:rFonts w:ascii="Calibri" w:cs="Calibri" w:eastAsia="Calibri" w:hAnsi="Calibri"/>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2,414.3</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7620" w:type="dxa"/>
            <w:vAlign w:val="bottom"/>
            <w:tcBorders>
              <w:bottom w:val="single" w:sz="8" w:color="CCEEFF"/>
            </w:tcBorders>
            <w:shd w:val="clear" w:color="auto" w:fill="CCEEFF"/>
          </w:tcPr>
          <w:p>
            <w:pPr>
              <w:ind w:left="20"/>
              <w:spacing w:after="0" w:line="156" w:lineRule="exact"/>
              <w:rPr>
                <w:sz w:val="20"/>
                <w:szCs w:val="20"/>
                <w:color w:val="auto"/>
              </w:rPr>
            </w:pPr>
            <w:r>
              <w:rPr>
                <w:rFonts w:ascii="Calibri" w:cs="Calibri" w:eastAsia="Calibri" w:hAnsi="Calibri"/>
                <w:sz w:val="14"/>
                <w:szCs w:val="14"/>
                <w:b w:val="1"/>
                <w:bCs w:val="1"/>
                <w:color w:val="auto"/>
              </w:rPr>
              <w:t>Liabilites and Stockholders’ Equity</w:t>
            </w:r>
          </w:p>
        </w:tc>
        <w:tc>
          <w:tcPr>
            <w:tcW w:w="6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Current liabilites: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Accounts payable and accrued liabilites</w:t>
            </w: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65.6</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68"/>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64.1</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Customer funds payable</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0.6</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0.6</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Deferred revenue, current</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4.1</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4.6</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Due to related party (afliate in Predecessor period)</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0.6</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0.6</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14"/>
                <w:szCs w:val="14"/>
                <w:color w:val="auto"/>
              </w:rPr>
              <w:t>Safeguarding obligatons for cryptoassets</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147.1</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w:t>
            </w:r>
          </w:p>
        </w:tc>
      </w:tr>
      <w:tr>
        <w:trPr>
          <w:trHeight w:val="183"/>
        </w:trPr>
        <w:tc>
          <w:tcPr>
            <w:tcW w:w="7620" w:type="dxa"/>
            <w:vAlign w:val="bottom"/>
          </w:tcPr>
          <w:p>
            <w:pPr>
              <w:ind w:left="240"/>
              <w:spacing w:after="0"/>
              <w:rPr>
                <w:sz w:val="20"/>
                <w:szCs w:val="20"/>
                <w:color w:val="auto"/>
              </w:rPr>
            </w:pPr>
            <w:r>
              <w:rPr>
                <w:rFonts w:ascii="Calibri" w:cs="Calibri" w:eastAsia="Calibri" w:hAnsi="Calibri"/>
                <w:sz w:val="14"/>
                <w:szCs w:val="14"/>
                <w:color w:val="auto"/>
              </w:rPr>
              <w:t>Other current liabilites</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2.1</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3.7</w:t>
            </w:r>
          </w:p>
        </w:tc>
      </w:tr>
      <w:tr>
        <w:trPr>
          <w:trHeight w:val="47"/>
        </w:trPr>
        <w:tc>
          <w:tcPr>
            <w:tcW w:w="76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3"/>
        </w:trPr>
        <w:tc>
          <w:tcPr>
            <w:tcW w:w="762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4"/>
                <w:szCs w:val="14"/>
                <w:color w:val="auto"/>
              </w:rPr>
              <w:t>Total current liabilites</w:t>
            </w: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220.1</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73.6</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Deferred revenue, noncurrent</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3.9</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4.8</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Warrant liability</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4.7</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17.4</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Deferred tax liabilites, net</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22.4</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11.6</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Other noncurrent liabilites</w:t>
            </w: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22.4</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12.7</w:t>
            </w:r>
          </w:p>
        </w:tc>
      </w:tr>
      <w:tr>
        <w:trPr>
          <w:trHeight w:val="176"/>
        </w:trPr>
        <w:tc>
          <w:tcPr>
            <w:tcW w:w="7620" w:type="dxa"/>
            <w:vAlign w:val="bottom"/>
          </w:tcPr>
          <w:p>
            <w:pPr>
              <w:ind w:left="460"/>
              <w:spacing w:after="0"/>
              <w:rPr>
                <w:sz w:val="20"/>
                <w:szCs w:val="20"/>
                <w:color w:val="auto"/>
              </w:rPr>
            </w:pPr>
            <w:r>
              <w:rPr>
                <w:rFonts w:ascii="Calibri" w:cs="Calibri" w:eastAsia="Calibri" w:hAnsi="Calibri"/>
                <w:sz w:val="14"/>
                <w:szCs w:val="14"/>
                <w:color w:val="auto"/>
              </w:rPr>
              <w:t>Total liabilites</w:t>
            </w:r>
          </w:p>
        </w:tc>
        <w:tc>
          <w:tcPr>
            <w:tcW w:w="6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273.5</w:t>
            </w:r>
          </w:p>
        </w:tc>
        <w:tc>
          <w:tcPr>
            <w:tcW w:w="2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120.1</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b w:val="1"/>
                <w:bCs w:val="1"/>
                <w:color w:val="auto"/>
              </w:rPr>
              <w:t>Stockholders’ equity</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Class A common stock ($0.0001 par value, 750,000,000 shares authorized, 75,343,724 shares issued</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7620" w:type="dxa"/>
            <w:vAlign w:val="bottom"/>
          </w:tcPr>
          <w:p>
            <w:pPr>
              <w:ind w:left="60"/>
              <w:spacing w:after="0"/>
              <w:rPr>
                <w:sz w:val="20"/>
                <w:szCs w:val="20"/>
                <w:color w:val="auto"/>
              </w:rPr>
            </w:pPr>
            <w:r>
              <w:rPr>
                <w:rFonts w:ascii="Calibri" w:cs="Calibri" w:eastAsia="Calibri" w:hAnsi="Calibri"/>
                <w:sz w:val="14"/>
                <w:szCs w:val="14"/>
                <w:color w:val="auto"/>
              </w:rPr>
              <w:t>and outstanding as of 6/30/22 and 57,164,388 shares issued and outstanding as of 12/31/21)</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0.0</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0.0</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3"/>
        </w:trPr>
        <w:tc>
          <w:tcPr>
            <w:tcW w:w="762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Class V common stock ($0.0001 par value, 250,000,000 shares authorized; 188,438,938 shares issued and outstanding as of</w:t>
            </w: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6"/>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6/30/22 and 206,271,792 shares issued and outstanding as of 12/31/21)</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0.0</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Additonal paid-in capital</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718.6</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566.8</w:t>
            </w:r>
          </w:p>
        </w:tc>
      </w:tr>
      <w:tr>
        <w:trPr>
          <w:trHeight w:val="47"/>
        </w:trPr>
        <w:tc>
          <w:tcPr>
            <w:tcW w:w="7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76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Accumulated other comprehensive (loss)</w:t>
            </w: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(0.1)</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(0.1)</w:t>
            </w:r>
          </w:p>
        </w:tc>
      </w:tr>
      <w:tr>
        <w:trPr>
          <w:trHeight w:val="183"/>
        </w:trPr>
        <w:tc>
          <w:tcPr>
            <w:tcW w:w="7620" w:type="dxa"/>
            <w:vAlign w:val="bottom"/>
          </w:tcPr>
          <w:p>
            <w:pPr>
              <w:ind w:left="20"/>
              <w:spacing w:after="0"/>
              <w:rPr>
                <w:sz w:val="20"/>
                <w:szCs w:val="20"/>
                <w:color w:val="auto"/>
              </w:rPr>
            </w:pPr>
            <w:r>
              <w:rPr>
                <w:rFonts w:ascii="Calibri" w:cs="Calibri" w:eastAsia="Calibri" w:hAnsi="Calibri"/>
                <w:sz w:val="14"/>
                <w:szCs w:val="14"/>
                <w:color w:val="auto"/>
              </w:rPr>
              <w:t>Accumulated defcit</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(109.4)</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(98.3)</w:t>
            </w:r>
          </w:p>
        </w:tc>
      </w:tr>
      <w:tr>
        <w:trPr>
          <w:trHeight w:val="47"/>
        </w:trPr>
        <w:tc>
          <w:tcPr>
            <w:tcW w:w="76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3"/>
        </w:trPr>
        <w:tc>
          <w:tcPr>
            <w:tcW w:w="762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4"/>
                <w:szCs w:val="14"/>
                <w:color w:val="auto"/>
              </w:rPr>
              <w:t>Total stockholders’ equity</w:t>
            </w: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609.1</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468.4</w:t>
            </w:r>
          </w:p>
        </w:tc>
      </w:tr>
      <w:tr>
        <w:trPr>
          <w:trHeight w:val="182"/>
        </w:trPr>
        <w:tc>
          <w:tcPr>
            <w:tcW w:w="7620" w:type="dxa"/>
            <w:vAlign w:val="bottom"/>
          </w:tcPr>
          <w:p>
            <w:pPr>
              <w:ind w:left="20"/>
              <w:spacing w:after="0"/>
              <w:rPr>
                <w:sz w:val="20"/>
                <w:szCs w:val="20"/>
                <w:color w:val="auto"/>
              </w:rPr>
            </w:pPr>
            <w:r>
              <w:rPr>
                <w:rFonts w:ascii="Calibri" w:cs="Calibri" w:eastAsia="Calibri" w:hAnsi="Calibri"/>
                <w:sz w:val="14"/>
                <w:szCs w:val="14"/>
                <w:color w:val="auto"/>
              </w:rPr>
              <w:t>Noncontrolling interest</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1,615.6</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auto"/>
              </w:rPr>
              <w:t>1,825.8</w:t>
            </w:r>
          </w:p>
        </w:tc>
      </w:tr>
      <w:tr>
        <w:trPr>
          <w:trHeight w:val="47"/>
        </w:trPr>
        <w:tc>
          <w:tcPr>
            <w:tcW w:w="76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23"/>
        </w:trPr>
        <w:tc>
          <w:tcPr>
            <w:tcW w:w="7620" w:type="dxa"/>
            <w:vAlign w:val="bottom"/>
            <w:tcBorders>
              <w:bottom w:val="single" w:sz="8" w:color="CCEEFF"/>
            </w:tcBorders>
            <w:shd w:val="clear" w:color="auto" w:fill="CCEEFF"/>
          </w:tcPr>
          <w:p>
            <w:pPr>
              <w:ind w:left="440"/>
              <w:spacing w:after="0"/>
              <w:rPr>
                <w:sz w:val="20"/>
                <w:szCs w:val="20"/>
                <w:color w:val="auto"/>
              </w:rPr>
            </w:pPr>
            <w:r>
              <w:rPr>
                <w:rFonts w:ascii="Calibri" w:cs="Calibri" w:eastAsia="Calibri" w:hAnsi="Calibri"/>
                <w:sz w:val="14"/>
                <w:szCs w:val="14"/>
                <w:color w:val="auto"/>
              </w:rPr>
              <w:t>Total equity</w:t>
            </w: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2,224.7</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2,294.2</w:t>
            </w:r>
          </w:p>
        </w:tc>
      </w:tr>
      <w:tr>
        <w:trPr>
          <w:trHeight w:val="216"/>
        </w:trPr>
        <w:tc>
          <w:tcPr>
            <w:tcW w:w="7620" w:type="dxa"/>
            <w:vAlign w:val="bottom"/>
          </w:tcPr>
          <w:p>
            <w:pPr>
              <w:ind w:left="20"/>
              <w:spacing w:after="0"/>
              <w:rPr>
                <w:sz w:val="20"/>
                <w:szCs w:val="20"/>
                <w:color w:val="auto"/>
              </w:rPr>
            </w:pPr>
            <w:r>
              <w:rPr>
                <w:rFonts w:ascii="Calibri" w:cs="Calibri" w:eastAsia="Calibri" w:hAnsi="Calibri"/>
                <w:sz w:val="14"/>
                <w:szCs w:val="14"/>
                <w:b w:val="1"/>
                <w:bCs w:val="1"/>
                <w:color w:val="auto"/>
              </w:rPr>
              <w:t>Total liabilites and stockholders’ equity</w:t>
            </w: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Calibri" w:cs="Calibri" w:eastAsia="Calibri" w:hAnsi="Calibri"/>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2,498.1</w:t>
            </w:r>
          </w:p>
        </w:tc>
        <w:tc>
          <w:tcPr>
            <w:tcW w:w="2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Calibri" w:cs="Calibri" w:eastAsia="Calibri" w:hAnsi="Calibri"/>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4"/>
                <w:szCs w:val="14"/>
                <w:b w:val="1"/>
                <w:bCs w:val="1"/>
                <w:color w:val="auto"/>
              </w:rPr>
              <w:t>2,414.3</w:t>
            </w:r>
          </w:p>
        </w:tc>
      </w:tr>
      <w:tr>
        <w:trPr>
          <w:trHeight w:val="27"/>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9" w:name="page10"/>
    <w:bookmarkEnd w:id="9"/>
    <w:p>
      <w:pPr>
        <w:jc w:val="center"/>
        <w:ind w:right="-19"/>
        <w:spacing w:after="0"/>
        <w:rPr>
          <w:sz w:val="20"/>
          <w:szCs w:val="20"/>
          <w:color w:val="auto"/>
        </w:rPr>
      </w:pPr>
      <w:r>
        <w:rPr>
          <w:rFonts w:ascii="Calibri" w:cs="Calibri" w:eastAsia="Calibri" w:hAnsi="Calibri"/>
          <w:sz w:val="20"/>
          <w:szCs w:val="20"/>
          <w:b w:val="1"/>
          <w:bCs w:val="1"/>
          <w:color w:val="auto"/>
        </w:rPr>
        <w:t>Consolidated Statement of Operatons ($ 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38100</wp:posOffset>
            </wp:positionV>
            <wp:extent cx="8255" cy="5486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5486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7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w w:val="98"/>
              </w:rPr>
              <w:t>Successor</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40" w:type="dxa"/>
            <w:vAlign w:val="bottom"/>
            <w:gridSpan w:val="3"/>
          </w:tcPr>
          <w:p>
            <w:pPr>
              <w:jc w:val="right"/>
              <w:ind w:right="20"/>
              <w:spacing w:after="0"/>
              <w:rPr>
                <w:sz w:val="20"/>
                <w:szCs w:val="20"/>
                <w:color w:val="auto"/>
              </w:rPr>
            </w:pPr>
            <w:r>
              <w:rPr>
                <w:rFonts w:ascii="Calibri" w:cs="Calibri" w:eastAsia="Calibri" w:hAnsi="Calibri"/>
                <w:sz w:val="20"/>
                <w:szCs w:val="20"/>
                <w:b w:val="1"/>
                <w:bCs w:val="1"/>
                <w:color w:val="auto"/>
              </w:rPr>
              <w:t>Predecessor</w:t>
            </w:r>
          </w:p>
        </w:tc>
      </w:tr>
      <w:tr>
        <w:trPr>
          <w:trHeight w:val="312"/>
        </w:trPr>
        <w:tc>
          <w:tcPr>
            <w:tcW w:w="7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2Q22</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2Q21</w:t>
            </w:r>
          </w:p>
        </w:tc>
        <w:tc>
          <w:tcPr>
            <w:tcW w:w="20" w:type="dxa"/>
            <w:vAlign w:val="bottom"/>
          </w:tcPr>
          <w:p>
            <w:pPr>
              <w:spacing w:after="0"/>
              <w:rPr>
                <w:sz w:val="24"/>
                <w:szCs w:val="24"/>
                <w:color w:val="auto"/>
              </w:rPr>
            </w:pPr>
          </w:p>
        </w:tc>
      </w:tr>
      <w:tr>
        <w:trPr>
          <w:trHeight w:val="297"/>
        </w:trPr>
        <w:tc>
          <w:tcPr>
            <w:tcW w:w="7060" w:type="dxa"/>
            <w:vAlign w:val="bottom"/>
          </w:tcPr>
          <w:p>
            <w:pPr>
              <w:ind w:left="20"/>
              <w:spacing w:after="0"/>
              <w:rPr>
                <w:sz w:val="20"/>
                <w:szCs w:val="20"/>
                <w:color w:val="auto"/>
              </w:rPr>
            </w:pPr>
            <w:r>
              <w:rPr>
                <w:rFonts w:ascii="Calibri" w:cs="Calibri" w:eastAsia="Calibri" w:hAnsi="Calibri"/>
                <w:sz w:val="20"/>
                <w:szCs w:val="20"/>
                <w:b w:val="1"/>
                <w:bCs w:val="1"/>
                <w:color w:val="auto"/>
              </w:rPr>
              <w:t>Revenues: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
        </w:trPr>
        <w:tc>
          <w:tcPr>
            <w:tcW w:w="7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7"/>
        </w:trPr>
        <w:tc>
          <w:tcPr>
            <w:tcW w:w="7060" w:type="dxa"/>
            <w:vAlign w:val="bottom"/>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Net revenues (includes related party net revenues of</w:t>
            </w: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96"/>
        </w:trPr>
        <w:tc>
          <w:tcPr>
            <w:tcW w:w="7060" w:type="dxa"/>
            <w:vAlign w:val="bottom"/>
            <w:tcBorders>
              <w:bottom w:val="single" w:sz="8" w:color="CCEEFF"/>
            </w:tcBorders>
            <w:shd w:val="clear" w:color="auto" w:fill="CCEEFF"/>
          </w:tcPr>
          <w:p>
            <w:pPr>
              <w:ind w:left="240"/>
              <w:spacing w:after="0"/>
              <w:rPr>
                <w:sz w:val="20"/>
                <w:szCs w:val="20"/>
                <w:color w:val="auto"/>
              </w:rPr>
            </w:pPr>
            <w:r>
              <w:rPr>
                <w:rFonts w:ascii="Calibri" w:cs="Calibri" w:eastAsia="Calibri" w:hAnsi="Calibri"/>
                <w:sz w:val="20"/>
                <w:szCs w:val="20"/>
                <w:color w:val="auto"/>
              </w:rPr>
              <w:t>$14 and afliate net revenues of $(17), respectvely)</w:t>
            </w:r>
          </w:p>
        </w:tc>
        <w:tc>
          <w:tcPr>
            <w:tcW w:w="620" w:type="dxa"/>
            <w:vAlign w:val="bottom"/>
            <w:tcBorders>
              <w:bottom w:val="single" w:sz="8" w:color="CCEEFF"/>
            </w:tcBorders>
            <w:shd w:val="clear" w:color="auto" w:fill="CCEEFF"/>
          </w:tcPr>
          <w:p>
            <w:pPr>
              <w:jc w:val="right"/>
              <w:ind w:right="401"/>
              <w:spacing w:after="0"/>
              <w:rPr>
                <w:sz w:val="20"/>
                <w:szCs w:val="20"/>
                <w:color w:val="auto"/>
              </w:rPr>
            </w:pPr>
            <w:r>
              <w:rPr>
                <w:rFonts w:ascii="Calibri" w:cs="Calibri" w:eastAsia="Calibri" w:hAnsi="Calibri"/>
                <w:sz w:val="20"/>
                <w:szCs w:val="20"/>
                <w:color w:val="auto"/>
                <w:w w:val="98"/>
              </w:rPr>
              <w:t>$</w:t>
            </w:r>
          </w:p>
        </w:tc>
        <w:tc>
          <w:tcPr>
            <w:tcW w:w="13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Calibri" w:cs="Calibri" w:eastAsia="Calibri" w:hAnsi="Calibri"/>
                <w:sz w:val="20"/>
                <w:szCs w:val="20"/>
                <w:color w:val="auto"/>
              </w:rPr>
              <w:t>13.6</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01"/>
              <w:spacing w:after="0"/>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20"/>
                <w:szCs w:val="20"/>
                <w:color w:val="auto"/>
              </w:rPr>
              <w:t>8.5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0"/>
              <w:spacing w:after="0" w:line="236" w:lineRule="exact"/>
              <w:rPr>
                <w:sz w:val="20"/>
                <w:szCs w:val="20"/>
                <w:color w:val="auto"/>
              </w:rPr>
            </w:pPr>
            <w:r>
              <w:rPr>
                <w:rFonts w:ascii="Calibri" w:cs="Calibri" w:eastAsia="Calibri" w:hAnsi="Calibri"/>
                <w:sz w:val="20"/>
                <w:szCs w:val="20"/>
                <w:color w:val="auto"/>
              </w:rPr>
              <w:t>Operatng expenses:</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
        </w:trPr>
        <w:tc>
          <w:tcPr>
            <w:tcW w:w="7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Compensaton and benefts</w:t>
            </w:r>
          </w:p>
        </w:tc>
        <w:tc>
          <w:tcPr>
            <w:tcW w:w="6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34.2</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19.9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Professional services</w:t>
            </w:r>
          </w:p>
        </w:tc>
        <w:tc>
          <w:tcPr>
            <w:tcW w:w="620" w:type="dxa"/>
            <w:vAlign w:val="bottom"/>
          </w:tcPr>
          <w:p>
            <w:pPr>
              <w:spacing w:after="0"/>
              <w:rPr>
                <w:sz w:val="20"/>
                <w:szCs w:val="20"/>
                <w:color w:val="auto"/>
              </w:rPr>
            </w:pPr>
          </w:p>
        </w:tc>
        <w:tc>
          <w:tcPr>
            <w:tcW w:w="13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1.9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0.8</w:t>
            </w:r>
          </w:p>
        </w:tc>
        <w:tc>
          <w:tcPr>
            <w:tcW w:w="20" w:type="dxa"/>
            <w:vAlign w:val="bottom"/>
          </w:tcPr>
          <w:p>
            <w:pPr>
              <w:spacing w:after="0"/>
              <w:rPr>
                <w:sz w:val="20"/>
                <w:szCs w:val="20"/>
                <w:color w:val="auto"/>
              </w:rPr>
            </w:pPr>
          </w:p>
        </w:tc>
      </w:tr>
      <w:tr>
        <w:trPr>
          <w:trHeight w:val="60"/>
        </w:trPr>
        <w:tc>
          <w:tcPr>
            <w:tcW w:w="7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Technology and communicaton</w:t>
            </w:r>
          </w:p>
        </w:tc>
        <w:tc>
          <w:tcPr>
            <w:tcW w:w="6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4.2</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3.9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Selling, general and administratve</w:t>
            </w:r>
          </w:p>
        </w:tc>
        <w:tc>
          <w:tcPr>
            <w:tcW w:w="620" w:type="dxa"/>
            <w:vAlign w:val="bottom"/>
          </w:tcPr>
          <w:p>
            <w:pPr>
              <w:spacing w:after="0"/>
              <w:rPr>
                <w:sz w:val="20"/>
                <w:szCs w:val="20"/>
                <w:color w:val="auto"/>
              </w:rPr>
            </w:pPr>
          </w:p>
        </w:tc>
        <w:tc>
          <w:tcPr>
            <w:tcW w:w="13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9.8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9.0</w:t>
            </w:r>
          </w:p>
        </w:tc>
        <w:tc>
          <w:tcPr>
            <w:tcW w:w="20" w:type="dxa"/>
            <w:vAlign w:val="bottom"/>
          </w:tcPr>
          <w:p>
            <w:pPr>
              <w:spacing w:after="0"/>
              <w:rPr>
                <w:sz w:val="20"/>
                <w:szCs w:val="20"/>
                <w:color w:val="auto"/>
              </w:rPr>
            </w:pPr>
          </w:p>
        </w:tc>
      </w:tr>
      <w:tr>
        <w:trPr>
          <w:trHeight w:val="60"/>
        </w:trPr>
        <w:tc>
          <w:tcPr>
            <w:tcW w:w="7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Acquisiton-related expenses</w:t>
            </w:r>
          </w:p>
        </w:tc>
        <w:tc>
          <w:tcPr>
            <w:tcW w:w="6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0.2</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Depreciaton and amortzaton</w:t>
            </w:r>
          </w:p>
        </w:tc>
        <w:tc>
          <w:tcPr>
            <w:tcW w:w="620" w:type="dxa"/>
            <w:vAlign w:val="bottom"/>
          </w:tcPr>
          <w:p>
            <w:pPr>
              <w:spacing w:after="0"/>
              <w:rPr>
                <w:sz w:val="20"/>
                <w:szCs w:val="20"/>
                <w:color w:val="auto"/>
              </w:rPr>
            </w:pPr>
          </w:p>
        </w:tc>
        <w:tc>
          <w:tcPr>
            <w:tcW w:w="13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6.1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3.0</w:t>
            </w:r>
          </w:p>
        </w:tc>
        <w:tc>
          <w:tcPr>
            <w:tcW w:w="20" w:type="dxa"/>
            <w:vAlign w:val="bottom"/>
          </w:tcPr>
          <w:p>
            <w:pPr>
              <w:spacing w:after="0"/>
              <w:rPr>
                <w:sz w:val="20"/>
                <w:szCs w:val="20"/>
                <w:color w:val="auto"/>
              </w:rPr>
            </w:pPr>
          </w:p>
        </w:tc>
      </w:tr>
      <w:tr>
        <w:trPr>
          <w:trHeight w:val="60"/>
        </w:trPr>
        <w:tc>
          <w:tcPr>
            <w:tcW w:w="7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Related party expenses (afliate in Predecessor period)</w:t>
            </w:r>
          </w:p>
        </w:tc>
        <w:tc>
          <w:tcPr>
            <w:tcW w:w="6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0.3</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Other operatng expenses</w:t>
            </w:r>
          </w:p>
        </w:tc>
        <w:tc>
          <w:tcPr>
            <w:tcW w:w="620" w:type="dxa"/>
            <w:vAlign w:val="bottom"/>
          </w:tcPr>
          <w:p>
            <w:pPr>
              <w:spacing w:after="0"/>
              <w:rPr>
                <w:sz w:val="20"/>
                <w:szCs w:val="20"/>
                <w:color w:val="auto"/>
              </w:rPr>
            </w:pPr>
          </w:p>
        </w:tc>
        <w:tc>
          <w:tcPr>
            <w:tcW w:w="13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0.5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spacing w:after="0" w:line="236" w:lineRule="exact"/>
              <w:rPr>
                <w:sz w:val="20"/>
                <w:szCs w:val="20"/>
                <w:color w:val="auto"/>
              </w:rPr>
            </w:pPr>
            <w:r>
              <w:rPr>
                <w:rFonts w:ascii="Calibri" w:cs="Calibri" w:eastAsia="Calibri" w:hAnsi="Calibri"/>
                <w:sz w:val="20"/>
                <w:szCs w:val="20"/>
                <w:color w:val="auto"/>
              </w:rPr>
              <w:t>0.3</w:t>
            </w:r>
          </w:p>
        </w:tc>
        <w:tc>
          <w:tcPr>
            <w:tcW w:w="20" w:type="dxa"/>
            <w:vAlign w:val="bottom"/>
          </w:tcPr>
          <w:p>
            <w:pPr>
              <w:spacing w:after="0"/>
              <w:rPr>
                <w:sz w:val="20"/>
                <w:szCs w:val="20"/>
                <w:color w:val="auto"/>
              </w:rPr>
            </w:pPr>
          </w:p>
        </w:tc>
      </w:tr>
      <w:tr>
        <w:trPr>
          <w:trHeight w:val="60"/>
        </w:trPr>
        <w:tc>
          <w:tcPr>
            <w:tcW w:w="706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1"/>
        </w:trPr>
        <w:tc>
          <w:tcPr>
            <w:tcW w:w="7060" w:type="dxa"/>
            <w:vAlign w:val="bottom"/>
            <w:tcBorders>
              <w:bottom w:val="single" w:sz="8" w:color="CCEEFF"/>
            </w:tcBorders>
            <w:shd w:val="clear" w:color="auto" w:fill="CCEEFF"/>
          </w:tcPr>
          <w:p>
            <w:pPr>
              <w:ind w:left="460"/>
              <w:spacing w:after="0" w:line="230" w:lineRule="exact"/>
              <w:rPr>
                <w:sz w:val="20"/>
                <w:szCs w:val="20"/>
                <w:color w:val="auto"/>
              </w:rPr>
            </w:pPr>
            <w:r>
              <w:rPr>
                <w:rFonts w:ascii="Calibri" w:cs="Calibri" w:eastAsia="Calibri" w:hAnsi="Calibri"/>
                <w:sz w:val="20"/>
                <w:szCs w:val="20"/>
                <w:color w:val="auto"/>
              </w:rPr>
              <w:t>Total operatng expenses</w:t>
            </w: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gridSpan w:val="2"/>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57.1</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39.8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0"/>
        </w:trPr>
        <w:tc>
          <w:tcPr>
            <w:tcW w:w="7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ind w:left="20"/>
              <w:spacing w:after="0" w:line="236" w:lineRule="exact"/>
              <w:rPr>
                <w:sz w:val="20"/>
                <w:szCs w:val="20"/>
                <w:color w:val="auto"/>
              </w:rPr>
            </w:pPr>
            <w:r>
              <w:rPr>
                <w:rFonts w:ascii="Calibri" w:cs="Calibri" w:eastAsia="Calibri" w:hAnsi="Calibri"/>
                <w:sz w:val="20"/>
                <w:szCs w:val="20"/>
                <w:b w:val="1"/>
                <w:bCs w:val="1"/>
                <w:color w:val="auto"/>
              </w:rPr>
              <w:t>Operatng loss</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b w:val="1"/>
                <w:bCs w:val="1"/>
                <w:color w:val="auto"/>
              </w:rPr>
              <w:t>(43.6)</w:t>
            </w:r>
          </w:p>
        </w:tc>
        <w:tc>
          <w:tcPr>
            <w:tcW w:w="260" w:type="dxa"/>
            <w:vAlign w:val="bottom"/>
          </w:tcPr>
          <w:p>
            <w:pPr>
              <w:spacing w:after="0"/>
              <w:rPr>
                <w:sz w:val="20"/>
                <w:szCs w:val="20"/>
                <w:color w:val="auto"/>
              </w:rPr>
            </w:pPr>
          </w:p>
        </w:tc>
        <w:tc>
          <w:tcPr>
            <w:tcW w:w="1960" w:type="dxa"/>
            <w:vAlign w:val="bottom"/>
          </w:tcPr>
          <w:p>
            <w:pPr>
              <w:jc w:val="right"/>
              <w:spacing w:after="0" w:line="236" w:lineRule="exact"/>
              <w:rPr>
                <w:sz w:val="20"/>
                <w:szCs w:val="20"/>
                <w:color w:val="auto"/>
              </w:rPr>
            </w:pPr>
            <w:r>
              <w:rPr>
                <w:rFonts w:ascii="Calibri" w:cs="Calibri" w:eastAsia="Calibri" w:hAnsi="Calibri"/>
                <w:sz w:val="20"/>
                <w:szCs w:val="20"/>
                <w:b w:val="1"/>
                <w:bCs w:val="1"/>
                <w:color w:val="auto"/>
              </w:rPr>
              <w:t>(31.3)</w:t>
            </w:r>
          </w:p>
        </w:tc>
      </w:tr>
      <w:tr>
        <w:trPr>
          <w:trHeight w:val="60"/>
        </w:trPr>
        <w:tc>
          <w:tcPr>
            <w:tcW w:w="70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37"/>
        </w:trPr>
        <w:tc>
          <w:tcPr>
            <w:tcW w:w="7060" w:type="dxa"/>
            <w:vAlign w:val="bottom"/>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Interest income (expense), net</w:t>
            </w:r>
          </w:p>
        </w:tc>
        <w:tc>
          <w:tcPr>
            <w:tcW w:w="194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0.2</w:t>
            </w:r>
          </w:p>
        </w:tc>
        <w:tc>
          <w:tcPr>
            <w:tcW w:w="26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(0.1)</w:t>
            </w:r>
          </w:p>
        </w:tc>
      </w:tr>
      <w:tr>
        <w:trPr>
          <w:trHeight w:val="60"/>
        </w:trPr>
        <w:tc>
          <w:tcPr>
            <w:tcW w:w="706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Gain from change in fair value of warrant liability</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color w:val="auto"/>
              </w:rPr>
              <w:t>10.3</w:t>
            </w:r>
          </w:p>
        </w:tc>
        <w:tc>
          <w:tcPr>
            <w:tcW w:w="260" w:type="dxa"/>
            <w:vAlign w:val="bottom"/>
          </w:tcPr>
          <w:p>
            <w:pPr>
              <w:spacing w:after="0"/>
              <w:rPr>
                <w:sz w:val="20"/>
                <w:szCs w:val="20"/>
                <w:color w:val="auto"/>
              </w:rPr>
            </w:pPr>
          </w:p>
        </w:tc>
        <w:tc>
          <w:tcPr>
            <w:tcW w:w="1960" w:type="dxa"/>
            <w:vAlign w:val="bottom"/>
          </w:tcPr>
          <w:p>
            <w:pPr>
              <w:jc w:val="right"/>
              <w:spacing w:after="0" w:line="236" w:lineRule="exact"/>
              <w:rPr>
                <w:sz w:val="20"/>
                <w:szCs w:val="20"/>
                <w:color w:val="auto"/>
              </w:rPr>
            </w:pPr>
            <w:r>
              <w:rPr>
                <w:rFonts w:ascii="Calibri" w:cs="Calibri" w:eastAsia="Calibri" w:hAnsi="Calibri"/>
                <w:sz w:val="20"/>
                <w:szCs w:val="20"/>
                <w:color w:val="auto"/>
              </w:rPr>
              <w:t>—</w:t>
            </w:r>
          </w:p>
        </w:tc>
      </w:tr>
      <w:tr>
        <w:trPr>
          <w:trHeight w:val="60"/>
        </w:trPr>
        <w:tc>
          <w:tcPr>
            <w:tcW w:w="70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Other income (expense), net</w:t>
            </w:r>
          </w:p>
        </w:tc>
        <w:tc>
          <w:tcPr>
            <w:tcW w:w="194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0.4</w:t>
            </w:r>
          </w:p>
        </w:tc>
        <w:tc>
          <w:tcPr>
            <w:tcW w:w="2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(0.3)</w:t>
            </w:r>
          </w:p>
        </w:tc>
      </w:tr>
      <w:tr>
        <w:trPr>
          <w:trHeight w:val="20"/>
        </w:trPr>
        <w:tc>
          <w:tcPr>
            <w:tcW w:w="70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ind w:left="20"/>
              <w:spacing w:after="0" w:line="236" w:lineRule="exact"/>
              <w:rPr>
                <w:sz w:val="20"/>
                <w:szCs w:val="20"/>
                <w:color w:val="auto"/>
              </w:rPr>
            </w:pPr>
            <w:r>
              <w:rPr>
                <w:rFonts w:ascii="Calibri" w:cs="Calibri" w:eastAsia="Calibri" w:hAnsi="Calibri"/>
                <w:sz w:val="20"/>
                <w:szCs w:val="20"/>
                <w:b w:val="1"/>
                <w:bCs w:val="1"/>
                <w:color w:val="auto"/>
              </w:rPr>
              <w:t>Loss before income taxes</w:t>
            </w:r>
          </w:p>
        </w:tc>
        <w:tc>
          <w:tcPr>
            <w:tcW w:w="780" w:type="dxa"/>
            <w:vAlign w:val="bottom"/>
          </w:tcPr>
          <w:p>
            <w:pPr>
              <w:spacing w:after="0"/>
              <w:rPr>
                <w:sz w:val="20"/>
                <w:szCs w:val="20"/>
                <w:color w:val="auto"/>
              </w:rPr>
            </w:pPr>
          </w:p>
        </w:tc>
        <w:tc>
          <w:tcPr>
            <w:tcW w:w="1160" w:type="dxa"/>
            <w:vAlign w:val="bottom"/>
          </w:tcPr>
          <w:p>
            <w:pPr>
              <w:jc w:val="right"/>
              <w:spacing w:after="0" w:line="236" w:lineRule="exact"/>
              <w:rPr>
                <w:sz w:val="20"/>
                <w:szCs w:val="20"/>
                <w:color w:val="auto"/>
              </w:rPr>
            </w:pPr>
            <w:r>
              <w:rPr>
                <w:rFonts w:ascii="Calibri" w:cs="Calibri" w:eastAsia="Calibri" w:hAnsi="Calibri"/>
                <w:sz w:val="20"/>
                <w:szCs w:val="20"/>
                <w:b w:val="1"/>
                <w:bCs w:val="1"/>
                <w:color w:val="auto"/>
              </w:rPr>
              <w:t>(32.7)</w:t>
            </w:r>
          </w:p>
        </w:tc>
        <w:tc>
          <w:tcPr>
            <w:tcW w:w="2220" w:type="dxa"/>
            <w:vAlign w:val="bottom"/>
            <w:gridSpan w:val="2"/>
          </w:tcPr>
          <w:p>
            <w:pPr>
              <w:jc w:val="right"/>
              <w:spacing w:after="0" w:line="236" w:lineRule="exact"/>
              <w:rPr>
                <w:sz w:val="20"/>
                <w:szCs w:val="20"/>
                <w:color w:val="auto"/>
              </w:rPr>
            </w:pPr>
            <w:r>
              <w:rPr>
                <w:rFonts w:ascii="Calibri" w:cs="Calibri" w:eastAsia="Calibri" w:hAnsi="Calibri"/>
                <w:sz w:val="20"/>
                <w:szCs w:val="20"/>
                <w:b w:val="1"/>
                <w:bCs w:val="1"/>
                <w:color w:val="auto"/>
              </w:rPr>
              <w:t>(31.7)</w:t>
            </w:r>
          </w:p>
        </w:tc>
      </w:tr>
      <w:tr>
        <w:trPr>
          <w:trHeight w:val="60"/>
        </w:trPr>
        <w:tc>
          <w:tcPr>
            <w:tcW w:w="7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9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Income tax beneft (expense)</w:t>
            </w:r>
          </w:p>
        </w:tc>
        <w:tc>
          <w:tcPr>
            <w:tcW w:w="7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5.1</w:t>
            </w:r>
          </w:p>
        </w:tc>
        <w:tc>
          <w:tcPr>
            <w:tcW w:w="2220" w:type="dxa"/>
            <w:vAlign w:val="bottom"/>
            <w:tcBorders>
              <w:bottom w:val="single" w:sz="8" w:color="CCEEFF"/>
            </w:tcBorders>
            <w:gridSpan w:val="2"/>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(0.2)</w:t>
            </w:r>
          </w:p>
        </w:tc>
      </w:tr>
      <w:tr>
        <w:trPr>
          <w:trHeight w:val="230"/>
        </w:trPr>
        <w:tc>
          <w:tcPr>
            <w:tcW w:w="7060" w:type="dxa"/>
            <w:vAlign w:val="bottom"/>
          </w:tcPr>
          <w:p>
            <w:pPr>
              <w:ind w:left="20"/>
              <w:spacing w:after="0" w:line="230" w:lineRule="exact"/>
              <w:rPr>
                <w:sz w:val="20"/>
                <w:szCs w:val="20"/>
                <w:color w:val="auto"/>
              </w:rPr>
            </w:pPr>
            <w:r>
              <w:rPr>
                <w:rFonts w:ascii="Calibri" w:cs="Calibri" w:eastAsia="Calibri" w:hAnsi="Calibri"/>
                <w:sz w:val="20"/>
                <w:szCs w:val="20"/>
                <w:b w:val="1"/>
                <w:bCs w:val="1"/>
                <w:color w:val="auto"/>
              </w:rPr>
              <w:t>Net loss</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b w:val="1"/>
                <w:bCs w:val="1"/>
                <w:color w:val="auto"/>
              </w:rPr>
              <w:t>(27.6)</w:t>
            </w:r>
          </w:p>
        </w:tc>
        <w:tc>
          <w:tcPr>
            <w:tcW w:w="260" w:type="dxa"/>
            <w:vAlign w:val="bottom"/>
          </w:tcPr>
          <w:p>
            <w:pPr>
              <w:spacing w:after="0"/>
              <w:rPr>
                <w:sz w:val="20"/>
                <w:szCs w:val="20"/>
                <w:color w:val="auto"/>
              </w:rPr>
            </w:pPr>
          </w:p>
        </w:tc>
        <w:tc>
          <w:tcPr>
            <w:tcW w:w="196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b w:val="1"/>
                <w:bCs w:val="1"/>
                <w:color w:val="auto"/>
              </w:rPr>
              <w:t>(31.9)</w:t>
            </w:r>
          </w:p>
        </w:tc>
      </w:tr>
      <w:tr>
        <w:trPr>
          <w:trHeight w:val="60"/>
        </w:trPr>
        <w:tc>
          <w:tcPr>
            <w:tcW w:w="7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97"/>
        </w:trPr>
        <w:tc>
          <w:tcPr>
            <w:tcW w:w="7060" w:type="dxa"/>
            <w:vAlign w:val="bottom"/>
            <w:tcBorders>
              <w:bottom w:val="single" w:sz="8" w:color="CCEEFF"/>
            </w:tcBorders>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Less: Net loss atributable to noncontrolling interest</w:t>
            </w:r>
          </w:p>
        </w:tc>
        <w:tc>
          <w:tcPr>
            <w:tcW w:w="7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(23.7)</w:t>
            </w:r>
          </w:p>
        </w:tc>
        <w:tc>
          <w:tcPr>
            <w:tcW w:w="2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258"/>
        </w:trPr>
        <w:tc>
          <w:tcPr>
            <w:tcW w:w="7060" w:type="dxa"/>
            <w:vAlign w:val="bottom"/>
          </w:tcPr>
          <w:p>
            <w:pPr>
              <w:ind w:left="20"/>
              <w:spacing w:after="0"/>
              <w:rPr>
                <w:sz w:val="20"/>
                <w:szCs w:val="20"/>
                <w:color w:val="auto"/>
              </w:rPr>
            </w:pPr>
            <w:r>
              <w:rPr>
                <w:rFonts w:ascii="Calibri" w:cs="Calibri" w:eastAsia="Calibri" w:hAnsi="Calibri"/>
                <w:sz w:val="20"/>
                <w:szCs w:val="20"/>
                <w:b w:val="1"/>
                <w:bCs w:val="1"/>
                <w:color w:val="auto"/>
              </w:rPr>
              <w:t>Net loss atributable to Bakkt Holdings, Inc.</w:t>
            </w:r>
          </w:p>
        </w:tc>
        <w:tc>
          <w:tcPr>
            <w:tcW w:w="780" w:type="dxa"/>
            <w:vAlign w:val="bottom"/>
            <w:tcBorders>
              <w:top w:val="single" w:sz="8" w:color="auto"/>
            </w:tcBorders>
          </w:tcPr>
          <w:p>
            <w:pPr>
              <w:jc w:val="right"/>
              <w:ind w:right="561"/>
              <w:spacing w:after="0" w:line="234" w:lineRule="exact"/>
              <w:rPr>
                <w:sz w:val="20"/>
                <w:szCs w:val="20"/>
                <w:color w:val="auto"/>
              </w:rPr>
            </w:pPr>
            <w:r>
              <w:rPr>
                <w:rFonts w:ascii="Calibri" w:cs="Calibri" w:eastAsia="Calibri" w:hAnsi="Calibri"/>
                <w:sz w:val="20"/>
                <w:szCs w:val="20"/>
                <w:b w:val="1"/>
                <w:bCs w:val="1"/>
                <w:color w:val="auto"/>
                <w:w w:val="98"/>
              </w:rPr>
              <w:t>$</w:t>
            </w:r>
          </w:p>
        </w:tc>
        <w:tc>
          <w:tcPr>
            <w:tcW w:w="1160" w:type="dxa"/>
            <w:vAlign w:val="bottom"/>
            <w:tcBorders>
              <w:top w:val="single" w:sz="8" w:color="auto"/>
            </w:tcBorders>
          </w:tcPr>
          <w:p>
            <w:pPr>
              <w:jc w:val="right"/>
              <w:spacing w:after="0" w:line="234" w:lineRule="exact"/>
              <w:rPr>
                <w:sz w:val="20"/>
                <w:szCs w:val="20"/>
                <w:color w:val="auto"/>
              </w:rPr>
            </w:pPr>
            <w:r>
              <w:rPr>
                <w:rFonts w:ascii="Calibri" w:cs="Calibri" w:eastAsia="Calibri" w:hAnsi="Calibri"/>
                <w:sz w:val="20"/>
                <w:szCs w:val="20"/>
                <w:b w:val="1"/>
                <w:bCs w:val="1"/>
                <w:color w:val="auto"/>
              </w:rPr>
              <w:t>(3.9)</w:t>
            </w: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33"/>
        </w:trPr>
        <w:tc>
          <w:tcPr>
            <w:tcW w:w="70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
        </w:trPr>
        <w:tc>
          <w:tcPr>
            <w:tcW w:w="7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7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7"/>
        </w:trPr>
        <w:tc>
          <w:tcPr>
            <w:tcW w:w="7060" w:type="dxa"/>
            <w:vAlign w:val="bottom"/>
            <w:tcBorders>
              <w:bottom w:val="single" w:sz="8" w:color="CCEEFF"/>
            </w:tcBorders>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Net loss per share atributable to Bakkt Holdings, Inc.</w:t>
            </w:r>
          </w:p>
        </w:tc>
        <w:tc>
          <w:tcPr>
            <w:tcW w:w="7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0"/>
              <w:spacing w:after="0" w:line="236" w:lineRule="exact"/>
              <w:rPr>
                <w:sz w:val="20"/>
                <w:szCs w:val="20"/>
                <w:color w:val="auto"/>
              </w:rPr>
            </w:pPr>
            <w:r>
              <w:rPr>
                <w:rFonts w:ascii="Calibri" w:cs="Calibri" w:eastAsia="Calibri" w:hAnsi="Calibri"/>
                <w:sz w:val="20"/>
                <w:szCs w:val="20"/>
                <w:color w:val="auto"/>
              </w:rPr>
              <w:t>Class A common stockholders per share:</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60"/>
        </w:trPr>
        <w:tc>
          <w:tcPr>
            <w:tcW w:w="7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60" w:type="dxa"/>
            <w:vAlign w:val="bottom"/>
          </w:tcPr>
          <w:p>
            <w:pPr>
              <w:spacing w:after="0"/>
              <w:rPr>
                <w:sz w:val="5"/>
                <w:szCs w:val="5"/>
                <w:color w:val="auto"/>
              </w:rPr>
            </w:pPr>
          </w:p>
        </w:tc>
      </w:tr>
      <w:tr>
        <w:trPr>
          <w:trHeight w:val="277"/>
        </w:trPr>
        <w:tc>
          <w:tcPr>
            <w:tcW w:w="706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Basic</w:t>
            </w:r>
          </w:p>
        </w:tc>
        <w:tc>
          <w:tcPr>
            <w:tcW w:w="780" w:type="dxa"/>
            <w:vAlign w:val="bottom"/>
            <w:tcBorders>
              <w:bottom w:val="single" w:sz="8" w:color="CCEEFF"/>
            </w:tcBorders>
            <w:shd w:val="clear" w:color="auto" w:fill="CCEEFF"/>
          </w:tcPr>
          <w:p>
            <w:pPr>
              <w:jc w:val="right"/>
              <w:ind w:right="561"/>
              <w:spacing w:after="0" w:line="236"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(0.05)</w:t>
            </w:r>
          </w:p>
        </w:tc>
        <w:tc>
          <w:tcPr>
            <w:tcW w:w="26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spacing w:after="0"/>
              <w:rPr>
                <w:sz w:val="24"/>
                <w:szCs w:val="24"/>
                <w:color w:val="auto"/>
              </w:rPr>
            </w:pPr>
          </w:p>
        </w:tc>
      </w:tr>
      <w:tr>
        <w:trPr>
          <w:trHeight w:val="237"/>
        </w:trPr>
        <w:tc>
          <w:tcPr>
            <w:tcW w:w="7060" w:type="dxa"/>
            <w:vAlign w:val="bottom"/>
          </w:tcPr>
          <w:p>
            <w:pPr>
              <w:ind w:left="240"/>
              <w:spacing w:after="0" w:line="236" w:lineRule="exact"/>
              <w:rPr>
                <w:sz w:val="20"/>
                <w:szCs w:val="20"/>
                <w:color w:val="auto"/>
              </w:rPr>
            </w:pPr>
            <w:r>
              <w:rPr>
                <w:rFonts w:ascii="Calibri" w:cs="Calibri" w:eastAsia="Calibri" w:hAnsi="Calibri"/>
                <w:sz w:val="20"/>
                <w:szCs w:val="20"/>
                <w:color w:val="auto"/>
              </w:rPr>
              <w:t>Diluted</w:t>
            </w:r>
          </w:p>
        </w:tc>
        <w:tc>
          <w:tcPr>
            <w:tcW w:w="780" w:type="dxa"/>
            <w:vAlign w:val="bottom"/>
          </w:tcPr>
          <w:p>
            <w:pPr>
              <w:jc w:val="right"/>
              <w:ind w:right="561"/>
              <w:spacing w:after="0" w:line="236" w:lineRule="exact"/>
              <w:rPr>
                <w:sz w:val="20"/>
                <w:szCs w:val="20"/>
                <w:color w:val="auto"/>
              </w:rPr>
            </w:pPr>
            <w:r>
              <w:rPr>
                <w:rFonts w:ascii="Calibri" w:cs="Calibri" w:eastAsia="Calibri" w:hAnsi="Calibri"/>
                <w:sz w:val="20"/>
                <w:szCs w:val="20"/>
                <w:color w:val="auto"/>
                <w:w w:val="98"/>
              </w:rPr>
              <w:t>$</w:t>
            </w:r>
          </w:p>
        </w:tc>
        <w:tc>
          <w:tcPr>
            <w:tcW w:w="1160" w:type="dxa"/>
            <w:vAlign w:val="bottom"/>
          </w:tcPr>
          <w:p>
            <w:pPr>
              <w:jc w:val="right"/>
              <w:spacing w:after="0" w:line="236" w:lineRule="exact"/>
              <w:rPr>
                <w:sz w:val="20"/>
                <w:szCs w:val="20"/>
                <w:color w:val="auto"/>
              </w:rPr>
            </w:pPr>
            <w:r>
              <w:rPr>
                <w:rFonts w:ascii="Calibri" w:cs="Calibri" w:eastAsia="Calibri" w:hAnsi="Calibri"/>
                <w:sz w:val="20"/>
                <w:szCs w:val="20"/>
                <w:color w:val="auto"/>
              </w:rPr>
              <w:t>(0.05)</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20"/>
      </w:cols>
      <w:pgMar w:left="320" w:top="14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1)"/>
      <w:numFmt w:val="decimal"/>
      <w:start w:val="866"/>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Roman"/>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2022-08-11T06:34:55Z</dcterms:created>
  <dcterms:modified xsi:type="dcterms:W3CDTF">2022-08-11T06:34:55Z</dcterms:modified>
</cp:coreProperties>
</file>