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637540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662940</wp:posOffset>
            </wp:positionV>
            <wp:extent cx="466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089" w:right="339" w:bottom="1440" w:gutter="0" w:footer="0" w:header="0"/>
          <w:type w:val="continuous"/>
        </w:sectPr>
      </w:pPr>
    </w:p>
    <w:tbl>
      <w:tblPr>
        <w:tblLayout w:type="fixed"/>
        <w:tblInd w:w="1400" w:type="dxa"/>
        <w:tblCellMar>
          <w:top w:w="0" w:type="dxa"/>
          <w:left w:w="0" w:type="dxa"/>
          <w:bottom w:w="0" w:type="dxa"/>
          <w:right w:w="0" w:type="dxa"/>
        </w:tblCellMar>
      </w:tblPr>
      <w:tr>
        <w:trPr>
          <w:trHeight w:val="207"/>
        </w:trPr>
        <w:tc>
          <w:tcPr>
            <w:tcW w:w="4740" w:type="dxa"/>
            <w:vAlign w:val="bottom"/>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3280 Peachtree Road NE, 7th Floor</w:t>
            </w:r>
          </w:p>
        </w:tc>
        <w:tc>
          <w:tcPr>
            <w:tcW w:w="268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30305</w:t>
            </w:r>
          </w:p>
        </w:tc>
        <w:tc>
          <w:tcPr>
            <w:tcW w:w="0" w:type="dxa"/>
            <w:vAlign w:val="bottom"/>
          </w:tcPr>
          <w:p>
            <w:pPr>
              <w:spacing w:after="0"/>
              <w:rPr>
                <w:sz w:val="1"/>
                <w:szCs w:val="1"/>
                <w:color w:val="auto"/>
              </w:rPr>
            </w:pPr>
          </w:p>
        </w:tc>
      </w:tr>
      <w:tr>
        <w:trPr>
          <w:trHeight w:val="144"/>
        </w:trPr>
        <w:tc>
          <w:tcPr>
            <w:tcW w:w="474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74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740" w:type="dxa"/>
            <w:vAlign w:val="bottom"/>
          </w:tcPr>
          <w:p>
            <w:pPr>
              <w:jc w:val="center"/>
              <w:ind w:right="19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80" w:type="dxa"/>
            <w:vAlign w:val="bottom"/>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203-3017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1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2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following proposals were submitted to the stockholders of Bakkt, Inc. (the “Company”) at the 2026 Annual Meeting of Stockholders held on June 23, 2026 (the "Annual Meeting"):</w:t>
      </w:r>
    </w:p>
    <w:p>
      <w:pPr>
        <w:spacing w:after="0" w:line="203" w:lineRule="exact"/>
        <w:rPr>
          <w:sz w:val="20"/>
          <w:szCs w:val="20"/>
          <w:color w:val="auto"/>
        </w:rPr>
      </w:pPr>
    </w:p>
    <w:p>
      <w:pPr>
        <w:ind w:left="660" w:right="440" w:hanging="328"/>
        <w:spacing w:after="0" w:line="24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Michael Alfred and Lyn Alden as Class II directors to serve as members of the Company’s Board of Directors until the 2029 Annual Meeting of Stockholders or until their successors are duly elected and qualified;</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Grant Thornton LLC as independent auditors of the Company for the fiscal year ending December 31, 2026.</w:t>
      </w:r>
    </w:p>
    <w:p>
      <w:pPr>
        <w:spacing w:after="0" w:line="21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As of April 24, 2026, the record date for the Annual Meeting, the Company had 30,761,371 shares of its Class A common stock outstanding and entitled to vote. At the Annual Meeting, 18,919,712 shares were present in person or represented by proxy and entitled to vote. No votes were cast during the Annual Meeting. Based on the votes cast by proxy, each proposal passed, including the election of each director. The number of votes cast for and against and the number of abstentions and broker non-votes with respect to each matter voted upon are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Election of Directors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500" w:type="dxa"/>
            <w:vAlign w:val="bottom"/>
            <w:tcBorders>
              <w:top w:val="single" w:sz="8" w:color="auto"/>
              <w:left w:val="single" w:sz="8" w:color="auto"/>
              <w:bottom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160" w:type="dxa"/>
            <w:vAlign w:val="bottom"/>
            <w:tcBorders>
              <w:top w:val="single" w:sz="8" w:color="auto"/>
              <w:bottom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6"/>
                <w:szCs w:val="16"/>
                <w:b w:val="1"/>
                <w:bCs w:val="1"/>
                <w:color w:val="FFFFFF"/>
              </w:rPr>
              <w:t>FOR</w:t>
            </w:r>
          </w:p>
        </w:tc>
        <w:tc>
          <w:tcPr>
            <w:tcW w:w="2100" w:type="dxa"/>
            <w:vAlign w:val="bottom"/>
            <w:tcBorders>
              <w:top w:val="single" w:sz="8" w:color="auto"/>
              <w:bottom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6"/>
                <w:szCs w:val="16"/>
                <w:b w:val="1"/>
                <w:bCs w:val="1"/>
                <w:color w:val="FFFFFF"/>
              </w:rPr>
              <w:t>AGAINST</w:t>
            </w:r>
          </w:p>
        </w:tc>
        <w:tc>
          <w:tcPr>
            <w:tcW w:w="2060" w:type="dxa"/>
            <w:vAlign w:val="bottom"/>
            <w:tcBorders>
              <w:top w:val="single" w:sz="8" w:color="auto"/>
              <w:bottom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6"/>
                <w:szCs w:val="16"/>
                <w:b w:val="1"/>
                <w:bCs w:val="1"/>
                <w:color w:val="FFFFFF"/>
              </w:rPr>
              <w:t>ABSTAIN</w:t>
            </w:r>
          </w:p>
        </w:tc>
        <w:tc>
          <w:tcPr>
            <w:tcW w:w="2200" w:type="dxa"/>
            <w:vAlign w:val="bottom"/>
            <w:tcBorders>
              <w:top w:val="single" w:sz="8" w:color="auto"/>
              <w:bottom w:val="single" w:sz="8" w:color="auto"/>
              <w:right w:val="single" w:sz="8" w:color="auto"/>
            </w:tcBorders>
            <w:shd w:val="clear" w:color="auto" w:fill="45556C"/>
          </w:tcPr>
          <w:p>
            <w:pPr>
              <w:jc w:val="center"/>
              <w:spacing w:after="0"/>
              <w:rPr>
                <w:sz w:val="20"/>
                <w:szCs w:val="20"/>
                <w:color w:val="auto"/>
              </w:rPr>
            </w:pPr>
            <w:r>
              <w:rPr>
                <w:rFonts w:ascii="Times New Roman" w:cs="Times New Roman" w:eastAsia="Times New Roman" w:hAnsi="Times New Roman"/>
                <w:sz w:val="16"/>
                <w:szCs w:val="16"/>
                <w:b w:val="1"/>
                <w:bCs w:val="1"/>
                <w:color w:val="FFFFFF"/>
              </w:rPr>
              <w:t>NON VOTES</w:t>
            </w:r>
          </w:p>
        </w:tc>
      </w:tr>
      <w:tr>
        <w:trPr>
          <w:trHeight w:val="234"/>
        </w:trPr>
        <w:tc>
          <w:tcPr>
            <w:tcW w:w="250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Michael Alfred</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12,378,430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109,255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6,432,027</w:t>
            </w:r>
          </w:p>
        </w:tc>
      </w:tr>
      <w:tr>
        <w:trPr>
          <w:trHeight w:val="22"/>
        </w:trPr>
        <w:tc>
          <w:tcPr>
            <w:tcW w:w="2500" w:type="dxa"/>
            <w:vAlign w:val="bottom"/>
            <w:tcBorders>
              <w:left w:val="single" w:sz="8" w:color="auto"/>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Lyn Alden</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12,156,770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330,915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6,432,027</w:t>
            </w:r>
          </w:p>
        </w:tc>
      </w:tr>
      <w:tr>
        <w:trPr>
          <w:trHeight w:val="22"/>
        </w:trPr>
        <w:tc>
          <w:tcPr>
            <w:tcW w:w="2500" w:type="dxa"/>
            <w:vAlign w:val="bottom"/>
            <w:tcBorders>
              <w:left w:val="single" w:sz="8" w:color="auto"/>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Advisory Vote to Approve Executive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11,321,210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1,032,093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xml:space="preserve"> 134,382 </w:t>
      </w:r>
      <w:r>
        <w:rPr>
          <w:rFonts w:ascii="Times New Roman" w:cs="Times New Roman" w:eastAsia="Times New Roman" w:hAnsi="Times New Roman"/>
          <w:sz w:val="18"/>
          <w:szCs w:val="18"/>
          <w:u w:val="single" w:color="auto"/>
          <w:color w:val="auto"/>
        </w:rPr>
        <w:t>ABSTAIN</w:t>
      </w:r>
      <w:r>
        <w:rPr>
          <w:rFonts w:ascii="Times New Roman" w:cs="Times New Roman" w:eastAsia="Times New Roman" w:hAnsi="Times New Roman"/>
          <w:sz w:val="18"/>
          <w:szCs w:val="18"/>
          <w:color w:val="auto"/>
        </w:rPr>
        <w:t xml:space="preserve"> 6,432,027 </w:t>
      </w:r>
      <w:r>
        <w:rPr>
          <w:rFonts w:ascii="Times New Roman" w:cs="Times New Roman" w:eastAsia="Times New Roman" w:hAnsi="Times New Roman"/>
          <w:sz w:val="18"/>
          <w:szCs w:val="18"/>
          <w:u w:val="single" w:color="auto"/>
          <w:color w:val="auto"/>
        </w:rPr>
        <w:t>NON VOTES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Ratification of Grant Thornton LLC as Independent Auditors of the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18,373,303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39,530 </w:t>
      </w:r>
      <w:r>
        <w:rPr>
          <w:rFonts w:ascii="Times New Roman" w:cs="Times New Roman" w:eastAsia="Times New Roman" w:hAnsi="Times New Roman"/>
          <w:sz w:val="18"/>
          <w:szCs w:val="18"/>
          <w:u w:val="single" w:color="auto"/>
          <w:color w:val="auto"/>
        </w:rPr>
        <w:t>AGAINST</w:t>
      </w:r>
      <w:r>
        <w:rPr>
          <w:rFonts w:ascii="Times New Roman" w:cs="Times New Roman" w:eastAsia="Times New Roman" w:hAnsi="Times New Roman"/>
          <w:sz w:val="18"/>
          <w:szCs w:val="18"/>
          <w:color w:val="auto"/>
        </w:rPr>
        <w:t xml:space="preserve"> 506,879 </w:t>
      </w:r>
      <w:r>
        <w:rPr>
          <w:rFonts w:ascii="Times New Roman" w:cs="Times New Roman" w:eastAsia="Times New Roman" w:hAnsi="Times New Roman"/>
          <w:sz w:val="18"/>
          <w:szCs w:val="18"/>
          <w:u w:val="single" w:color="auto"/>
          <w:color w:val="auto"/>
        </w:rPr>
        <w:t>ABSTAIN</w:t>
      </w:r>
      <w:r>
        <w:rPr>
          <w:rFonts w:ascii="Times New Roman" w:cs="Times New Roman" w:eastAsia="Times New Roman" w:hAnsi="Times New Roman"/>
          <w:sz w:val="18"/>
          <w:szCs w:val="18"/>
          <w:color w:val="auto"/>
        </w:rPr>
        <w:t xml:space="preserve"> 0 </w:t>
      </w:r>
      <w:r>
        <w:rPr>
          <w:rFonts w:ascii="Times New Roman" w:cs="Times New Roman" w:eastAsia="Times New Roman" w:hAnsi="Times New Roman"/>
          <w:sz w:val="18"/>
          <w:szCs w:val="18"/>
          <w:u w:val="single" w:color="auto"/>
          <w:color w:val="auto"/>
        </w:rPr>
        <w:t>NON VOTES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5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8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43"/>
        </w:trPr>
        <w:tc>
          <w:tcPr>
            <w:tcW w:w="2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2026-06-26T05:09:54Z</dcterms:created>
  <dcterms:modified xsi:type="dcterms:W3CDTF">2026-06-26T05:09:54Z</dcterms:modified>
</cp:coreProperties>
</file>