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10,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333-288361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POST-EFFECTIVE AMENDMENT NO. 1 TO</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S-3</w:t>
      </w:r>
    </w:p>
    <w:p>
      <w:pPr>
        <w:jc w:val="center"/>
        <w:spacing w:after="0" w:line="238" w:lineRule="auto"/>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840" w:type="dxa"/>
        <w:tblCellMar>
          <w:top w:w="0" w:type="dxa"/>
          <w:left w:w="0" w:type="dxa"/>
          <w:bottom w:w="0" w:type="dxa"/>
          <w:right w:w="0" w:type="dxa"/>
        </w:tblCellMar>
      </w:tblPr>
      <w:tr>
        <w:trPr>
          <w:trHeight w:val="214"/>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8"/>
                <w:szCs w:val="18"/>
                <w:b w:val="1"/>
                <w:bCs w:val="1"/>
                <w:color w:val="auto"/>
              </w:rPr>
              <w:t>41-2324812</w:t>
            </w:r>
          </w:p>
        </w:tc>
      </w:tr>
      <w:tr>
        <w:trPr>
          <w:trHeight w:val="148"/>
        </w:trPr>
        <w:tc>
          <w:tcPr>
            <w:tcW w:w="3840" w:type="dxa"/>
            <w:vAlign w:val="bottom"/>
          </w:tcPr>
          <w:p>
            <w:pPr>
              <w:jc w:val="center"/>
              <w:ind w:right="1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80" w:type="dxa"/>
            <w:vAlign w:val="bottom"/>
          </w:tcPr>
          <w:p>
            <w:pPr>
              <w:jc w:val="center"/>
              <w:ind w:left="18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Liberty Plaza, One Liberty St., Ste. 305-306,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(678) 534-5849</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Akshay Naheta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Liberty Plaza, One Liberty St., Ste. 305-306,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(678) 534-5849</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1960" w:type="dxa"/>
        <w:tblCellMar>
          <w:top w:w="0" w:type="dxa"/>
          <w:left w:w="0" w:type="dxa"/>
          <w:bottom w:w="0" w:type="dxa"/>
          <w:right w:w="0" w:type="dxa"/>
        </w:tblCellMar>
      </w:tblPr>
      <w:tr>
        <w:trPr>
          <w:trHeight w:val="238"/>
        </w:trPr>
        <w:tc>
          <w:tcPr>
            <w:tcW w:w="2400" w:type="dxa"/>
            <w:vAlign w:val="bottom"/>
          </w:tcPr>
          <w:p>
            <w:pPr>
              <w:spacing w:after="0"/>
              <w:rPr>
                <w:sz w:val="20"/>
                <w:szCs w:val="20"/>
                <w:color w:val="auto"/>
              </w:rPr>
            </w:pPr>
          </w:p>
        </w:tc>
        <w:tc>
          <w:tcPr>
            <w:tcW w:w="5860" w:type="dxa"/>
            <w:vAlign w:val="bottom"/>
          </w:tcPr>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315"/>
        </w:trPr>
        <w:tc>
          <w:tcPr>
            <w:tcW w:w="240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Jared Fishman</w:t>
            </w:r>
          </w:p>
        </w:tc>
        <w:tc>
          <w:tcPr>
            <w:tcW w:w="586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9"/>
              </w:rPr>
              <w:t>Marc D’Annunzio</w:t>
            </w:r>
          </w:p>
        </w:tc>
      </w:tr>
      <w:tr>
        <w:trPr>
          <w:trHeight w:val="216"/>
        </w:trPr>
        <w:tc>
          <w:tcPr>
            <w:tcW w:w="240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Matthew Goodman</w:t>
            </w:r>
          </w:p>
        </w:tc>
        <w:tc>
          <w:tcPr>
            <w:tcW w:w="586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9"/>
              </w:rPr>
              <w:t>General Counsel</w:t>
            </w:r>
          </w:p>
        </w:tc>
      </w:tr>
      <w:tr>
        <w:trPr>
          <w:trHeight w:val="216"/>
        </w:trPr>
        <w:tc>
          <w:tcPr>
            <w:tcW w:w="240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Mario Schollmeyer</w:t>
            </w:r>
          </w:p>
        </w:tc>
        <w:tc>
          <w:tcPr>
            <w:tcW w:w="586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9"/>
              </w:rPr>
              <w:t>One Liberty Plaza, One Liberty St., Ste. 305-306,</w:t>
            </w:r>
          </w:p>
        </w:tc>
      </w:tr>
      <w:tr>
        <w:trPr>
          <w:trHeight w:val="216"/>
        </w:trPr>
        <w:tc>
          <w:tcPr>
            <w:tcW w:w="240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Sullivan &amp; Cromwell</w:t>
            </w:r>
          </w:p>
        </w:tc>
        <w:tc>
          <w:tcPr>
            <w:tcW w:w="586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8"/>
              </w:rPr>
              <w:t>New York, New York 10006</w:t>
            </w:r>
          </w:p>
        </w:tc>
      </w:tr>
      <w:tr>
        <w:trPr>
          <w:trHeight w:val="216"/>
        </w:trPr>
        <w:tc>
          <w:tcPr>
            <w:tcW w:w="240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8"/>
              </w:rPr>
              <w:t>125 Broad Street</w:t>
            </w:r>
          </w:p>
        </w:tc>
        <w:tc>
          <w:tcPr>
            <w:tcW w:w="586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9"/>
              </w:rPr>
              <w:t>(678) 534-5849</w:t>
            </w:r>
          </w:p>
        </w:tc>
      </w:tr>
      <w:tr>
        <w:trPr>
          <w:trHeight w:val="216"/>
        </w:trPr>
        <w:tc>
          <w:tcPr>
            <w:tcW w:w="240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8"/>
              </w:rPr>
              <w:t>New York, NY 10004</w:t>
            </w:r>
          </w:p>
        </w:tc>
        <w:tc>
          <w:tcPr>
            <w:tcW w:w="5860" w:type="dxa"/>
            <w:vAlign w:val="bottom"/>
          </w:tcPr>
          <w:p>
            <w:pPr>
              <w:spacing w:after="0"/>
              <w:rPr>
                <w:sz w:val="18"/>
                <w:szCs w:val="18"/>
                <w:color w:val="auto"/>
              </w:rPr>
            </w:pPr>
          </w:p>
        </w:tc>
      </w:tr>
      <w:tr>
        <w:trPr>
          <w:trHeight w:val="238"/>
        </w:trPr>
        <w:tc>
          <w:tcPr>
            <w:tcW w:w="240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(212) 558-4000</w:t>
            </w:r>
          </w:p>
        </w:tc>
        <w:tc>
          <w:tcPr>
            <w:tcW w:w="58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222885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From time to time after the effective date of this registration statement.</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right="400"/>
        <w:spacing w:after="0" w:line="235"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120"/>
        <w:spacing w:after="0" w:line="235"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10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ind w:right="6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020"/>
          </w:cols>
          <w:pgMar w:left="440" w:top="225" w:right="439" w:bottom="0" w:gutter="0" w:footer="0" w:header="0"/>
        </w:sectPr>
      </w:pPr>
    </w:p>
    <w:bookmarkStart w:id="1" w:name="page2"/>
    <w:bookmarkEnd w:id="1"/>
    <w:p>
      <w:pPr>
        <w:ind w:right="18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0"/>
          <w:szCs w:val="20"/>
          <w:color w:val="auto"/>
        </w:rPr>
      </w:pPr>
    </w:p>
    <w:p>
      <w:pPr>
        <w:ind w:right="2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5" w:lineRule="exact"/>
        <w:rPr>
          <w:sz w:val="20"/>
          <w:szCs w:val="20"/>
          <w:color w:val="auto"/>
        </w:rPr>
      </w:pPr>
    </w:p>
    <w:p>
      <w:pPr>
        <w:jc w:val="both"/>
        <w:ind w:right="720"/>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134620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21" w:right="49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This Post-Effective Amendment No. 1 (the “Amendment”) to the Registration Statement on Form S-3 (File No. 333-288361) (the “Registration Statement”) is being filed pursuant to Rule 414 under the Securities Act of 1933, as amended (the “Securities Act”), by Bakkt Holdings, Inc. (formerly “Bakkt NewCo Holdings, Inc.”), a Delaware corporation (the “Successor Registrant”), as the successor registrant to Bakkt Intermediate Holdings, Inc. (formerly “Bakkt Holdings, Inc.”), a Delaware corporation (the “Predecessor Registrant”), soley to reflect a holding company reorganization in accordance with Section 251(g) of the General Corporation Law of the State of Delaware (the “Reorganization”). No additional securities are being registered pursuant to this Amendment.</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Reorganization was completed on November 3, 2025 pursuant to the Agreement and Plan of Merger, dated as of November 3, 2025 (the “Merger Agreement”), among the Successor Registrant, the Predecessor Registrant and Bakkt Merger Sub 1, Inc., a Delaware corporation (“Merger Sub”) and a direct wholly-owned subsidiary of the Successor Registrant, pursuant to which Merger Sub was merged with and into the Predecessor Registrant, with the Predecessor Registrant surviving as a direct wholly owned subsidiary of the Successor Registrant. The Successor Registrant changed its name from “Bakkt NewCo Holdings, Inc.” to “Bakkt Holdings, Inc.” and the Predecessor Registrant changed its name from “Bakkt Holdings, Inc.” to “Bakkt Intermediate Holdings, Inc.” In accordance with the terms of the Merger Agreement, (i) each outstanding share of the Predecessor Registrant’s Class A common stock, par value $0.0001 per share (the “Predecessor Class A Common Stock”), was converted into one share of the Successor Registrant’s Class A common stock, par value $0.0001 per share, evidencing the same proportional interests in the Successor Registrant and having the same designations, rights, powers and preferences, and the same qualifications, limitations and restrictions as a share of the Predecessor Class A Common Stock immediately prior to the Reorganization, and (ii) the Successor Registrant adopted organizational documents substantially identical to those of the Predecessor Registrant and assumed certain obligations of the Predecessor Registrant, in each case, to enable the Successor Registrant to offer and sell the securities listed in the Registration Statement on the same terms and conditions as the Predecessor Registrant prior to the Reorganization as required by Rule 414.</w:t>
      </w:r>
    </w:p>
    <w:p>
      <w:pPr>
        <w:spacing w:after="0" w:line="18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accordance with Rule 414 under the Securities Act, the Successor Registrant hereby expressly adopts the Registration Statement as its own registration statement except as amended by this Amendment, for all purposes of the Securities Act and under the Securities Exchange Act of 1934, as amended (the “Exchange Act”). Registration fees were paid at the time of filing of the original Registration Statement.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66" w:right="4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information set forth in this item is incorporated by reference from Item 14 of Registration Statement Form S-3, File No. 333-288361, effective as of July 3,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information set forth in this item is incorporated by reference from Item 15 of Registration Statement on Form S-3, File No. 333-288361, effective as of July 3,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Exhibits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40" w:type="dxa"/>
            <w:vAlign w:val="bottom"/>
            <w:gridSpan w:val="12"/>
          </w:tcPr>
          <w:p>
            <w:pPr>
              <w:jc w:val="center"/>
              <w:ind w:right="48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5"/>
        </w:trPr>
        <w:tc>
          <w:tcPr>
            <w:tcW w:w="2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40" w:type="dxa"/>
            <w:vAlign w:val="bottom"/>
            <w:gridSpan w:val="12"/>
          </w:tcPr>
          <w:p>
            <w:pPr>
              <w:ind w:left="13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1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2.1</w:t>
            </w:r>
          </w:p>
        </w:tc>
        <w:tc>
          <w:tcPr>
            <w:tcW w:w="1020" w:type="dxa"/>
            <w:vAlign w:val="bottom"/>
          </w:tcPr>
          <w:p>
            <w:pPr>
              <w:spacing w:after="0"/>
              <w:rPr>
                <w:sz w:val="22"/>
                <w:szCs w:val="22"/>
                <w:color w:val="auto"/>
              </w:rPr>
            </w:pPr>
          </w:p>
        </w:tc>
        <w:tc>
          <w:tcPr>
            <w:tcW w:w="9000" w:type="dxa"/>
            <w:vAlign w:val="bottom"/>
            <w:tcBorders>
              <w:top w:val="single" w:sz="8" w:color="auto"/>
            </w:tcBorders>
            <w:gridSpan w:val="14"/>
          </w:tcPr>
          <w:p>
            <w:pPr>
              <w:spacing w:after="0"/>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Agreement and Plan of Merger, dated as of November 3, 2025, by and among Bakkt Holdings, Inc. (formerly Bakkt NewCo</w:t>
              </w:r>
            </w:hyperlink>
          </w:p>
        </w:tc>
      </w:tr>
      <w:tr>
        <w:trPr>
          <w:trHeight w:val="196"/>
        </w:trPr>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98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Holdings, Inc.), Bakkt Intermediate Holdings, Inc. (formerly Bakkt Holdings, Inc.) and Bakkt Merger Sub 1, Inc.</w:t>
              </w:r>
            </w:hyperlink>
          </w:p>
        </w:tc>
        <w:tc>
          <w:tcPr>
            <w:tcW w:w="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(incorporated by reference to Exhibit 2.1 to Bakkt Holdings, Inc.’s Current Report on Form 8-K (File No. 001-39544) filed</w:t>
              </w:r>
            </w:hyperlink>
          </w:p>
        </w:tc>
        <w:tc>
          <w:tcPr>
            <w:tcW w:w="140" w:type="dxa"/>
            <w:vAlign w:val="bottom"/>
            <w:gridSpan w:val="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with the SEC on November 3, 2025).</w:t>
              </w:r>
            </w:hyperlink>
          </w:p>
        </w:tc>
        <w:tc>
          <w:tcPr>
            <w:tcW w:w="6320" w:type="dxa"/>
            <w:vAlign w:val="bottom"/>
            <w:gridSpan w:val="13"/>
          </w:tcPr>
          <w:p>
            <w:pPr>
              <w:spacing w:after="0"/>
              <w:rPr>
                <w:sz w:val="17"/>
                <w:szCs w:val="17"/>
                <w:color w:val="auto"/>
              </w:rPr>
            </w:pPr>
          </w:p>
        </w:tc>
      </w:tr>
      <w:tr>
        <w:trPr>
          <w:trHeight w:val="30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3.1</w:t>
            </w:r>
          </w:p>
        </w:tc>
        <w:tc>
          <w:tcPr>
            <w:tcW w:w="86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Amended and Restated Certificate of Incorporation of Bakkt Holdings, Inc. (incorporated by reference to Exhibit 3.1 to</w:t>
              </w:r>
            </w:hyperlink>
          </w:p>
        </w:tc>
        <w:tc>
          <w:tcPr>
            <w:tcW w:w="400" w:type="dxa"/>
            <w:vAlign w:val="bottom"/>
            <w:gridSpan w:val="4"/>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4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Bakkt Holdings, Inc.’s Current Report on Form 8-K (File No. 001-39544) filed with the SEC on November 3, 2025).</w:t>
              </w:r>
            </w:hyperlink>
          </w:p>
        </w:tc>
        <w:tc>
          <w:tcPr>
            <w:tcW w:w="580" w:type="dxa"/>
            <w:vAlign w:val="bottom"/>
            <w:gridSpan w:val="5"/>
          </w:tcPr>
          <w:p>
            <w:pPr>
              <w:spacing w:after="0"/>
              <w:rPr>
                <w:sz w:val="17"/>
                <w:szCs w:val="17"/>
                <w:color w:val="auto"/>
              </w:rPr>
            </w:pPr>
          </w:p>
        </w:tc>
      </w:tr>
      <w:tr>
        <w:trPr>
          <w:trHeight w:val="30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3.2</w:t>
            </w:r>
          </w:p>
        </w:tc>
        <w:tc>
          <w:tcPr>
            <w:tcW w:w="9000" w:type="dxa"/>
            <w:vAlign w:val="bottom"/>
            <w:gridSpan w:val="14"/>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Amended and Restated Bylaws of Bakkt Holdings, Inc. (incorporated by reference to Exhibit 3.2 to Bakkt Holdings, Inc.’s</w:t>
              </w:r>
            </w:hyperlink>
          </w:p>
        </w:tc>
      </w:tr>
      <w:tr>
        <w:trPr>
          <w:trHeight w:val="196"/>
        </w:trPr>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2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Current Report on Form 8-K (File No. 001-39544) filed with the SEC on November 3, 2025).</w:t>
              </w:r>
            </w:hyperlink>
          </w:p>
        </w:tc>
        <w:tc>
          <w:tcPr>
            <w:tcW w:w="180" w:type="dxa"/>
            <w:vAlign w:val="bottom"/>
            <w:gridSpan w:val="3"/>
          </w:tcPr>
          <w:p>
            <w:pPr>
              <w:spacing w:after="0"/>
              <w:rPr>
                <w:sz w:val="17"/>
                <w:szCs w:val="17"/>
                <w:color w:val="auto"/>
              </w:rPr>
            </w:pPr>
          </w:p>
        </w:tc>
      </w:tr>
      <w:tr>
        <w:trPr>
          <w:trHeight w:val="30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5.1</w:t>
            </w:r>
          </w:p>
        </w:tc>
        <w:tc>
          <w:tcPr>
            <w:tcW w:w="674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Opinion of Sullivan &amp; Cromwell LLP.</w:t>
            </w:r>
          </w:p>
        </w:tc>
        <w:tc>
          <w:tcPr>
            <w:tcW w:w="2260" w:type="dxa"/>
            <w:vAlign w:val="bottom"/>
            <w:gridSpan w:val="10"/>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20" w:type="dxa"/>
            <w:vAlign w:val="bottom"/>
          </w:tcPr>
          <w:p>
            <w:pPr>
              <w:spacing w:after="0"/>
              <w:rPr>
                <w:sz w:val="24"/>
                <w:szCs w:val="24"/>
                <w:color w:val="auto"/>
              </w:rPr>
            </w:pPr>
          </w:p>
        </w:tc>
        <w:tc>
          <w:tcPr>
            <w:tcW w:w="90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Consent of Ernst &amp; Young LLP, independent registered public accounting firm of Bakkt Holdings, Inc.</w:t>
            </w: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1020" w:type="dxa"/>
            <w:vAlign w:val="bottom"/>
          </w:tcPr>
          <w:p>
            <w:pPr>
              <w:spacing w:after="0"/>
              <w:rPr>
                <w:sz w:val="24"/>
                <w:szCs w:val="24"/>
                <w:color w:val="auto"/>
              </w:rPr>
            </w:pPr>
          </w:p>
        </w:tc>
        <w:tc>
          <w:tcPr>
            <w:tcW w:w="740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Consent of KPMG LLP, independent registered public accounting firm of Bakkt Holdings, Inc.</w:t>
            </w:r>
          </w:p>
        </w:tc>
        <w:tc>
          <w:tcPr>
            <w:tcW w:w="1600" w:type="dxa"/>
            <w:vAlign w:val="bottom"/>
            <w:gridSpan w:val="8"/>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0" w:type="dxa"/>
            <w:vAlign w:val="bottom"/>
            <w:gridSpan w:val="3"/>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1020" w:type="dxa"/>
            <w:vAlign w:val="bottom"/>
          </w:tcPr>
          <w:p>
            <w:pPr>
              <w:spacing w:after="0"/>
              <w:rPr>
                <w:sz w:val="24"/>
                <w:szCs w:val="24"/>
                <w:color w:val="auto"/>
              </w:rPr>
            </w:pPr>
          </w:p>
        </w:tc>
        <w:tc>
          <w:tcPr>
            <w:tcW w:w="82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Consent of Sullivan &amp; Cromwell LLP (included in the opinion filed as Exhibit 5.1 to this Registration Statement).</w:t>
            </w:r>
          </w:p>
        </w:tc>
        <w:tc>
          <w:tcPr>
            <w:tcW w:w="780" w:type="dxa"/>
            <w:vAlign w:val="bottom"/>
            <w:gridSpan w:val="6"/>
          </w:tcPr>
          <w:p>
            <w:pPr>
              <w:spacing w:after="0"/>
              <w:rPr>
                <w:sz w:val="24"/>
                <w:szCs w:val="24"/>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1020" w:type="dxa"/>
            <w:vAlign w:val="bottom"/>
          </w:tcPr>
          <w:p>
            <w:pPr>
              <w:spacing w:after="0"/>
              <w:rPr>
                <w:sz w:val="24"/>
                <w:szCs w:val="24"/>
                <w:color w:val="auto"/>
              </w:rPr>
            </w:pPr>
          </w:p>
        </w:tc>
        <w:tc>
          <w:tcPr>
            <w:tcW w:w="60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Powers of Attorney (included on the signature page to this Registration Statement).</w:t>
            </w:r>
          </w:p>
        </w:tc>
        <w:tc>
          <w:tcPr>
            <w:tcW w:w="3000" w:type="dxa"/>
            <w:vAlign w:val="bottom"/>
            <w:gridSpan w:val="11"/>
          </w:tcPr>
          <w:p>
            <w:pPr>
              <w:spacing w:after="0"/>
              <w:rPr>
                <w:sz w:val="24"/>
                <w:szCs w:val="24"/>
                <w:color w:val="auto"/>
              </w:rPr>
            </w:pPr>
          </w:p>
        </w:tc>
      </w:tr>
      <w:tr>
        <w:trPr>
          <w:trHeight w:val="385"/>
        </w:trPr>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40" w:type="dxa"/>
            <w:vAlign w:val="bottom"/>
            <w:gridSpan w:val="12"/>
          </w:tcPr>
          <w:p>
            <w:pPr>
              <w:jc w:val="center"/>
              <w:ind w:right="4800"/>
              <w:spacing w:after="0"/>
              <w:rPr>
                <w:sz w:val="20"/>
                <w:szCs w:val="20"/>
                <w:color w:val="auto"/>
              </w:rPr>
            </w:pPr>
            <w:r>
              <w:rPr>
                <w:rFonts w:ascii="Times New Roman" w:cs="Times New Roman" w:eastAsia="Times New Roman" w:hAnsi="Times New Roman"/>
                <w:sz w:val="18"/>
                <w:szCs w:val="18"/>
                <w:color w:val="auto"/>
              </w:rPr>
              <w:t>II-1</w:t>
            </w:r>
          </w:p>
        </w:tc>
      </w:tr>
    </w:tbl>
    <w:p>
      <w:pPr>
        <w:sectPr>
          <w:pgSz w:w="11900" w:h="16838" w:orient="portrait"/>
          <w:cols w:equalWidth="0" w:num="1">
            <w:col w:w="11020"/>
          </w:cols>
          <w:pgMar w:left="440" w:top="266"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17. Undertakings</w:t>
      </w:r>
    </w:p>
    <w:p>
      <w:pPr>
        <w:spacing w:after="0" w:line="121" w:lineRule="exact"/>
        <w:rPr>
          <w:sz w:val="20"/>
          <w:szCs w:val="20"/>
          <w:color w:val="auto"/>
        </w:rPr>
      </w:pPr>
    </w:p>
    <w:p>
      <w:pPr>
        <w:ind w:left="680" w:hanging="244"/>
        <w:spacing w:after="0"/>
        <w:tabs>
          <w:tab w:leader="none" w:pos="6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ind w:firstLine="1428"/>
        <w:spacing w:after="0" w:line="255" w:lineRule="auto"/>
        <w:tabs>
          <w:tab w:leader="none" w:pos="1697"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or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ind w:right="60" w:firstLine="1428"/>
        <w:spacing w:after="0" w:line="282" w:lineRule="auto"/>
        <w:tabs>
          <w:tab w:leader="none" w:pos="1747"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(1)(i), (1)(ii) and (1)(iii) do not apply if the information required to be included in a post-effective amendment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paragraphs is contained in reports filed with or furnished to the Commission by the registrant pursuant to Section 13 or Section 15(d) of the Securities Exchange Act of 1934, as amended, or the Exchange Act, that are incorporated by reference in the registration statement, or is contained in a form of prospectus filed pursuant to Rule 424(b) that is part of the registration statement.</w:t>
      </w:r>
    </w:p>
    <w:p>
      <w:pPr>
        <w:spacing w:after="0" w:line="182" w:lineRule="exact"/>
        <w:rPr>
          <w:sz w:val="20"/>
          <w:szCs w:val="20"/>
          <w:color w:val="auto"/>
        </w:rPr>
      </w:pPr>
    </w:p>
    <w:p>
      <w:pPr>
        <w:jc w:val="both"/>
        <w:ind w:right="60" w:firstLine="987"/>
        <w:spacing w:after="0" w:line="266" w:lineRule="auto"/>
        <w:tabs>
          <w:tab w:leader="none" w:pos="124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fide </w:t>
      </w:r>
      <w:r>
        <w:rPr>
          <w:rFonts w:ascii="Times New Roman" w:cs="Times New Roman" w:eastAsia="Times New Roman" w:hAnsi="Times New Roman"/>
          <w:sz w:val="18"/>
          <w:szCs w:val="18"/>
          <w:color w:val="auto"/>
        </w:rPr>
        <w:t>offering thereof.</w:t>
      </w:r>
    </w:p>
    <w:p>
      <w:pPr>
        <w:spacing w:after="0" w:line="175" w:lineRule="exact"/>
        <w:rPr>
          <w:rFonts w:ascii="Times New Roman" w:cs="Times New Roman" w:eastAsia="Times New Roman" w:hAnsi="Times New Roman"/>
          <w:sz w:val="18"/>
          <w:szCs w:val="18"/>
          <w:color w:val="auto"/>
        </w:rPr>
      </w:pPr>
    </w:p>
    <w:p>
      <w:pPr>
        <w:ind w:right="100" w:firstLine="987"/>
        <w:spacing w:after="0" w:line="282" w:lineRule="auto"/>
        <w:tabs>
          <w:tab w:leader="none" w:pos="124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17" w:lineRule="exact"/>
        <w:rPr>
          <w:rFonts w:ascii="Times New Roman" w:cs="Times New Roman" w:eastAsia="Times New Roman" w:hAnsi="Times New Roman"/>
          <w:sz w:val="18"/>
          <w:szCs w:val="18"/>
          <w:color w:val="auto"/>
        </w:rPr>
      </w:pPr>
    </w:p>
    <w:p>
      <w:pPr>
        <w:ind w:firstLine="1428"/>
        <w:spacing w:after="0" w:line="282" w:lineRule="auto"/>
        <w:tabs>
          <w:tab w:leader="none" w:pos="1647"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ind w:right="20" w:firstLine="1428"/>
        <w:spacing w:after="0" w:line="253" w:lineRule="auto"/>
        <w:tabs>
          <w:tab w:leader="none" w:pos="1697"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0980"/>
          </w:cols>
          <w:pgMar w:left="440" w:top="266" w:right="479" w:bottom="1440" w:gutter="0" w:footer="0" w:header="0"/>
        </w:sectPr>
      </w:pPr>
    </w:p>
    <w:bookmarkStart w:id="5" w:name="page6"/>
    <w:bookmarkEnd w:id="5"/>
    <w:p>
      <w:pPr>
        <w:ind w:right="180" w:firstLine="987"/>
        <w:spacing w:after="0" w:line="258" w:lineRule="auto"/>
        <w:tabs>
          <w:tab w:leader="none" w:pos="124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for the purpose of determining liability of a registrant under the Securities Act to any purchaser in the initial distribution of the securities, 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5"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424;</w:t>
      </w:r>
    </w:p>
    <w:p>
      <w:pPr>
        <w:spacing w:after="0" w:line="206" w:lineRule="exact"/>
        <w:rPr>
          <w:rFonts w:ascii="Times New Roman" w:cs="Times New Roman" w:eastAsia="Times New Roman" w:hAnsi="Times New Roman"/>
          <w:sz w:val="18"/>
          <w:szCs w:val="18"/>
          <w:color w:val="auto"/>
        </w:rPr>
      </w:pPr>
    </w:p>
    <w:p>
      <w:pPr>
        <w:ind w:right="140" w:firstLine="1428"/>
        <w:spacing w:after="0" w:line="282" w:lineRule="auto"/>
        <w:tabs>
          <w:tab w:leader="none" w:pos="1697"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right="160" w:firstLine="1428"/>
        <w:spacing w:after="0" w:line="282" w:lineRule="auto"/>
        <w:tabs>
          <w:tab w:leader="none" w:pos="1747"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ind w:right="60" w:firstLine="987"/>
        <w:spacing w:after="0" w:line="261" w:lineRule="auto"/>
        <w:tabs>
          <w:tab w:leader="none" w:pos="124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79" w:lineRule="exact"/>
        <w:rPr>
          <w:rFonts w:ascii="Times New Roman" w:cs="Times New Roman" w:eastAsia="Times New Roman" w:hAnsi="Times New Roman"/>
          <w:sz w:val="18"/>
          <w:szCs w:val="18"/>
          <w:color w:val="auto"/>
        </w:rPr>
      </w:pPr>
    </w:p>
    <w:p>
      <w:pPr>
        <w:ind w:right="60" w:firstLine="987"/>
        <w:spacing w:after="0" w:line="282" w:lineRule="auto"/>
        <w:tabs>
          <w:tab w:leader="none" w:pos="124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161"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0940"/>
          </w:cols>
          <w:pgMar w:left="440" w:top="270" w:right="5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S-3 and has duly caused this Post-Effective Amendment No. 1 to the Registration Statement to be signed on its behalf by the undersigned, thereunto duly authorized, in the City of New York, State of New York, on December 10, 2025.</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Akshay Naheta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Akshay Naheta</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KNOW ALL PERSONS BY THESE PRESENTS</w:t>
      </w:r>
      <w:r>
        <w:rPr>
          <w:rFonts w:ascii="Times New Roman" w:cs="Times New Roman" w:eastAsia="Times New Roman" w:hAnsi="Times New Roman"/>
          <w:sz w:val="18"/>
          <w:szCs w:val="18"/>
          <w:color w:val="auto"/>
        </w:rPr>
        <w:t>, that each person whose signature appears below hereby constitutes and appoints Akshay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Naheta, Karen Alexander and Marc D’Annunzio, or each one of them individually, as the undersigned’s true and lawful attorney-in-fact and agents, with full power of substitution and resubstitution for such person and in such person’s name, place and stead, in any and all capacities, to sign any and all amendments (including post-effective amendments, exhibits thereto, and other documents in connection therewith to this Registration Statement and any later registration statement filed by the registrant under Rule 462(b) of the Securities Act, which relates to this Registration Statement) and to file the same with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such person might or could do in person, hereby ratifying and confirming all that each of said attorney-in-fact and agent, or their substitute or substitutes may lawfully do or cause to be done by virtue hereof.</w:t>
      </w:r>
    </w:p>
    <w:p>
      <w:pPr>
        <w:spacing w:after="0" w:line="19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Post-Effective Amendment No. 1 to the Registration Statement has been signed below by the following persons on behalf of the registrant in the capacities indicated on the 10th day of December, 2025.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6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6660" w:type="dxa"/>
            <w:vAlign w:val="bottom"/>
            <w:tcBorders>
              <w:bottom w:val="single" w:sz="8" w:color="auto"/>
            </w:tcBorders>
          </w:tcPr>
          <w:p>
            <w:pPr>
              <w:ind w:left="318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412"/>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Akshay Naheta</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Akshay Naheta</w:t>
            </w:r>
          </w:p>
        </w:tc>
        <w:tc>
          <w:tcPr>
            <w:tcW w:w="10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Karen Alexander</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Karen Alexander</w:t>
            </w:r>
          </w:p>
        </w:tc>
        <w:tc>
          <w:tcPr>
            <w:tcW w:w="10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Henderson</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Joseph Henderson</w:t>
            </w:r>
          </w:p>
        </w:tc>
        <w:tc>
          <w:tcPr>
            <w:tcW w:w="10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Sean Collins</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 of the Board of Directors</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Sean Collins</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Madelyn Alden Schwartzer</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Madelyn Alden Schwartzer</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Alfred</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Michael Alfred</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360"/>
        </w:trPr>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II-4</w:t>
            </w:r>
          </w:p>
        </w:tc>
      </w:tr>
    </w:tbl>
    <w:p>
      <w:pPr>
        <w:sectPr>
          <w:pgSz w:w="11900" w:h="16838" w:orient="portrait"/>
          <w:cols w:equalWidth="0" w:num="1">
            <w:col w:w="11020"/>
          </w:cols>
          <w:pgMar w:left="440" w:top="266" w:right="439" w:bottom="1440" w:gutter="0" w:footer="0" w:header="0"/>
        </w:sectPr>
      </w:pPr>
    </w:p>
    <w:bookmarkStart w:id="7" w:name="page8"/>
    <w:bookmarkEnd w:id="7"/>
    <w:p>
      <w:pPr>
        <w:ind w:left="1840"/>
        <w:spacing w:after="0"/>
        <w:tabs>
          <w:tab w:leader="none" w:pos="752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r>
        <w:rPr>
          <w:sz w:val="20"/>
          <w:szCs w:val="20"/>
          <w:color w:val="auto"/>
        </w:rPr>
        <w:tab/>
      </w: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263" w:right="1440" w:bottom="1440" w:gutter="0" w:footer="0" w:header="0"/>
        </w:sect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Colleen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089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Colleen Brown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Richard Galvin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24765</wp:posOffset>
            </wp:positionV>
            <wp:extent cx="27089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Galvin</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jc w:val="center"/>
        <w:ind w:right="339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2">
            <w:col w:w="3660" w:space="720"/>
            <w:col w:w="5639"/>
          </w:cols>
          <w:pgMar w:left="440" w:top="263" w:right="1440"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730885</wp:posOffset>
            </wp:positionH>
            <wp:positionV relativeFrom="page">
              <wp:posOffset>380365</wp:posOffset>
            </wp:positionV>
            <wp:extent cx="266573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266573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7"/>
          <w:szCs w:val="17"/>
          <w:color w:val="auto"/>
        </w:rPr>
        <w:t>TELEPHONE: 1-212-558-4000</w:t>
      </w:r>
    </w:p>
    <w:p>
      <w:pPr>
        <w:spacing w:after="0" w:line="39"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FACSIMILE: 1-212-558-3588</w:t>
      </w:r>
    </w:p>
    <w:p>
      <w:pPr>
        <w:spacing w:after="0" w:line="9"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WWW.SULLCROM.COM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One Liberty Plaza,</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One Liberty Street, Suite 305-306,</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New York, 10006.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125 Broad Street</w:t>
      </w:r>
    </w:p>
    <w:p>
      <w:pPr>
        <w:spacing w:after="0" w:line="3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New York, New York 10004-2498</w:t>
      </w:r>
    </w:p>
    <w:p>
      <w:pPr>
        <w:spacing w:after="0" w:line="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960755</wp:posOffset>
            </wp:positionH>
            <wp:positionV relativeFrom="paragraph">
              <wp:posOffset>-19050</wp:posOffset>
            </wp:positionV>
            <wp:extent cx="6858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92" w:lineRule="exact"/>
        <w:rPr>
          <w:sz w:val="20"/>
          <w:szCs w:val="20"/>
          <w:color w:val="auto"/>
        </w:rPr>
      </w:pPr>
    </w:p>
    <w:p>
      <w:pPr>
        <w:jc w:val="center"/>
        <w:ind w:right="600"/>
        <w:spacing w:after="0" w:line="401" w:lineRule="auto"/>
        <w:rPr>
          <w:sz w:val="20"/>
          <w:szCs w:val="20"/>
          <w:color w:val="auto"/>
        </w:rPr>
      </w:pPr>
      <w:r>
        <w:rPr>
          <w:rFonts w:ascii="Times New Roman" w:cs="Times New Roman" w:eastAsia="Times New Roman" w:hAnsi="Times New Roman"/>
          <w:sz w:val="18"/>
          <w:szCs w:val="18"/>
          <w:color w:val="auto"/>
        </w:rPr>
        <w:t>LOS ANGELES • PALO ALTO • WASHINGTON, D.C. BRUSSELS • FRANKFURT • LONDON • PARIS BEIJING • HONG KONG • TOKYO MELBOURNE • SYDNEY</w:t>
      </w:r>
    </w:p>
    <w:p>
      <w:pPr>
        <w:spacing w:after="0" w:line="7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December 10, 2025</w:t>
      </w:r>
    </w:p>
    <w:p>
      <w:pPr>
        <w:spacing w:after="0" w:line="1629" w:lineRule="exact"/>
        <w:rPr>
          <w:sz w:val="20"/>
          <w:szCs w:val="20"/>
          <w:color w:val="auto"/>
        </w:rPr>
      </w:pPr>
    </w:p>
    <w:p>
      <w:pPr>
        <w:sectPr>
          <w:pgSz w:w="11900" w:h="16838" w:orient="portrait"/>
          <w:cols w:equalWidth="0" w:num="2">
            <w:col w:w="5600" w:space="720"/>
            <w:col w:w="4700"/>
          </w:cols>
          <w:pgMar w:left="440" w:top="117" w:right="439" w:bottom="1440" w:gutter="0" w:footer="0" w:header="0"/>
        </w:sect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We are acting as counsel to Bakkt Holdings, Inc., a Delaware corporation (the “Company”) in connection with the filing today by the Company of a post-effective amendment to a registration statement on Form S-3 (the “Registration Statement”) under the Securities Act of 1933 (the “Act”). The Registration Statement registers the following securities: shares of Class A common stock, par value $0.0001 per share (the “Common Stock”); preferred stock, par value $0.0001 per share (the “Preferred Stock”); senior debt securities and subordinated debt securities (collectively, the “Debt Securities”); warrants for the purchase of Common Stock, Preferred Stock or Debt Securities (the “Warrants”); and units comprised of one or more of the Common Stock, Preferred Stock, Debt Securities or Warrants in any combination (the “Units”).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foregoing securities are referred to collectively as the “Securities”.</w:t>
      </w:r>
    </w:p>
    <w:p>
      <w:pPr>
        <w:spacing w:after="0" w:line="225"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filing of the Registration Statement, we, as your counsel, have examined such corporate records, certificates and other documents, including the resolutions of the Company’s Board of Directors authorizing the issuance of the Securities, and such questions of law, as we have considered necessary or appropriate for the purposes of this opinion.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Upon the basis of such examination, it is our opinion that:</w:t>
      </w:r>
    </w:p>
    <w:p>
      <w:pPr>
        <w:spacing w:after="0" w:line="115" w:lineRule="exact"/>
        <w:rPr>
          <w:sz w:val="20"/>
          <w:szCs w:val="20"/>
          <w:color w:val="auto"/>
        </w:rPr>
      </w:pPr>
    </w:p>
    <w:p>
      <w:pPr>
        <w:ind w:right="300" w:firstLine="436"/>
        <w:spacing w:after="0" w:line="261" w:lineRule="auto"/>
        <w:tabs>
          <w:tab w:leader="none" w:pos="6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Common Stock of the Company. </w:t>
      </w:r>
      <w:r>
        <w:rPr>
          <w:rFonts w:ascii="Times New Roman" w:cs="Times New Roman" w:eastAsia="Times New Roman" w:hAnsi="Times New Roman"/>
          <w:sz w:val="18"/>
          <w:szCs w:val="18"/>
          <w:color w:val="auto"/>
        </w:rPr>
        <w:t>When the Registration Statement has become effective under the Act, the terms of the sale of the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have been duly established in conformity with the Company’s Amended and Restated Certificate of Incorporation so as not to violate any applicable law or result in a default under or breach of any agreement or instrument binding upon the Company and so as to comply with any requirement or restriction imposed by any court or governmental body having jurisdiction</w:t>
      </w:r>
    </w:p>
    <w:p>
      <w:pPr>
        <w:sectPr>
          <w:pgSz w:w="11900" w:h="16838" w:orient="portrait"/>
          <w:cols w:equalWidth="0" w:num="1">
            <w:col w:w="11020"/>
          </w:cols>
          <w:pgMar w:left="440" w:top="117" w:right="439" w:bottom="1440" w:gutter="0" w:footer="0" w:header="0"/>
          <w:type w:val="continuous"/>
        </w:sectPr>
      </w:pPr>
    </w:p>
    <w:bookmarkStart w:id="9" w:name="page10"/>
    <w:bookmarkEnd w:id="9"/>
    <w:p>
      <w:pPr>
        <w:ind w:right="2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over the Company and to include a number of shares of Common Stock to be issued not in excess of the number of shares of Common Stock then authorized and not outstanding or reserved for issuance, and the Common Stock has been duly issued and sold for a price per share determined by the Company’s Board of Directors which is not less than the par value thereof, the Common Stock will be validly issued, fully paid and nonassessable.</w:t>
      </w:r>
    </w:p>
    <w:p>
      <w:pPr>
        <w:spacing w:after="0" w:line="156" w:lineRule="exact"/>
        <w:rPr>
          <w:sz w:val="20"/>
          <w:szCs w:val="20"/>
          <w:color w:val="auto"/>
        </w:rPr>
      </w:pPr>
    </w:p>
    <w:p>
      <w:pPr>
        <w:ind w:firstLine="436"/>
        <w:spacing w:after="0" w:line="255" w:lineRule="auto"/>
        <w:tabs>
          <w:tab w:leader="none" w:pos="6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Preferred Stock of the Company. </w:t>
      </w:r>
      <w:r>
        <w:rPr>
          <w:rFonts w:ascii="Times New Roman" w:cs="Times New Roman" w:eastAsia="Times New Roman" w:hAnsi="Times New Roman"/>
          <w:sz w:val="18"/>
          <w:szCs w:val="18"/>
          <w:color w:val="auto"/>
        </w:rPr>
        <w:t>When the Registration Statement has become effective under the Act, the terms of the Preferred Stock and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issuance and sale have been duly established in conformity with the Company’s Amended and Restated Certificate of Incorporation so as not to violate any applicable law or result in a default under or breach of any agreement or instrument binding upon the Company and so as to comply with any requirement or restriction imposed by any court or governmental body having jurisdiction over the Company and to include a number of shares of Preferred Stock to be issued not in excess of the number of shares of Preferred Stock then authorized and not outstanding or reserved for issuance, a certificate of designations with respect to the Preferred Stock has been duly filed with the Secretary of State of the State of Delaware, and the Preferred Stock has been duly issued and sold for a price per share determined by the Company’s Board of Directors which is not less than the par value thereof, the Preferred Stock will be validly issued, fully paid and nonassessable.</w:t>
      </w:r>
    </w:p>
    <w:p>
      <w:pPr>
        <w:spacing w:after="0" w:line="184" w:lineRule="exact"/>
        <w:rPr>
          <w:rFonts w:ascii="Times New Roman" w:cs="Times New Roman" w:eastAsia="Times New Roman" w:hAnsi="Times New Roman"/>
          <w:sz w:val="18"/>
          <w:szCs w:val="18"/>
          <w:color w:val="auto"/>
        </w:rPr>
      </w:pPr>
    </w:p>
    <w:p>
      <w:pPr>
        <w:ind w:right="20" w:firstLine="436"/>
        <w:spacing w:after="0" w:line="270" w:lineRule="auto"/>
        <w:tabs>
          <w:tab w:leader="none" w:pos="69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Warrants of the Company. </w:t>
      </w:r>
      <w:r>
        <w:rPr>
          <w:rFonts w:ascii="Times New Roman" w:cs="Times New Roman" w:eastAsia="Times New Roman" w:hAnsi="Times New Roman"/>
          <w:sz w:val="17"/>
          <w:szCs w:val="17"/>
          <w:color w:val="auto"/>
        </w:rPr>
        <w:t>When the Registration Statement has become effective under the Act, the terms of the governing instrument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under which one or more Warrants are to be issued (the “Warrant Agreement”) have been established so as not to violate any applicable law or result in a default under or breach of any agreement or instrument binding upon the Company and so as to comply with any requirement or restriction imposed by any court or governmental body having jurisdiction over the Company, the Warrant Agreement has been duly authorized, executed and delivered by the parties thereto, the terms of such Warrants and of their issuance and sale have been duly established in conformity with the Warrant Agreement so as not to violate any applicable law or result in a default under or breach of any agreement or instrument binding upon the Company and so as to comply with any requirement or restriction imposed by any court or governmental body having jurisdiction over the Company, and such Warrants have been duly executed and authenticated in accordance with the Warrant Agreement and issued and sold as contemplated by the Registration Statement, such Warrants will constitute valid and legally binding obligations of the Company, subject to bankruptcy, insolvency, fraudulent transfer, reorganization, moratorium and similar laws of general applicability relating to or affecting creditors’ rights and to general equity principles.</w:t>
      </w:r>
    </w:p>
    <w:p>
      <w:pPr>
        <w:spacing w:after="0" w:line="176" w:lineRule="exact"/>
        <w:rPr>
          <w:rFonts w:ascii="Times New Roman" w:cs="Times New Roman" w:eastAsia="Times New Roman" w:hAnsi="Times New Roman"/>
          <w:sz w:val="17"/>
          <w:szCs w:val="17"/>
          <w:color w:val="auto"/>
        </w:rPr>
      </w:pPr>
    </w:p>
    <w:p>
      <w:pPr>
        <w:ind w:left="700" w:hanging="264"/>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Units of the Company. </w:t>
      </w:r>
      <w:r>
        <w:rPr>
          <w:rFonts w:ascii="Times New Roman" w:cs="Times New Roman" w:eastAsia="Times New Roman" w:hAnsi="Times New Roman"/>
          <w:sz w:val="18"/>
          <w:szCs w:val="18"/>
          <w:color w:val="auto"/>
        </w:rPr>
        <w:t>When the Registration Statement has become effective under the Act, the terms of the governing instrument or</w:t>
      </w:r>
    </w:p>
    <w:p>
      <w:pPr>
        <w:spacing w:after="0" w:line="29" w:lineRule="exact"/>
        <w:rPr>
          <w:rFonts w:ascii="Times New Roman" w:cs="Times New Roman" w:eastAsia="Times New Roman" w:hAnsi="Times New Roman"/>
          <w:sz w:val="18"/>
          <w:szCs w:val="18"/>
          <w:color w:val="auto"/>
        </w:rPr>
      </w:pPr>
    </w:p>
    <w:p>
      <w:pPr>
        <w:jc w:val="both"/>
        <w:ind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under which one or more Units are to be issued (the “Unit Agreement”) have been established so as not to violate any applicable law or result in a default under or breach of any agreement or instrument binding upon the Company and so as to comply with any requirement or restriction imposed by any court or governmental body having jurisdiction over the</w:t>
      </w:r>
    </w:p>
    <w:p>
      <w:pPr>
        <w:sectPr>
          <w:pgSz w:w="11900" w:h="16838" w:orient="portrait"/>
          <w:cols w:equalWidth="0" w:num="1">
            <w:col w:w="11000"/>
          </w:cols>
          <w:pgMar w:left="440" w:top="270" w:right="459" w:bottom="1440" w:gutter="0" w:footer="0" w:header="0"/>
        </w:sectPr>
      </w:pPr>
    </w:p>
    <w:bookmarkStart w:id="10" w:name="page11"/>
    <w:bookmarkEnd w:id="10"/>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the Unit Agreement has been duly authorized, executed and delivered by the parties thereto, the terms of such Units and of their issuance and sale have been duly established in conformity with the Unit Agreement so as not to violate any applicable law or result in a default under or breach of any agreement or instrument binding upon the Company and so as to comply with any requirement or restriction imposed by any court or governmental body having jurisdiction over the Company, and such Units have been duly executed and authenticated in accordance with the Unit Agreement and issued and sold as contemplated by the Registration Statement, such Units will constitute valid and legally binding obligations of the Company, subject to bankruptcy, insolvency, fraudulent transfer, reorganization, moratorium and similar laws of general applicability relating to or affecting creditors’ rights and to general equity principles.</w:t>
      </w:r>
    </w:p>
    <w:p>
      <w:pPr>
        <w:spacing w:after="0" w:line="187" w:lineRule="exact"/>
        <w:rPr>
          <w:sz w:val="20"/>
          <w:szCs w:val="20"/>
          <w:color w:val="auto"/>
        </w:rPr>
      </w:pPr>
    </w:p>
    <w:p>
      <w:pPr>
        <w:ind w:firstLine="436"/>
        <w:spacing w:after="0" w:line="254" w:lineRule="auto"/>
        <w:tabs>
          <w:tab w:leader="none" w:pos="6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Debt Securities of the Company. </w:t>
      </w:r>
      <w:r>
        <w:rPr>
          <w:rFonts w:ascii="Times New Roman" w:cs="Times New Roman" w:eastAsia="Times New Roman" w:hAnsi="Times New Roman"/>
          <w:sz w:val="18"/>
          <w:szCs w:val="18"/>
          <w:color w:val="auto"/>
        </w:rPr>
        <w:t>When the Registration Statement has become effective under the Act, the terms of the indenture under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or more Debt Securities are to be issued (the “Indenture”) have been established so as not to violate any applicable law or result in a default under or breach of any agreement or instrument binding upon the Company and so as to comply with any requirement or restriction imposed by any court or governmental body having jurisdiction over the Company, the Indenture has been duly authorized, executed and delivered by the parties thereto, the terms of such Debt Securities and of their issuance and sale have been duly established in conformity with the Indenture so as not to violate any applicable law or result in a default under or breach of any agreement or instrument binding upon the Company and so as to comply with any requirement or restriction imposed by any court or governmental body having jurisdiction over the Company, and such Debt Securities have been duly executed, authenticated and issued in accordance with the Indenture and issued and sold as contemplated by the Registration Statement, such Debt Securities will constitute valid and legally binding obligations of the Company, subject to bankruptcy, insolvency, fraudulent transfer, reorganization, moratorium and similar laws of general applicability relating to or affecting creditors’ rights and to general equity principles.</w:t>
      </w:r>
    </w:p>
    <w:p>
      <w:pPr>
        <w:spacing w:after="0" w:line="187"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In rendering the foregoing opinion, we are not passing upon, and assume no responsibility for, any disclosure in any registration statement or any related prospectus or other offering material relating to the offer and sale of the Securities.</w:t>
      </w:r>
    </w:p>
    <w:p>
      <w:pPr>
        <w:spacing w:after="0" w:line="162"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We note that, as of the date of this opinion, a judgment for money in an action based on debt securities denominated in foreign currencies or currency units in a Federal or state court in the United States ordinarily would be enforced in the United States only in U.S. dollars. The date used to determine the rate of conversion of the foreign currency or currency unit in which a particular debt security is denominated into U.S. dollars will depend upon various factors, including which court renders the judgment. In the case of a debt security denominated in a foreign currency, a state court in the State of New York rendering a judgment on such debt security would be required under Section 27 of the New York Judiciary Law to render such judgment in the foreign currency in which the debt security is denominated, and such judgment would be converted into U.S. dollars at the exchange rate prevailing on the date of entry of the judgment.</w:t>
      </w:r>
    </w:p>
    <w:p>
      <w:pPr>
        <w:sectPr>
          <w:pgSz w:w="11900" w:h="16838" w:orient="portrait"/>
          <w:cols w:equalWidth="0" w:num="1">
            <w:col w:w="11000"/>
          </w:cols>
          <w:pgMar w:left="440" w:top="270" w:right="459" w:bottom="1440" w:gutter="0" w:footer="0" w:header="0"/>
        </w:sectPr>
      </w:pPr>
    </w:p>
    <w:bookmarkStart w:id="11" w:name="page12"/>
    <w:bookmarkEnd w:id="11"/>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opinion is limited to the Federal laws of the United States and the laws of the State of New York and the General Corporation Law of the State of Delaware, and we are expressing no opinion as to the effect of the laws of any other jurisdiction.</w:t>
      </w:r>
    </w:p>
    <w:p>
      <w:pPr>
        <w:spacing w:after="0" w:line="16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We have relied as to certain matters on information obtained from public officials, officers of the Company and other sources believed by us to be responsible. We have assumed, without independent verification, that all documents under which the Securities are to be issued will have been duly authorized, executed and delivered by all parties thereto other than the Company and that the signatures on documents examined by us are genuine.</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In giving such consent, we do not thereby admit that we are in the category of persons whose consent is required under Section 7 of the Act.</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SULLIVAN &amp; CROMWELL LLP</w:t>
      </w:r>
    </w:p>
    <w:p>
      <w:pPr>
        <w:sectPr>
          <w:pgSz w:w="11900" w:h="16838" w:orient="portrait"/>
          <w:cols w:equalWidth="0" w:num="1">
            <w:col w:w="11000"/>
          </w:cols>
          <w:pgMar w:left="440" w:top="270" w:right="45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Post-Effective Amendment No. 1 to the Form S-3 Registration Statement (No. 333-288361) and the related Prospectus of Bakkt Holdings, Inc. for the registration of Class A Common Stock, Preferred Stock, Debt Securities, Warrants and Units with an aggregate offering price not to exceed $1,000,000,000 and to the incorporation by reference therein of our report dated March 25, 2024, except for the effects of Staff Accounting Bulletin 122 Accounting for Obligations to Safeguard Crypto-Assets an Entity Holds for its Platform Users, Accounting Standards Update 2023-07, Segment Reporting (Topic 280): Improvements to Reportable Segment Disclosures, and the Reverse Stock Split completed by the Company on April 29, 2024, all as disclosed in Note 2 as to which the date is March 19, 2025, and except for the effects of Discontinued Operations, as disclosed in Note 2 as to which the date is December 10, 2025, with respect to the consolidated financial statements of Bakkt Holdings, Inc. for the fiscal year ended December 31, 2023, filed with the Securities and Exchange Commission.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10, 2025</w:t>
      </w:r>
    </w:p>
    <w:p>
      <w:pPr>
        <w:sectPr>
          <w:pgSz w:w="11900" w:h="16838" w:orient="portrait"/>
          <w:cols w:equalWidth="0" w:num="1">
            <w:col w:w="11020"/>
          </w:cols>
          <w:pgMar w:left="440" w:top="117" w:right="4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consent to the use of our reports dated March 19, 2025, except for the effects of the discontinued operations as discussed in Notes 3, 13, 18, 20 and 21, as to which the date is December 10, 2025, with respect to the consolidated financial statements of Bakkt Holdings, Inc., and the effectiveness of internal control over financial reporting, incorporated herein by reference.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10, 2025</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
    <w:nsid w:val="238E1F29"/>
    <w:multiLevelType w:val="hybridMultilevel"/>
    <w:lvl w:ilvl="0">
      <w:lvlJc w:val="left"/>
      <w:lvlText w:val="(%1)"/>
      <w:numFmt w:val="decimal"/>
      <w:start w:val="2"/>
    </w:lvl>
    <w:lvl w:ilvl="1">
      <w:lvlJc w:val="left"/>
      <w:lvlText w:val="(%2)"/>
      <w:numFmt w:val="lowerRoman"/>
      <w:start w:val="1"/>
    </w:lvl>
  </w:abstractNum>
  <w:abstractNum w:abstractNumId="2">
    <w:nsid w:val="46E87CCD"/>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3">
    <w:nsid w:val="3D1B58BA"/>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2"/>
    </w:lvl>
  </w:abstractNum>
  <w:abstractNum w:abstractNumId="6">
    <w:nsid w:val="41B71EF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jpe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21" Type="http://schemas.openxmlformats.org/officeDocument/2006/relationships/hyperlink" Target="http://www.sec.gov/Archives/edgar/data/1820302/000119312525262732/d83327dex21.htm" TargetMode="External"/><Relationship Id="rId22" Type="http://schemas.openxmlformats.org/officeDocument/2006/relationships/hyperlink" Target="http://www.sec.gov/Archives/edgar/data/1820302/000119312525262732/d83327dex31.htm" TargetMode="External"/><Relationship Id="rId23" Type="http://schemas.openxmlformats.org/officeDocument/2006/relationships/hyperlink" Target="http://www.sec.gov/Archives/edgar/data/1820302/000119312525262732/d83327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2025-12-10T17:48:52Z</dcterms:created>
  <dcterms:modified xsi:type="dcterms:W3CDTF">2025-12-10T17:48:52Z</dcterms:modified>
</cp:coreProperties>
</file>