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58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On January 21, 2022 (the “Grant Date”), the Compensation Committee (the “Committee”) of the Board of Directors of Bakkt Holdings, Inc. (the “Company”) adopted a form of Performance-Based Restricted Stock Unit Agreement (the “PSU Agreement”) under the Company’s 2021 Omnibus Employee Incentive Plan (the “Plan”). The PSU Agreement provides for the grant of performance-based restricted stock unit awards (“PSUs”) consisting of the right to receive, upon the vesting date of such PSUs, one share of Class A common stock of the Company (“Class A Common Stock”) for each vested PSU. Each PSU will vest in accordance with the schedule and/or terms (i.e. performance thresholds or metrics) determined at the time of grant, subject to the grantee’s continued employment or service through the vesting date. Each PSU Agreement will set forth the circumstances under which the vesting of a PSU will accelerate, including in the event of termination, as may be provided under the Plan or with respect to any individual grant. A copy of the PSU Agreement is filed as Exhibit 10.1 and is incorporated herein by reference. The foregoing description of the PSU Agreement is qualified in its entirety by reference to the full text of the PSU Agreement.</w:t>
      </w:r>
    </w:p>
    <w:p>
      <w:pPr>
        <w:spacing w:after="0" w:line="181"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The Committee also previously approved the form of Restricted Stock Unit Agreement (the “RSU Agreement” and together with the PSU Agreement the “Award Agreements”) under the Plan. The RSU Agreement provides for the grant of restricted stock unit awards (“RSUs”) consisting of the right to receive, upon the vesting date of such RSUs, one share of Class A Common Stock for each vested RSU. Each RSU will vest in accordance with the schedule determined at the time of grant, subject to the grantee’s continued employment or service through the vesting date. Each RSU Agreement will set forth the circumstances under which the vesting of a RSU will accelerate, including in the event of termination, as may be provided under the Plan or with respect to any individual grant. A copy of the RSU Agreement is filed as Exhibit 10.2 and is incorporated herein by reference. The foregoing description of the RSU Agreement is qualified in its entirety by reference to the full text of the RSU Agreement.</w:t>
      </w:r>
    </w:p>
    <w:p>
      <w:pPr>
        <w:spacing w:after="0" w:line="166"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On the Grant Date, the Committee approved the following equity compensation grants, in accordance with the applicable Award Agreement, to the listed executive officers of the Company:</w:t>
      </w:r>
    </w:p>
    <w:p>
      <w:pPr>
        <w:spacing w:after="0" w:line="189"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RSUs(1)</w:t>
            </w:r>
          </w:p>
        </w:tc>
        <w:tc>
          <w:tcPr>
            <w:tcW w:w="7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PSUs(2)</w:t>
            </w:r>
          </w:p>
        </w:tc>
      </w:tr>
      <w:tr>
        <w:trPr>
          <w:trHeight w:val="142"/>
        </w:trPr>
        <w:tc>
          <w:tcPr>
            <w:tcW w:w="60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At Target</w:t>
            </w:r>
          </w:p>
        </w:tc>
        <w:tc>
          <w:tcPr>
            <w:tcW w:w="1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150% of Target</w:t>
            </w:r>
          </w:p>
        </w:tc>
        <w:tc>
          <w:tcPr>
            <w:tcW w:w="60" w:type="dxa"/>
            <w:vAlign w:val="bottom"/>
          </w:tcPr>
          <w:p>
            <w:pPr>
              <w:spacing w:after="0"/>
              <w:rPr>
                <w:sz w:val="12"/>
                <w:szCs w:val="12"/>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Gavin Michael</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2,082,000</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2,082,000</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b w:val="1"/>
                <w:bCs w:val="1"/>
                <w:color w:val="auto"/>
              </w:rPr>
              <w:t>Marc D’Annunzio</w:t>
            </w:r>
          </w:p>
        </w:tc>
        <w:tc>
          <w:tcPr>
            <w:tcW w:w="800" w:type="dxa"/>
            <w:vAlign w:val="bottom"/>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Andrew LaBenne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 w:right="640" w:hanging="4"/>
        <w:spacing w:after="0" w:line="277" w:lineRule="auto"/>
        <w:tabs>
          <w:tab w:leader="none" w:pos="394"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RSU will vest, subject to the grantee’s continued employment with the Company, in three equal annual installments on the first three anniversaries of the Grant Date.</w:t>
      </w:r>
    </w:p>
    <w:p>
      <w:pPr>
        <w:spacing w:after="0" w:line="170" w:lineRule="exact"/>
        <w:rPr>
          <w:rFonts w:ascii="Arial" w:cs="Arial" w:eastAsia="Arial" w:hAnsi="Arial"/>
          <w:sz w:val="18"/>
          <w:szCs w:val="18"/>
          <w:color w:val="auto"/>
        </w:rPr>
      </w:pPr>
    </w:p>
    <w:p>
      <w:pPr>
        <w:ind w:left="4" w:right="100" w:hanging="4"/>
        <w:spacing w:after="0" w:line="290" w:lineRule="auto"/>
        <w:tabs>
          <w:tab w:leader="none" w:pos="39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numbers included in the table reflect the aggregate number of shares of Class A common stock that may be issuable to the grantee based on a “target” performance. The actual number of shares will vary between and 0% and 150% of the target amount. The PSUs provide a scale for the number of shares of Class A common stock issuable to the grantee based (i) 50% on the Company’s net revenue and (ii) 50% on the Company’s transacting accounts, in each case, during the applicable performance period, pursuant to which, in each case, the grantee may earn between 0% of the “target” award (if the Company’s net revenue or transacting accounts, as applicable, achieved with respect to such performance period is below 25% of the “target” performance goal) and 150% of the target award (if the performance level achieved with respect to such performance period equals or exceeds 150% of the “target” performance goal). The performance periods for the PSUs are the years ending December 31, 2022, 2023 and 2024. One-third of the PSUs will be determined based on the performance for each year in the performance period.</w:t>
      </w:r>
    </w:p>
    <w:p>
      <w:pPr>
        <w:sectPr>
          <w:pgSz w:w="11900" w:h="16838" w:orient="portrait"/>
          <w:cols w:equalWidth="0" w:num="1">
            <w:col w:w="10984"/>
          </w:cols>
          <w:pgMar w:left="436" w:top="297" w:right="47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60" w:type="dxa"/>
            <w:vAlign w:val="bottom"/>
            <w:gridSpan w:val="4"/>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5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398"/>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20" w:type="dxa"/>
            <w:vAlign w:val="bottom"/>
            <w:gridSpan w:val="2"/>
          </w:tcPr>
          <w:p>
            <w:pPr>
              <w:ind w:left="88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0" w:type="dxa"/>
            <w:vAlign w:val="bottom"/>
            <w:tcBorders>
              <w:top w:val="single" w:sz="8" w:color="auto"/>
              <w:bottom w:val="single" w:sz="8" w:color="0000EE"/>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Form of Performance-Based Restricted Stock Unit Award Agreement</w:t>
              </w:r>
            </w:hyperlink>
          </w:p>
        </w:tc>
        <w:tc>
          <w:tcPr>
            <w:tcW w:w="4560" w:type="dxa"/>
            <w:vAlign w:val="bottom"/>
            <w:tcBorders>
              <w:top w:val="single" w:sz="8" w:color="auto"/>
            </w:tcBorders>
          </w:tcPr>
          <w:p>
            <w:pPr>
              <w:spacing w:after="0"/>
              <w:rPr>
                <w:sz w:val="23"/>
                <w:szCs w:val="23"/>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40" w:type="dxa"/>
            <w:vAlign w:val="bottom"/>
            <w:tcBorders>
              <w:bottom w:val="single" w:sz="8" w:color="0000EE"/>
            </w:tcBorders>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Form of Restricted Stock Unit Award Agreement</w:t>
              </w:r>
            </w:hyperlink>
          </w:p>
        </w:tc>
        <w:tc>
          <w:tcPr>
            <w:tcW w:w="6020" w:type="dxa"/>
            <w:vAlign w:val="bottom"/>
            <w:gridSpan w:val="2"/>
          </w:tcPr>
          <w:p>
            <w:pPr>
              <w:spacing w:after="0"/>
              <w:rPr>
                <w:sz w:val="24"/>
                <w:szCs w:val="24"/>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5464" w:right="3780" w:hanging="5464"/>
        <w:spacing w:after="0" w:line="449" w:lineRule="auto"/>
        <w:tabs>
          <w:tab w:leader="none" w:pos="1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4</w:t>
      </w:r>
    </w:p>
    <w:p>
      <w:pPr>
        <w:sectPr>
          <w:pgSz w:w="11900" w:h="16838" w:orient="portrait"/>
          <w:cols w:equalWidth="0" w:num="1">
            <w:col w:w="11024"/>
          </w:cols>
          <w:pgMar w:left="436" w:top="297"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26,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General Counsel and Secretary</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2021 OMNIBUS EMPLOYEE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UNIT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PERFORMANCE UNIT GRANT</w:t>
      </w:r>
    </w:p>
    <w:p>
      <w:pPr>
        <w:spacing w:after="0" w:line="22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Unless otherwise defined herein, the terms defined in the Bakkt Holdings, Inc. 2021 Omnibus Employee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will have the same meanings in this Performance Unit Agreement which includes the Notice of Performance Unit Grant (the “</w:t>
      </w:r>
      <w:r>
        <w:rPr>
          <w:rFonts w:ascii="Arial" w:cs="Arial" w:eastAsia="Arial" w:hAnsi="Arial"/>
          <w:sz w:val="18"/>
          <w:szCs w:val="18"/>
          <w:u w:val="single" w:color="auto"/>
          <w:color w:val="auto"/>
        </w:rPr>
        <w:t>Notice of Grant</w:t>
      </w:r>
      <w:r>
        <w:rPr>
          <w:rFonts w:ascii="Arial" w:cs="Arial" w:eastAsia="Arial" w:hAnsi="Arial"/>
          <w:sz w:val="18"/>
          <w:szCs w:val="18"/>
          <w:color w:val="auto"/>
        </w:rPr>
        <w:t xml:space="preserve">”), the Terms and Conditions of Performance Unit Grant,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all other exhibits, appendices, and addenda attached hereto (the “</w:t>
      </w:r>
      <w:r>
        <w:rPr>
          <w:rFonts w:ascii="Arial" w:cs="Arial" w:eastAsia="Arial" w:hAnsi="Arial"/>
          <w:sz w:val="18"/>
          <w:szCs w:val="18"/>
          <w:u w:val="single" w:color="auto"/>
          <w:color w:val="auto"/>
        </w:rPr>
        <w:t>Award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Grantee has been granted an Award of Performance Units (“</w:t>
      </w:r>
      <w:r>
        <w:rPr>
          <w:rFonts w:ascii="Arial" w:cs="Arial" w:eastAsia="Arial" w:hAnsi="Arial"/>
          <w:sz w:val="16"/>
          <w:szCs w:val="16"/>
          <w:u w:val="single" w:color="auto"/>
          <w:color w:val="auto"/>
        </w:rPr>
        <w:t>PSUs</w:t>
      </w:r>
      <w:r>
        <w:rPr>
          <w:rFonts w:ascii="Arial" w:cs="Arial" w:eastAsia="Arial" w:hAnsi="Arial"/>
          <w:sz w:val="16"/>
          <w:szCs w:val="16"/>
          <w:color w:val="auto"/>
        </w:rPr>
        <w:t>”), subject to the terms and conditions of the Plan and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 Agreement, as follows:</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Maximum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Vesting Date(s): This Award shall vest on the date(s)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subject to the satisfaction of the terms and conditions described in the exhibits (including all schedules subject thereto).</w:t>
      </w:r>
    </w:p>
    <w:p>
      <w:pPr>
        <w:sectPr>
          <w:pgSz w:w="11900" w:h="16838" w:orient="portrait"/>
          <w:cols w:equalWidth="0" w:num="1">
            <w:col w:w="11020"/>
          </w:cols>
          <w:pgMar w:left="440" w:top="125" w:right="439" w:bottom="1440" w:gutter="0" w:footer="0" w:header="0"/>
        </w:sectPr>
      </w:pPr>
    </w:p>
    <w:bookmarkStart w:id="5" w:name="page6"/>
    <w:bookmarkEnd w:id="5"/>
    <w:p>
      <w:pPr>
        <w:ind w:right="4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Grantee’s signature and the signature of the representative of the Company below, Grantee and the Company agree that this Award of PSUs is granted under and governed by the terms and conditions of the Plan and this Award Agreement, including the Terms and Conditions of Performance Unit Grant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GRANTEE</w:t>
            </w:r>
          </w:p>
        </w:tc>
        <w:tc>
          <w:tcPr>
            <w:tcW w:w="8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BAKKT HOLDINGS, INC.</w:t>
            </w:r>
          </w:p>
        </w:tc>
      </w:tr>
      <w:tr>
        <w:trPr>
          <w:trHeight w:val="432"/>
        </w:trPr>
        <w:tc>
          <w:tcPr>
            <w:tcW w:w="4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224"/>
        </w:trPr>
        <w:tc>
          <w:tcPr>
            <w:tcW w:w="51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Signature</w:t>
            </w:r>
          </w:p>
        </w:tc>
      </w:tr>
      <w:tr>
        <w:trPr>
          <w:trHeight w:val="431"/>
        </w:trPr>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gridSpan w:val="2"/>
          </w:tcPr>
          <w:p>
            <w:pPr>
              <w:spacing w:after="0"/>
              <w:rPr>
                <w:sz w:val="24"/>
                <w:szCs w:val="24"/>
                <w:color w:val="auto"/>
              </w:rPr>
            </w:pPr>
          </w:p>
        </w:tc>
      </w:tr>
      <w:tr>
        <w:trPr>
          <w:trHeight w:val="224"/>
        </w:trPr>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Print Name</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r>
      <w:tr>
        <w:trPr>
          <w:trHeight w:val="431"/>
        </w:trPr>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4"/>
                <w:szCs w:val="24"/>
                <w:color w:val="auto"/>
              </w:rPr>
            </w:pPr>
          </w:p>
        </w:tc>
      </w:tr>
      <w:tr>
        <w:trPr>
          <w:trHeight w:val="224"/>
        </w:trPr>
        <w:tc>
          <w:tcPr>
            <w:tcW w:w="4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674"/>
        </w:trPr>
        <w:tc>
          <w:tcPr>
            <w:tcW w:w="5180" w:type="dxa"/>
            <w:vAlign w:val="bottom"/>
            <w:gridSpan w:val="2"/>
          </w:tcPr>
          <w:p>
            <w:pPr>
              <w:spacing w:after="0"/>
              <w:rPr>
                <w:sz w:val="20"/>
                <w:szCs w:val="20"/>
                <w:color w:val="auto"/>
              </w:rPr>
            </w:pPr>
            <w:r>
              <w:rPr>
                <w:rFonts w:ascii="Arial" w:cs="Arial" w:eastAsia="Arial" w:hAnsi="Arial"/>
                <w:sz w:val="18"/>
                <w:szCs w:val="18"/>
                <w:color w:val="auto"/>
              </w:rPr>
              <w:t>Grantee Residence Address: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32"/>
        </w:trPr>
        <w:tc>
          <w:tcPr>
            <w:tcW w:w="44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r>
    </w:tbl>
    <w:p>
      <w:pPr>
        <w:sectPr>
          <w:pgSz w:w="11900" w:h="16838" w:orient="portrait"/>
          <w:cols w:equalWidth="0" w:num="1">
            <w:col w:w="11020"/>
          </w:cols>
          <w:pgMar w:left="440" w:top="274"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2021 OMNIBUS EMPLOYEE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UNIT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PERFORMANCE UNIT GRANT</w:t>
      </w:r>
    </w:p>
    <w:p>
      <w:pPr>
        <w:spacing w:after="0" w:line="229" w:lineRule="exact"/>
        <w:rPr>
          <w:sz w:val="20"/>
          <w:szCs w:val="20"/>
          <w:color w:val="auto"/>
        </w:rPr>
      </w:pPr>
    </w:p>
    <w:p>
      <w:pPr>
        <w:ind w:right="100" w:firstLine="436"/>
        <w:spacing w:after="0" w:line="259"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Grant of PSUs</w:t>
      </w:r>
      <w:r>
        <w:rPr>
          <w:rFonts w:ascii="Arial" w:cs="Arial" w:eastAsia="Arial" w:hAnsi="Arial"/>
          <w:sz w:val="18"/>
          <w:szCs w:val="18"/>
          <w:color w:val="auto"/>
        </w:rPr>
        <w:t>. The Company hereby grants to the individual (“</w:t>
      </w:r>
      <w:r>
        <w:rPr>
          <w:rFonts w:ascii="Arial" w:cs="Arial" w:eastAsia="Arial" w:hAnsi="Arial"/>
          <w:sz w:val="18"/>
          <w:szCs w:val="18"/>
          <w:u w:val="single" w:color="auto"/>
          <w:color w:val="auto"/>
        </w:rPr>
        <w:t>Grantee</w:t>
      </w:r>
      <w:r>
        <w:rPr>
          <w:rFonts w:ascii="Arial" w:cs="Arial" w:eastAsia="Arial" w:hAnsi="Arial"/>
          <w:sz w:val="18"/>
          <w:szCs w:val="18"/>
          <w:color w:val="auto"/>
        </w:rPr>
        <w:t>”) named in the Notice of Performance Unit Grant of this Award Agreement (the “</w:t>
      </w:r>
      <w:r>
        <w:rPr>
          <w:rFonts w:ascii="Arial" w:cs="Arial" w:eastAsia="Arial" w:hAnsi="Arial"/>
          <w:sz w:val="18"/>
          <w:szCs w:val="18"/>
          <w:u w:val="single" w:color="auto"/>
          <w:color w:val="auto"/>
        </w:rPr>
        <w:t>Notice of Grant</w:t>
      </w:r>
      <w:r>
        <w:rPr>
          <w:rFonts w:ascii="Arial" w:cs="Arial" w:eastAsia="Arial" w:hAnsi="Arial"/>
          <w:sz w:val="18"/>
          <w:szCs w:val="18"/>
          <w:color w:val="auto"/>
        </w:rPr>
        <w:t>”) under the Plan an Award of PSUs, and subject to the terms and conditions of this Award Agreement and the Plan, which is incorporated herein by reference. Subject to Section 3.1 of the Plan, in the event of a conflict between the terms and conditions of the Plan and this Award Agreement, the terms and conditions of the Plan shall prevail.</w:t>
      </w:r>
    </w:p>
    <w:p>
      <w:pPr>
        <w:spacing w:after="0" w:line="78" w:lineRule="exact"/>
        <w:rPr>
          <w:rFonts w:ascii="Arial" w:cs="Arial" w:eastAsia="Arial" w:hAnsi="Arial"/>
          <w:sz w:val="18"/>
          <w:szCs w:val="18"/>
          <w:color w:val="auto"/>
        </w:rPr>
      </w:pPr>
    </w:p>
    <w:p>
      <w:pPr>
        <w:ind w:firstLine="436"/>
        <w:spacing w:after="0" w:line="259"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Company’s Obligation to Pay</w:t>
      </w:r>
      <w:r>
        <w:rPr>
          <w:rFonts w:ascii="Arial" w:cs="Arial" w:eastAsia="Arial" w:hAnsi="Arial"/>
          <w:sz w:val="18"/>
          <w:szCs w:val="18"/>
          <w:color w:val="auto"/>
        </w:rPr>
        <w:t>. Each PSU represents the right to receive a share of Company Class A Common Stock (a “</w:t>
      </w:r>
      <w:r>
        <w:rPr>
          <w:rFonts w:ascii="Arial" w:cs="Arial" w:eastAsia="Arial" w:hAnsi="Arial"/>
          <w:sz w:val="18"/>
          <w:szCs w:val="18"/>
          <w:u w:val="single" w:color="auto"/>
          <w:color w:val="auto"/>
        </w:rPr>
        <w:t>Share</w:t>
      </w:r>
      <w:r>
        <w:rPr>
          <w:rFonts w:ascii="Arial" w:cs="Arial" w:eastAsia="Arial" w:hAnsi="Arial"/>
          <w:sz w:val="18"/>
          <w:szCs w:val="18"/>
          <w:color w:val="auto"/>
        </w:rPr>
        <w:t>”) on the date it vests. Unless and until a PSU has vested in the manner set forth in Section 3 or 4, Grantee will have no right to payment of any such PSU. Prior to actual payment of any vested PSUs, such PSU will represent an unsecured obligation of the Company, payable (if at all) only from the general assets of the Company.</w:t>
      </w:r>
    </w:p>
    <w:p>
      <w:pPr>
        <w:spacing w:after="0" w:line="78" w:lineRule="exact"/>
        <w:rPr>
          <w:rFonts w:ascii="Arial" w:cs="Arial" w:eastAsia="Arial" w:hAnsi="Arial"/>
          <w:sz w:val="18"/>
          <w:szCs w:val="18"/>
          <w:color w:val="auto"/>
        </w:rPr>
      </w:pPr>
    </w:p>
    <w:p>
      <w:pPr>
        <w:ind w:right="40" w:firstLine="436"/>
        <w:spacing w:after="0" w:line="296"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4, and subject to Section 5, the PSUs awarded by this Award Agreement will vest in accordance with the vesting provisions set forth in the Notice of Grant. Unless specifically provided otherwise in this Award Agreement or other written agreement authorized by the Committee between Grantee and the Company or any Subsidiary of the Company, as applicable, governing the terms of this Award, PSUs scheduled to vest on a certain date or upon the occurrence of a certain condition will not vest in accordance with any of the provisions of this Award Agreement, unless Grantee will have been continuously a Service Provider from the Date of Grant until the date such vesting occurs.</w:t>
      </w:r>
    </w:p>
    <w:p>
      <w:pPr>
        <w:spacing w:after="0" w:line="53" w:lineRule="exact"/>
        <w:rPr>
          <w:rFonts w:ascii="Arial" w:cs="Arial" w:eastAsia="Arial" w:hAnsi="Arial"/>
          <w:sz w:val="16"/>
          <w:szCs w:val="16"/>
          <w:color w:val="auto"/>
        </w:rPr>
      </w:pPr>
    </w:p>
    <w:p>
      <w:pPr>
        <w:ind w:left="620" w:hanging="184"/>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79" w:lineRule="auto"/>
        <w:tabs>
          <w:tab w:leader="none" w:pos="1236"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Subject to Section 7, any PSUs that vest will be paid to Grantee (or in the event of Grantee’s death, to his or her properly designated beneficiary or estate) in whole Shares. Subject to the provisions of Section 4(c), such vested PSUs shall be paid in whole Shares as soon as practicable after vesting, but in each such case within sixty (60) days following the vesting date. In no event will Grantee be permitted, directly or indirectly, to specify the taxable year of payment of any PSUs payable under this Award Agreement.</w:t>
      </w:r>
    </w:p>
    <w:p>
      <w:pPr>
        <w:spacing w:after="0" w:line="63" w:lineRule="exact"/>
        <w:rPr>
          <w:rFonts w:ascii="Arial" w:cs="Arial" w:eastAsia="Arial" w:hAnsi="Arial"/>
          <w:sz w:val="17"/>
          <w:szCs w:val="17"/>
          <w:color w:val="auto"/>
        </w:rPr>
      </w:pPr>
    </w:p>
    <w:p>
      <w:pPr>
        <w:ind w:right="220" w:firstLine="987"/>
        <w:spacing w:after="0" w:line="263" w:lineRule="auto"/>
        <w:tabs>
          <w:tab w:leader="none" w:pos="1246"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Discretionary Acceleration</w:t>
      </w:r>
      <w:r>
        <w:rPr>
          <w:rFonts w:ascii="Arial" w:cs="Arial" w:eastAsia="Arial" w:hAnsi="Arial"/>
          <w:sz w:val="18"/>
          <w:szCs w:val="18"/>
          <w:color w:val="auto"/>
        </w:rPr>
        <w:t>. The Committee, in its discretion, may accelerate the vesting of the balance, or some lesser portion of the balance, of the unvested PSUs at any time, subject to the terms of the Plan. If so accelerated, such PSUs will be considered as having vested as of the date specified by the Administrator.</w:t>
      </w:r>
    </w:p>
    <w:p>
      <w:pPr>
        <w:sectPr>
          <w:pgSz w:w="11900" w:h="16838" w:orient="portrait"/>
          <w:cols w:equalWidth="0" w:num="1">
            <w:col w:w="11000"/>
          </w:cols>
          <w:pgMar w:left="440" w:top="270" w:right="459" w:bottom="1440" w:gutter="0" w:footer="0" w:header="0"/>
        </w:sectPr>
      </w:pPr>
    </w:p>
    <w:bookmarkStart w:id="7" w:name="page8"/>
    <w:bookmarkEnd w:id="7"/>
    <w:p>
      <w:pPr>
        <w:ind w:left="804" w:hanging="253"/>
        <w:spacing w:after="0"/>
        <w:tabs>
          <w:tab w:leader="none" w:pos="804"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right="460" w:firstLine="1428"/>
        <w:spacing w:after="0" w:line="311" w:lineRule="auto"/>
        <w:tabs>
          <w:tab w:leader="none" w:pos="1210" w:val="left"/>
        </w:tabs>
        <w:numPr>
          <w:ilvl w:val="2"/>
          <w:numId w:val="5"/>
        </w:numPr>
        <w:rPr>
          <w:rFonts w:ascii="Arial" w:cs="Arial" w:eastAsia="Arial" w:hAnsi="Arial"/>
          <w:sz w:val="16"/>
          <w:szCs w:val="16"/>
          <w:color w:val="auto"/>
        </w:rPr>
      </w:pPr>
      <w:r>
        <w:rPr>
          <w:rFonts w:ascii="Arial" w:cs="Arial" w:eastAsia="Arial" w:hAnsi="Arial"/>
          <w:sz w:val="16"/>
          <w:szCs w:val="16"/>
          <w:color w:val="auto"/>
        </w:rPr>
        <w:t>If Grantee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40" w:lineRule="exact"/>
        <w:rPr>
          <w:rFonts w:ascii="Arial" w:cs="Arial" w:eastAsia="Arial" w:hAnsi="Arial"/>
          <w:sz w:val="16"/>
          <w:szCs w:val="16"/>
          <w:color w:val="auto"/>
        </w:rPr>
      </w:pPr>
    </w:p>
    <w:p>
      <w:pPr>
        <w:ind w:left="-436" w:firstLine="1428"/>
        <w:spacing w:after="0" w:line="270" w:lineRule="auto"/>
        <w:tabs>
          <w:tab w:leader="none" w:pos="1260" w:val="left"/>
        </w:tabs>
        <w:numPr>
          <w:ilvl w:val="2"/>
          <w:numId w:val="5"/>
        </w:numPr>
        <w:rPr>
          <w:rFonts w:ascii="Arial" w:cs="Arial" w:eastAsia="Arial" w:hAnsi="Arial"/>
          <w:sz w:val="17"/>
          <w:szCs w:val="17"/>
          <w:color w:val="auto"/>
        </w:rPr>
      </w:pPr>
      <w:r>
        <w:rPr>
          <w:rFonts w:ascii="Arial" w:cs="Arial" w:eastAsia="Arial" w:hAnsi="Arial"/>
          <w:sz w:val="17"/>
          <w:szCs w:val="17"/>
          <w:color w:val="auto"/>
        </w:rPr>
        <w:t>Notwithstanding anything in the Plan or this Award Agreement or any other agreement (whether entered into before, on or after the Date of Grant), if the vesting of the balance, or some lesser portion of the balance, of the PSUs is accelerated in connection with the termination of Grantee’s status as a Service Provider (provided that such termination is a “separation from service” within the meaning of Section 409A, as determined by the Administrator), other than due to Grantee’s death, and if (x) Grantee is a U.S. taxpayer and a “specified employee” within the meaning of Section 409A at the time of such termination as a Service Provider and (y) the payment of such accelerated PSUs will result in the imposition of additional tax under Section 409A if paid to Grantee on or within the six (6) month period following the cessation of Grantee’s status as a Service Provider, then the payment of such accelerated PSUs will not be made until the date six (6) months and one (1) day following the date of cessation of Grantee’s status as a Service Provider, unless Grantee dies following his or her termination as a Service Provider, in which case, the PSUs will be paid in Shares to Grantee’s estate as soon as practicable following his or her death.</w:t>
      </w:r>
    </w:p>
    <w:p>
      <w:pPr>
        <w:spacing w:after="0" w:line="72" w:lineRule="exact"/>
        <w:rPr>
          <w:rFonts w:ascii="Arial" w:cs="Arial" w:eastAsia="Arial" w:hAnsi="Arial"/>
          <w:sz w:val="17"/>
          <w:szCs w:val="17"/>
          <w:color w:val="auto"/>
        </w:rPr>
      </w:pPr>
    </w:p>
    <w:p>
      <w:pPr>
        <w:ind w:left="-436" w:right="80" w:firstLine="1428"/>
        <w:spacing w:after="0" w:line="290" w:lineRule="auto"/>
        <w:tabs>
          <w:tab w:leader="none" w:pos="1310" w:val="left"/>
        </w:tabs>
        <w:numPr>
          <w:ilvl w:val="2"/>
          <w:numId w:val="5"/>
        </w:numPr>
        <w:rPr>
          <w:rFonts w:ascii="Arial" w:cs="Arial" w:eastAsia="Arial" w:hAnsi="Arial"/>
          <w:sz w:val="16"/>
          <w:szCs w:val="16"/>
          <w:color w:val="auto"/>
        </w:rPr>
      </w:pPr>
      <w:r>
        <w:rPr>
          <w:rFonts w:ascii="Arial" w:cs="Arial" w:eastAsia="Arial" w:hAnsi="Arial"/>
          <w:sz w:val="16"/>
          <w:szCs w:val="16"/>
          <w:color w:val="auto"/>
        </w:rPr>
        <w:t>It is the intent of this Award Agreement that it and all payments and benefits to U.S. taxpayers hereunder be exempt from, or comply with, the requirements of Section 409A so that none of the PSUs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Grantee’s status as a Service Provider, termination of employment, or similar phrases will be references to Grantee’s “separation from service” within the meaning of Section 409A.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57" w:lineRule="exact"/>
        <w:rPr>
          <w:rFonts w:ascii="Arial" w:cs="Arial" w:eastAsia="Arial" w:hAnsi="Arial"/>
          <w:sz w:val="16"/>
          <w:szCs w:val="16"/>
          <w:color w:val="auto"/>
        </w:rPr>
      </w:pPr>
    </w:p>
    <w:p>
      <w:pPr>
        <w:ind w:left="-436" w:right="40" w:firstLine="436"/>
        <w:spacing w:after="0" w:line="259" w:lineRule="auto"/>
        <w:tabs>
          <w:tab w:leader="none" w:pos="18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 as a Service Provider</w:t>
      </w:r>
      <w:r>
        <w:rPr>
          <w:rFonts w:ascii="Arial" w:cs="Arial" w:eastAsia="Arial" w:hAnsi="Arial"/>
          <w:sz w:val="18"/>
          <w:szCs w:val="18"/>
          <w:color w:val="auto"/>
        </w:rPr>
        <w:t>. Unless specifically provided otherwise in this Award Agreement or other written agreement authorized by the Committee between Grantee and the Company or any of its Subsidiaries, as applicable, governing the terms of this Award, if Grantee ceases to be a Service Provider for any or no reason, the then-unvested PSUs awarded by this Award Agreement will thereupon be forfeited at no cost to the Company and Grantee will have no further rights thereunder.</w:t>
      </w:r>
    </w:p>
    <w:p>
      <w:pPr>
        <w:spacing w:after="0" w:line="78" w:lineRule="exact"/>
        <w:rPr>
          <w:rFonts w:ascii="Arial" w:cs="Arial" w:eastAsia="Arial" w:hAnsi="Arial"/>
          <w:sz w:val="18"/>
          <w:szCs w:val="18"/>
          <w:color w:val="auto"/>
        </w:rPr>
      </w:pPr>
    </w:p>
    <w:p>
      <w:pPr>
        <w:ind w:left="-436" w:right="60" w:firstLine="436"/>
        <w:spacing w:after="0" w:line="259" w:lineRule="auto"/>
        <w:tabs>
          <w:tab w:leader="none" w:pos="18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Death of Grantee</w:t>
      </w:r>
      <w:r>
        <w:rPr>
          <w:rFonts w:ascii="Arial" w:cs="Arial" w:eastAsia="Arial" w:hAnsi="Arial"/>
          <w:sz w:val="18"/>
          <w:szCs w:val="18"/>
          <w:color w:val="auto"/>
        </w:rPr>
        <w:t>.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ectPr>
          <w:pgSz w:w="11900" w:h="16838" w:orient="portrait"/>
          <w:cols w:equalWidth="0" w:num="1">
            <w:col w:w="10564"/>
          </w:cols>
          <w:pgMar w:left="876" w:top="274" w:right="459" w:bottom="1440" w:gutter="0" w:footer="0" w:header="0"/>
        </w:sectPr>
      </w:pPr>
    </w:p>
    <w:bookmarkStart w:id="8" w:name="page9"/>
    <w:bookmarkEnd w:id="8"/>
    <w:p>
      <w:pPr>
        <w:ind w:left="184" w:hanging="184"/>
        <w:spacing w:after="0"/>
        <w:tabs>
          <w:tab w:leader="none" w:pos="18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right="20" w:firstLine="987"/>
        <w:spacing w:after="0" w:line="268" w:lineRule="auto"/>
        <w:tabs>
          <w:tab w:leader="none" w:pos="799"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Responsibility for Taxes</w:t>
      </w:r>
      <w:r>
        <w:rPr>
          <w:rFonts w:ascii="Arial" w:cs="Arial" w:eastAsia="Arial" w:hAnsi="Arial"/>
          <w:sz w:val="17"/>
          <w:szCs w:val="17"/>
          <w:color w:val="auto"/>
        </w:rPr>
        <w:t>. Grantee acknowledges that, regardless of any action taken by the Company or, if different, Grantee’s employer or any parent or Subsidiary of the Company to which Grantee is providing services (together, the “</w:t>
      </w:r>
      <w:r>
        <w:rPr>
          <w:rFonts w:ascii="Arial" w:cs="Arial" w:eastAsia="Arial" w:hAnsi="Arial"/>
          <w:sz w:val="17"/>
          <w:szCs w:val="17"/>
          <w:u w:val="single" w:color="auto"/>
          <w:color w:val="auto"/>
        </w:rPr>
        <w:t>Service Recipients</w:t>
      </w:r>
      <w:r>
        <w:rPr>
          <w:rFonts w:ascii="Arial" w:cs="Arial" w:eastAsia="Arial" w:hAnsi="Arial"/>
          <w:sz w:val="17"/>
          <w:szCs w:val="17"/>
          <w:color w:val="auto"/>
        </w:rPr>
        <w:t>”), the ultimate liability for any tax and/or social insurance liability obligations and requirements in connection with the PSUs, including, without limitation, (i) all federal, state, and local taxes (including Grantee’s Federal Insurance Contributions Act (FICA) obligations) that are required to be withheld by any Service Recipient or other payment of tax-related items related to Grantee’s participation in the Plan and legally applicable to Grantee, (ii) Grantee’s and, to the extent required by any Service Recipient, the Service Recipient’s fringe benefit tax liability, if any, associated with the grant, vesting, or settlement of the PSUs or sale of Shares, and (iii) any other Service Recipient taxes the responsibility for which Grantee has, or has agreed to bear, with respect to the PSUs (or settlement thereof or issuance of Shares thereunder) (collectively, the “</w:t>
      </w:r>
      <w:r>
        <w:rPr>
          <w:rFonts w:ascii="Arial" w:cs="Arial" w:eastAsia="Arial" w:hAnsi="Arial"/>
          <w:sz w:val="17"/>
          <w:szCs w:val="17"/>
          <w:u w:val="single" w:color="auto"/>
          <w:color w:val="auto"/>
        </w:rPr>
        <w:t>Tax Obligations</w:t>
      </w:r>
      <w:r>
        <w:rPr>
          <w:rFonts w:ascii="Arial" w:cs="Arial" w:eastAsia="Arial" w:hAnsi="Arial"/>
          <w:sz w:val="17"/>
          <w:szCs w:val="17"/>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PSUs, including, but not limited to, the grant, vesting or settlement of the PSUs, the subsequent sale of Shares acquired pursuant to such settlement and the receipt of any dividends or other distributions, and (B) makes any commitment to and is under any obligation to structure the terms of the grant or any aspect of the PSUs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w:t>
      </w:r>
    </w:p>
    <w:p>
      <w:pPr>
        <w:spacing w:after="0" w:line="71" w:lineRule="exact"/>
        <w:rPr>
          <w:rFonts w:ascii="Arial" w:cs="Arial" w:eastAsia="Arial" w:hAnsi="Arial"/>
          <w:sz w:val="17"/>
          <w:szCs w:val="17"/>
          <w:color w:val="auto"/>
        </w:rPr>
      </w:pPr>
    </w:p>
    <w:p>
      <w:pPr>
        <w:ind w:left="-436" w:firstLine="987"/>
        <w:spacing w:after="0" w:line="286" w:lineRule="auto"/>
        <w:tabs>
          <w:tab w:leader="none" w:pos="810"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Pursuant to such procedures as the Committee may specify from time to time, the applicable Service Recipient(s) will withhold the amount required to be withheld for the payment of Tax Obligations (the “</w:t>
      </w:r>
      <w:r>
        <w:rPr>
          <w:rFonts w:ascii="Arial" w:cs="Arial" w:eastAsia="Arial" w:hAnsi="Arial"/>
          <w:sz w:val="16"/>
          <w:szCs w:val="16"/>
          <w:u w:val="single" w:color="auto"/>
          <w:color w:val="auto"/>
        </w:rPr>
        <w:t>Withholding Obligations</w:t>
      </w:r>
      <w:r>
        <w:rPr>
          <w:rFonts w:ascii="Arial" w:cs="Arial" w:eastAsia="Arial" w:hAnsi="Arial"/>
          <w:sz w:val="16"/>
          <w:szCs w:val="16"/>
          <w:color w:val="auto"/>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Arial" w:cs="Arial" w:eastAsia="Arial" w:hAnsi="Arial"/>
          <w:sz w:val="16"/>
          <w:szCs w:val="16"/>
          <w:u w:val="single" w:color="auto"/>
          <w:color w:val="auto"/>
        </w:rPr>
        <w:t>Net Share Withholding</w:t>
      </w:r>
      <w:r>
        <w:rPr>
          <w:rFonts w:ascii="Arial" w:cs="Arial" w:eastAsia="Arial" w:hAnsi="Arial"/>
          <w:sz w:val="16"/>
          <w:szCs w:val="16"/>
          <w:color w:val="auto"/>
        </w:rPr>
        <w:t>”), (iii) withholding the amount of such Withholding Obligations from Grantee’s wages or other cash compensation paid to Grantee by the applicable Service Recipient(s), (iv) 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consequences), (v) selling a sufficient number of such Shares otherwise deliverable to Grantee, through such means as the Company may determine in its sole discretion (whether through a broker or otherwise)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Arial" w:cs="Arial" w:eastAsia="Arial" w:hAnsi="Arial"/>
          <w:sz w:val="16"/>
          <w:szCs w:val="16"/>
          <w:u w:val="single" w:color="auto"/>
          <w:color w:val="auto"/>
        </w:rPr>
        <w:t>Sell to Cover</w:t>
      </w:r>
      <w:r>
        <w:rPr>
          <w:rFonts w:ascii="Arial" w:cs="Arial" w:eastAsia="Arial" w:hAnsi="Arial"/>
          <w:sz w:val="16"/>
          <w:szCs w:val="16"/>
          <w:color w:val="auto"/>
        </w:rPr>
        <w:t>”), or (vi) such other means as the Committee deems appropriate. If the Withholding Obligations are satisfied by withholding in Shares, for tax</w:t>
      </w:r>
    </w:p>
    <w:p>
      <w:pPr>
        <w:sectPr>
          <w:pgSz w:w="11900" w:h="16838" w:orient="portrait"/>
          <w:cols w:equalWidth="0" w:num="1">
            <w:col w:w="10564"/>
          </w:cols>
          <w:pgMar w:left="876" w:top="274" w:right="459" w:bottom="1440" w:gutter="0" w:footer="0" w:header="0"/>
        </w:sectPr>
      </w:pPr>
    </w:p>
    <w:bookmarkStart w:id="9" w:name="page10"/>
    <w:bookmarkEnd w:id="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purposes, Grantee is deemed to have been issued the full number of Shares subject to the vested PSUs, notwithstanding that a number of the Shares are held back solely for the purpose of paying the Withholding Obligations. To the extent determined appropriate by the Committee in its discretion, the Committee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w:t>
      </w:r>
    </w:p>
    <w:p>
      <w:pPr>
        <w:spacing w:after="0" w:line="58" w:lineRule="exact"/>
        <w:rPr>
          <w:sz w:val="20"/>
          <w:szCs w:val="20"/>
          <w:color w:val="auto"/>
        </w:rPr>
      </w:pPr>
    </w:p>
    <w:p>
      <w:pPr>
        <w:ind w:right="100" w:firstLine="987"/>
        <w:spacing w:after="0" w:line="257" w:lineRule="auto"/>
        <w:tabs>
          <w:tab w:leader="none" w:pos="1236"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79" w:lineRule="exact"/>
        <w:rPr>
          <w:rFonts w:ascii="Arial" w:cs="Arial" w:eastAsia="Arial" w:hAnsi="Arial"/>
          <w:sz w:val="18"/>
          <w:szCs w:val="18"/>
          <w:color w:val="auto"/>
        </w:rPr>
      </w:pPr>
    </w:p>
    <w:p>
      <w:pPr>
        <w:ind w:firstLine="987"/>
        <w:spacing w:after="0" w:line="254" w:lineRule="auto"/>
        <w:tabs>
          <w:tab w:leader="none" w:pos="1246"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Company’s Obligation to Deliver Shares</w:t>
      </w:r>
      <w:r>
        <w:rPr>
          <w:rFonts w:ascii="Arial" w:cs="Arial" w:eastAsia="Arial" w:hAnsi="Arial"/>
          <w:sz w:val="18"/>
          <w:szCs w:val="18"/>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PSUs otherwise are scheduled to vest pursuant to Sections 3 or 4 or Grantee’s Withholding Obligations otherwise become due, Grantee permanently will forfeit such PSUs to which Grantee’s Withholding Obligation relates and any right to receive Shares thereunder and such PSUs will be returned to the Company at no cost to the Company. Grantee acknowledges and agrees that the Company may permanently refuse to issue or deliver the Shares if such Withholding Obligations are not delivered at the time they are due.</w:t>
      </w:r>
    </w:p>
    <w:p>
      <w:pPr>
        <w:spacing w:after="0" w:line="86" w:lineRule="exact"/>
        <w:rPr>
          <w:rFonts w:ascii="Arial" w:cs="Arial" w:eastAsia="Arial" w:hAnsi="Arial"/>
          <w:sz w:val="18"/>
          <w:szCs w:val="18"/>
          <w:color w:val="auto"/>
        </w:rPr>
      </w:pPr>
    </w:p>
    <w:p>
      <w:pPr>
        <w:ind w:firstLine="436"/>
        <w:spacing w:after="0" w:line="275"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w:t>
      </w:r>
    </w:p>
    <w:p>
      <w:pPr>
        <w:spacing w:after="0" w:line="68" w:lineRule="exact"/>
        <w:rPr>
          <w:rFonts w:ascii="Arial" w:cs="Arial" w:eastAsia="Arial" w:hAnsi="Arial"/>
          <w:sz w:val="17"/>
          <w:szCs w:val="17"/>
          <w:color w:val="auto"/>
        </w:rPr>
      </w:pPr>
    </w:p>
    <w:p>
      <w:pPr>
        <w:ind w:right="200" w:firstLine="436"/>
        <w:spacing w:after="0" w:line="259"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Grantee acknowledges and agrees that the vesting of the PSUs pursuant to the vesting schedule hereof is earned only by continuing as a Service Provider through the applicable vesting dates, which unless provided otherwise under applicable law, is at the will of the applicable Service Recipient and not through the act of being hired, being granted this PSU award, or acquiring Shares hereunder. Grantee further acknowledges and agrees that this Award</w:t>
      </w:r>
    </w:p>
    <w:p>
      <w:pPr>
        <w:sectPr>
          <w:pgSz w:w="11900" w:h="16838" w:orient="portrait"/>
          <w:cols w:equalWidth="0" w:num="1">
            <w:col w:w="11000"/>
          </w:cols>
          <w:pgMar w:left="440" w:top="274" w:right="459" w:bottom="1440" w:gutter="0" w:footer="0" w:header="0"/>
        </w:sectPr>
      </w:pPr>
    </w:p>
    <w:bookmarkStart w:id="10" w:name="page11"/>
    <w:bookmarkEnd w:id="10"/>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the transactions contemplated hereunder, and the vesting schedule set forth herein do not constitute an express or implied promise of continued engagement as a service provider for the vesting period, for any period, or at all, and shall not interfere in any way with Grantee’s right or the right of any Service Recipient to terminate Grantee’s relationship as a service provider, subject to applicable law, which termination, unless provided otherwise under applicable law or written agreement between Grantee and the Service Recipient, may be at any time, with or without cause.</w:t>
      </w:r>
    </w:p>
    <w:p>
      <w:pPr>
        <w:spacing w:after="0" w:line="49" w:lineRule="exact"/>
        <w:rPr>
          <w:sz w:val="20"/>
          <w:szCs w:val="20"/>
          <w:color w:val="auto"/>
        </w:rPr>
      </w:pPr>
    </w:p>
    <w:p>
      <w:pPr>
        <w:ind w:right="180" w:firstLine="436"/>
        <w:spacing w:after="0" w:line="257" w:lineRule="auto"/>
        <w:tabs>
          <w:tab w:leader="none" w:pos="71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this Award of PSUs, Grantee acknowledges, understands and agrees that:</w:t>
      </w:r>
    </w:p>
    <w:p>
      <w:pPr>
        <w:spacing w:after="0" w:line="117" w:lineRule="exact"/>
        <w:rPr>
          <w:rFonts w:ascii="Arial" w:cs="Arial" w:eastAsia="Arial" w:hAnsi="Arial"/>
          <w:sz w:val="18"/>
          <w:szCs w:val="18"/>
          <w:color w:val="auto"/>
        </w:rPr>
      </w:pPr>
    </w:p>
    <w:p>
      <w:pPr>
        <w:ind w:right="20" w:firstLine="987"/>
        <w:spacing w:after="0" w:line="277" w:lineRule="auto"/>
        <w:tabs>
          <w:tab w:leader="none" w:pos="12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grant of the PSUs is voluntary and occasional and does not create any contractual or other right to receive future grants of PSUs, or benefits in lieu of PSUs, even if PSUs have been granted in the past;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decisions with respect to future PSUs or other grants, if any, will be at the sole discretion of the Administrator;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Grantee is voluntarily participating in the Plan;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PSUs and the Shares subject to the PSUs are not intended to replace any pension rights or compensation;</w:t>
      </w:r>
    </w:p>
    <w:p>
      <w:pPr>
        <w:spacing w:after="0" w:line="117" w:lineRule="exact"/>
        <w:rPr>
          <w:rFonts w:ascii="Arial" w:cs="Arial" w:eastAsia="Arial" w:hAnsi="Arial"/>
          <w:sz w:val="18"/>
          <w:szCs w:val="18"/>
          <w:color w:val="auto"/>
        </w:rPr>
      </w:pPr>
    </w:p>
    <w:p>
      <w:pPr>
        <w:ind w:right="40" w:firstLine="987"/>
        <w:spacing w:after="0" w:line="263" w:lineRule="auto"/>
        <w:tabs>
          <w:tab w:leader="none" w:pos="12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PSUs and the Shares subject to the PSUs,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75" w:lineRule="exact"/>
        <w:rPr>
          <w:rFonts w:ascii="Arial" w:cs="Arial" w:eastAsia="Arial" w:hAnsi="Arial"/>
          <w:sz w:val="18"/>
          <w:szCs w:val="18"/>
          <w:color w:val="auto"/>
        </w:rPr>
      </w:pPr>
    </w:p>
    <w:p>
      <w:pPr>
        <w:ind w:left="1220" w:hanging="233"/>
        <w:spacing w:after="0"/>
        <w:tabs>
          <w:tab w:leader="none" w:pos="1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future value of the Shares underlying the PSUs is unknown, indeterminable, and cannot be predicted with certainty;</w:t>
      </w:r>
    </w:p>
    <w:p>
      <w:pPr>
        <w:spacing w:after="0" w:line="117" w:lineRule="exact"/>
        <w:rPr>
          <w:rFonts w:ascii="Arial" w:cs="Arial" w:eastAsia="Arial" w:hAnsi="Arial"/>
          <w:sz w:val="18"/>
          <w:szCs w:val="18"/>
          <w:color w:val="auto"/>
        </w:rPr>
      </w:pPr>
    </w:p>
    <w:p>
      <w:pPr>
        <w:ind w:firstLine="987"/>
        <w:spacing w:after="0" w:line="272" w:lineRule="auto"/>
        <w:tabs>
          <w:tab w:leader="none" w:pos="1246" w:val="left"/>
        </w:tabs>
        <w:numPr>
          <w:ilvl w:val="1"/>
          <w:numId w:val="10"/>
        </w:numPr>
        <w:rPr>
          <w:rFonts w:ascii="Arial" w:cs="Arial" w:eastAsia="Arial" w:hAnsi="Arial"/>
          <w:sz w:val="17"/>
          <w:szCs w:val="17"/>
          <w:color w:val="auto"/>
        </w:rPr>
      </w:pPr>
      <w:r>
        <w:rPr>
          <w:rFonts w:ascii="Arial" w:cs="Arial" w:eastAsia="Arial" w:hAnsi="Arial"/>
          <w:sz w:val="17"/>
          <w:szCs w:val="17"/>
          <w:color w:val="auto"/>
        </w:rPr>
        <w:t>for purposes of the PSUs, Grantee’s status as a Service Provider will be considered terminated as of the date Grantee is no longer actively providing services to the Company or any Parent or Subsidiary (regardless of the reason for such termination and whether or not later found to be invalid or in breach of employment laws in the jurisdiction where Grantee is a Service Provider or the terms of Grantee’s employment or service agreement, if any), and unless otherwise expressly provided in this Award Agreement (including by reference in the Notice of Grant to other arrangements or contracts) or determined by the Committee, Grantee’s right to vest in the PSUs under the Plan, if any, will terminate as of such date and will not be extended by any notice period (e.g., Grantee’s period of service would not include any contractual notice period or any period of “garden leave” or similar period mandated under employment laws in the jurisdiction where Grantee is a</w:t>
      </w:r>
    </w:p>
    <w:p>
      <w:pPr>
        <w:sectPr>
          <w:pgSz w:w="11900" w:h="16838" w:orient="portrait"/>
          <w:cols w:equalWidth="0" w:num="1">
            <w:col w:w="10960"/>
          </w:cols>
          <w:pgMar w:left="440" w:top="274" w:right="499" w:bottom="1440" w:gutter="0" w:footer="0" w:header="0"/>
        </w:sectPr>
      </w:pPr>
    </w:p>
    <w:bookmarkStart w:id="11" w:name="page12"/>
    <w:bookmarkEnd w:id="11"/>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Provider or the terms of Grantee’s employment or service agreement, if any, unless Grantee is providing bona fide services during such time); the Committee shall have the exclusive discretion to determine when Grantee is no longer actively providing services for purposes of this Award of PSUs (including whether Grantee may still be considered to be providing services while on a leave of absence and consistent with local law). Further, for the avoidance of doubt, Grantee shall not be entitled to any pro rata vesting of any PSUs should Grantee’s status as a Service Provider cease before the PSUs have fully vested (e.g., if Grantee’s status as a Service Provider ceases on March 1 before all of the PSUs have vested, Grantee shall not be entitled to any vesting of the PSUs that were scheduled to vest on the immediately following vesting date of March 10);</w:t>
      </w:r>
    </w:p>
    <w:p>
      <w:pPr>
        <w:spacing w:after="0" w:line="56" w:lineRule="exact"/>
        <w:rPr>
          <w:sz w:val="20"/>
          <w:szCs w:val="20"/>
          <w:color w:val="auto"/>
        </w:rPr>
      </w:pPr>
    </w:p>
    <w:p>
      <w:pPr>
        <w:ind w:right="440" w:firstLine="987"/>
        <w:spacing w:after="0" w:line="263" w:lineRule="auto"/>
        <w:tabs>
          <w:tab w:leader="none" w:pos="12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PSUs and the benefits evidenced by this Award Agreement do not create any entitlement to have the PSUs or any such benefits transferred to, or assumed by, another company nor be exchanged, cashed out or substituted for, in connection with any corporate transaction affecting the Shares; and</w:t>
      </w:r>
    </w:p>
    <w:p>
      <w:pPr>
        <w:spacing w:after="0" w:line="75" w:lineRule="exact"/>
        <w:rPr>
          <w:rFonts w:ascii="Arial" w:cs="Arial" w:eastAsia="Arial" w:hAnsi="Arial"/>
          <w:sz w:val="18"/>
          <w:szCs w:val="18"/>
          <w:color w:val="auto"/>
        </w:rPr>
      </w:pPr>
    </w:p>
    <w:p>
      <w:pPr>
        <w:ind w:left="1200" w:hanging="213"/>
        <w:spacing w:after="0"/>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following provisions apply only if Grantee is providing services outside the United States:</w:t>
      </w:r>
    </w:p>
    <w:p>
      <w:pPr>
        <w:spacing w:after="0" w:line="117" w:lineRule="exact"/>
        <w:rPr>
          <w:rFonts w:ascii="Arial" w:cs="Arial" w:eastAsia="Arial" w:hAnsi="Arial"/>
          <w:sz w:val="18"/>
          <w:szCs w:val="18"/>
          <w:color w:val="auto"/>
        </w:rPr>
      </w:pPr>
    </w:p>
    <w:p>
      <w:pPr>
        <w:ind w:left="1640" w:hanging="212"/>
        <w:spacing w:after="0"/>
        <w:tabs>
          <w:tab w:leader="none" w:pos="1640" w:val="left"/>
        </w:tabs>
        <w:numPr>
          <w:ilvl w:val="2"/>
          <w:numId w:val="11"/>
        </w:numPr>
        <w:rPr>
          <w:rFonts w:ascii="Arial" w:cs="Arial" w:eastAsia="Arial" w:hAnsi="Arial"/>
          <w:sz w:val="17"/>
          <w:szCs w:val="17"/>
          <w:color w:val="auto"/>
        </w:rPr>
      </w:pPr>
      <w:r>
        <w:rPr>
          <w:rFonts w:ascii="Arial" w:cs="Arial" w:eastAsia="Arial" w:hAnsi="Arial"/>
          <w:sz w:val="17"/>
          <w:szCs w:val="17"/>
          <w:color w:val="auto"/>
        </w:rPr>
        <w:t>the PSUs and the Shares subject to the PSUs are not part of normal or expected compensation or salary for any purpose;</w:t>
      </w:r>
    </w:p>
    <w:p>
      <w:pPr>
        <w:spacing w:after="0" w:line="128" w:lineRule="exact"/>
        <w:rPr>
          <w:rFonts w:ascii="Arial" w:cs="Arial" w:eastAsia="Arial" w:hAnsi="Arial"/>
          <w:sz w:val="17"/>
          <w:szCs w:val="17"/>
          <w:color w:val="auto"/>
        </w:rPr>
      </w:pPr>
    </w:p>
    <w:p>
      <w:pPr>
        <w:ind w:right="40" w:firstLine="1428"/>
        <w:spacing w:after="0" w:line="263" w:lineRule="auto"/>
        <w:tabs>
          <w:tab w:leader="none" w:pos="1697" w:val="left"/>
        </w:tabs>
        <w:numPr>
          <w:ilvl w:val="2"/>
          <w:numId w:val="11"/>
        </w:numPr>
        <w:rPr>
          <w:rFonts w:ascii="Arial" w:cs="Arial" w:eastAsia="Arial" w:hAnsi="Arial"/>
          <w:sz w:val="18"/>
          <w:szCs w:val="18"/>
          <w:color w:val="auto"/>
        </w:rPr>
      </w:pPr>
      <w:r>
        <w:rPr>
          <w:rFonts w:ascii="Arial" w:cs="Arial" w:eastAsia="Arial" w:hAnsi="Arial"/>
          <w:sz w:val="18"/>
          <w:szCs w:val="18"/>
          <w:color w:val="auto"/>
        </w:rPr>
        <w:t>Grantee acknowledges and agrees that no Service Recipient shall be liable for any foreign exchange rate fluctuation between Grantee’s local currency and the United States Dollar that may affect the value of the PSUs or of any amounts due to Grantee pursuant to the settlement of the PSUs or the subsequent sale of any Shares acquired upon settlement; and</w:t>
      </w:r>
    </w:p>
    <w:p>
      <w:pPr>
        <w:spacing w:after="0" w:line="75" w:lineRule="exact"/>
        <w:rPr>
          <w:rFonts w:ascii="Arial" w:cs="Arial" w:eastAsia="Arial" w:hAnsi="Arial"/>
          <w:sz w:val="18"/>
          <w:szCs w:val="18"/>
          <w:color w:val="auto"/>
        </w:rPr>
      </w:pPr>
    </w:p>
    <w:p>
      <w:pPr>
        <w:ind w:firstLine="1428"/>
        <w:spacing w:after="0" w:line="291" w:lineRule="auto"/>
        <w:tabs>
          <w:tab w:leader="none" w:pos="1747" w:val="left"/>
        </w:tabs>
        <w:numPr>
          <w:ilvl w:val="2"/>
          <w:numId w:val="11"/>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PSUs resulting from the termination of Grantee’s status as a Service Provider (for any reason whatsoever whether or not later found to be invalid or in breach of employment laws in the jurisdiction where Grantee is a Service Provider or the terms of Grantee’s employment or service agreement, if any), and in consideration of the grant of the PSUs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Grantee shall be deemed irrevocably to have agreed not to pursue such claim and agrees to execute any and all documents necessary to request dismissal or withdrawal of such claim.</w:t>
      </w:r>
    </w:p>
    <w:p>
      <w:pPr>
        <w:spacing w:after="0" w:line="58" w:lineRule="exact"/>
        <w:rPr>
          <w:rFonts w:ascii="Arial" w:cs="Arial" w:eastAsia="Arial" w:hAnsi="Arial"/>
          <w:sz w:val="16"/>
          <w:szCs w:val="16"/>
          <w:color w:val="auto"/>
        </w:rPr>
      </w:pPr>
    </w:p>
    <w:p>
      <w:pPr>
        <w:ind w:right="240" w:firstLine="436"/>
        <w:spacing w:after="0" w:line="259" w:lineRule="auto"/>
        <w:tabs>
          <w:tab w:leader="none" w:pos="71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Grantee’s participation in the Plan, or Grantee’s acquisition or sale of the Shares underlying the PSUs. Grantee is hereby advised to consult with his or her own personal tax, legal and financial advisers regarding his or her participation in the Plan before taking any action related to the Plan.</w:t>
      </w:r>
    </w:p>
    <w:p>
      <w:pPr>
        <w:spacing w:after="0" w:line="78" w:lineRule="exact"/>
        <w:rPr>
          <w:rFonts w:ascii="Arial" w:cs="Arial" w:eastAsia="Arial" w:hAnsi="Arial"/>
          <w:sz w:val="18"/>
          <w:szCs w:val="18"/>
          <w:color w:val="auto"/>
        </w:rPr>
      </w:pPr>
    </w:p>
    <w:p>
      <w:pPr>
        <w:ind w:right="180" w:firstLine="436"/>
        <w:spacing w:after="0" w:line="286" w:lineRule="auto"/>
        <w:tabs>
          <w:tab w:leader="none" w:pos="71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Grantee hereby explicitly and unambiguously consents to the collection, use and transfer, in electronic or other form, of Grantee’s personal data as described in this Award Agreement and any other PSU grant materials by and among, as applicable, the Service Recipients for the exclusive purpose of implementing, administering and managing Grantee’s participation in the Plan.</w:t>
      </w:r>
    </w:p>
    <w:p>
      <w:pPr>
        <w:sectPr>
          <w:pgSz w:w="11900" w:h="16838" w:orient="portrait"/>
          <w:cols w:equalWidth="0" w:num="1">
            <w:col w:w="10960"/>
          </w:cols>
          <w:pgMar w:left="440" w:top="274" w:right="499" w:bottom="1440" w:gutter="0" w:footer="0" w:header="0"/>
        </w:sectPr>
      </w:pPr>
    </w:p>
    <w:bookmarkStart w:id="12" w:name="page13"/>
    <w:bookmarkEnd w:id="12"/>
    <w:p>
      <w:pPr>
        <w:ind w:right="10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PSUs or any other entitlement to Shares awarded, canceled, exercised, vested, unvested or outstanding in Grantee’s favor (“</w:t>
      </w:r>
      <w:r>
        <w:rPr>
          <w:rFonts w:ascii="Arial" w:cs="Arial" w:eastAsia="Arial" w:hAnsi="Arial"/>
          <w:sz w:val="16"/>
          <w:szCs w:val="16"/>
          <w:u w:val="single" w:color="auto"/>
          <w:color w:val="auto"/>
        </w:rPr>
        <w:t>Data</w:t>
      </w:r>
      <w:r>
        <w:rPr>
          <w:rFonts w:ascii="Arial" w:cs="Arial" w:eastAsia="Arial" w:hAnsi="Arial"/>
          <w:sz w:val="16"/>
          <w:szCs w:val="16"/>
          <w:color w:val="auto"/>
        </w:rPr>
        <w:t>”), for the exclusive purpose of implementing, administering and managing the Plan.</w:t>
      </w:r>
    </w:p>
    <w:p>
      <w:pPr>
        <w:spacing w:after="0" w:line="15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Grantee understands that Data may be transferred to a stock plan service provider, as may be selected by the Company in the future, assisting the Company with the implementation, administration and management of the Plan.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status as a Service Provider and career with the Service Recipient will not be adversely affected. The only adverse consequence of refusing or withdrawing Grantee’s consent is that the Company would not be able to grant Grantee PSUs or other equity awards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spacing w:after="0" w:line="66" w:lineRule="exact"/>
        <w:rPr>
          <w:sz w:val="20"/>
          <w:szCs w:val="20"/>
          <w:color w:val="auto"/>
        </w:rPr>
      </w:pPr>
    </w:p>
    <w:p>
      <w:pPr>
        <w:ind w:right="240" w:firstLine="436"/>
        <w:spacing w:after="0" w:line="263" w:lineRule="auto"/>
        <w:tabs>
          <w:tab w:leader="none" w:pos="71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at Bakkt Holdings, Inc., 10000 Avalon Boulevard, Suite 1000, Alpharetta, Georgia 30009, or at such other address as the Company may hereafter designate in writing.</w:t>
      </w:r>
    </w:p>
    <w:p>
      <w:pPr>
        <w:spacing w:after="0" w:line="75" w:lineRule="exact"/>
        <w:rPr>
          <w:rFonts w:ascii="Arial" w:cs="Arial" w:eastAsia="Arial" w:hAnsi="Arial"/>
          <w:sz w:val="18"/>
          <w:szCs w:val="18"/>
          <w:color w:val="auto"/>
        </w:rPr>
      </w:pPr>
    </w:p>
    <w:p>
      <w:pPr>
        <w:ind w:right="260" w:firstLine="436"/>
        <w:spacing w:after="0" w:line="279" w:lineRule="auto"/>
        <w:tabs>
          <w:tab w:leader="none" w:pos="71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ectPr>
          <w:pgSz w:w="11900" w:h="16838" w:orient="portrait"/>
          <w:cols w:equalWidth="0" w:num="1">
            <w:col w:w="11000"/>
          </w:cols>
          <w:pgMar w:left="440" w:top="274" w:right="459" w:bottom="1440" w:gutter="0" w:footer="0" w:header="0"/>
        </w:sectPr>
      </w:pPr>
    </w:p>
    <w:bookmarkStart w:id="13" w:name="page14"/>
    <w:bookmarkEnd w:id="13"/>
    <w:p>
      <w:pPr>
        <w:ind w:left="-436" w:firstLine="436"/>
        <w:spacing w:after="0" w:line="269" w:lineRule="auto"/>
        <w:tabs>
          <w:tab w:leader="none" w:pos="27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PSUs as the Committee may establish from time to time for reasons of administrative convenience.</w:t>
      </w:r>
    </w:p>
    <w:p>
      <w:pPr>
        <w:spacing w:after="0" w:line="77" w:lineRule="exact"/>
        <w:rPr>
          <w:rFonts w:ascii="Arial" w:cs="Arial" w:eastAsia="Arial" w:hAnsi="Arial"/>
          <w:sz w:val="17"/>
          <w:szCs w:val="17"/>
          <w:color w:val="auto"/>
        </w:rPr>
      </w:pPr>
    </w:p>
    <w:p>
      <w:pPr>
        <w:ind w:left="-436" w:right="480" w:firstLine="436"/>
        <w:spacing w:after="0" w:line="308" w:lineRule="auto"/>
        <w:tabs>
          <w:tab w:leader="none" w:pos="27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38" w:lineRule="exact"/>
        <w:rPr>
          <w:rFonts w:ascii="Arial" w:cs="Arial" w:eastAsia="Arial" w:hAnsi="Arial"/>
          <w:sz w:val="17"/>
          <w:szCs w:val="17"/>
          <w:color w:val="auto"/>
        </w:rPr>
      </w:pPr>
    </w:p>
    <w:p>
      <w:pPr>
        <w:ind w:left="-436" w:right="40" w:firstLine="436"/>
        <w:spacing w:after="0" w:line="255" w:lineRule="auto"/>
        <w:tabs>
          <w:tab w:leader="none" w:pos="27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84" w:lineRule="exact"/>
        <w:rPr>
          <w:rFonts w:ascii="Arial" w:cs="Arial" w:eastAsia="Arial" w:hAnsi="Arial"/>
          <w:sz w:val="18"/>
          <w:szCs w:val="18"/>
          <w:color w:val="auto"/>
        </w:rPr>
      </w:pPr>
    </w:p>
    <w:p>
      <w:pPr>
        <w:ind w:left="-436" w:right="40" w:firstLine="436"/>
        <w:spacing w:after="0" w:line="279" w:lineRule="auto"/>
        <w:tabs>
          <w:tab w:leader="none" w:pos="27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the PSUs awarded under the Plan or future PSUs that may be awarded under the Plan by electronic means or require Grantee to participate in the Plan by electronic means. Grantee hereby consents to receive such documents by electronic delivery and agrees to participate in the Plan through any on-line or electronic system established and maintained by the Company or a third party designated by the Company.</w:t>
      </w:r>
    </w:p>
    <w:p>
      <w:pPr>
        <w:spacing w:after="0" w:line="63" w:lineRule="exact"/>
        <w:rPr>
          <w:rFonts w:ascii="Arial" w:cs="Arial" w:eastAsia="Arial" w:hAnsi="Arial"/>
          <w:sz w:val="17"/>
          <w:szCs w:val="17"/>
          <w:color w:val="auto"/>
        </w:rPr>
      </w:pPr>
    </w:p>
    <w:p>
      <w:pPr>
        <w:ind w:left="-436" w:right="320" w:firstLine="436"/>
        <w:spacing w:after="0" w:line="277" w:lineRule="auto"/>
        <w:tabs>
          <w:tab w:leader="none" w:pos="27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provided herein are for convenience only and are not to serve as a basis for interpretation or construction of this Award Agreement.</w:t>
      </w:r>
    </w:p>
    <w:p>
      <w:pPr>
        <w:spacing w:after="0" w:line="62" w:lineRule="exact"/>
        <w:rPr>
          <w:rFonts w:ascii="Arial" w:cs="Arial" w:eastAsia="Arial" w:hAnsi="Arial"/>
          <w:sz w:val="18"/>
          <w:szCs w:val="18"/>
          <w:color w:val="auto"/>
        </w:rPr>
      </w:pPr>
    </w:p>
    <w:p>
      <w:pPr>
        <w:ind w:left="-436" w:right="340" w:firstLine="436"/>
        <w:spacing w:after="0" w:line="263" w:lineRule="auto"/>
        <w:tabs>
          <w:tab w:leader="none" w:pos="27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Grantee expressly warrants that he or she has received an Award of PSUs under the Plan, and has received, read and understood a description of the Plan. Grantee understands that the Plan is discretionary in nature and may be amended, suspended or terminated by the Committee at any time.</w:t>
      </w:r>
    </w:p>
    <w:p>
      <w:pPr>
        <w:spacing w:after="0" w:line="75" w:lineRule="exact"/>
        <w:rPr>
          <w:rFonts w:ascii="Arial" w:cs="Arial" w:eastAsia="Arial" w:hAnsi="Arial"/>
          <w:sz w:val="18"/>
          <w:szCs w:val="18"/>
          <w:color w:val="auto"/>
        </w:rPr>
      </w:pPr>
    </w:p>
    <w:p>
      <w:pPr>
        <w:ind w:left="-436" w:right="60" w:firstLine="436"/>
        <w:spacing w:after="0" w:line="255" w:lineRule="auto"/>
        <w:tabs>
          <w:tab w:leader="none" w:pos="27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Country Addendum</w:t>
      </w:r>
      <w:r>
        <w:rPr>
          <w:rFonts w:ascii="Arial" w:cs="Arial" w:eastAsia="Arial" w:hAnsi="Arial"/>
          <w:sz w:val="18"/>
          <w:szCs w:val="18"/>
          <w:color w:val="auto"/>
        </w:rPr>
        <w:t>. Notwithstanding any provisions in this Award Agreement, the PSU grant shall be subject to any special terms and conditions set forth in an appendix (if any) to this Award Agreement for any country whose laws are applicable to Grantee and this Award of PSUs (as determined by the Committee in its sole discretion) (the “</w:t>
      </w:r>
      <w:r>
        <w:rPr>
          <w:rFonts w:ascii="Arial" w:cs="Arial" w:eastAsia="Arial" w:hAnsi="Arial"/>
          <w:sz w:val="18"/>
          <w:szCs w:val="18"/>
          <w:u w:val="single" w:color="auto"/>
          <w:color w:val="auto"/>
        </w:rPr>
        <w:t>Country Addendum</w:t>
      </w:r>
      <w:r>
        <w:rPr>
          <w:rFonts w:ascii="Arial" w:cs="Arial" w:eastAsia="Arial" w:hAnsi="Arial"/>
          <w:sz w:val="18"/>
          <w:szCs w:val="18"/>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ectPr>
          <w:pgSz w:w="11900" w:h="16838" w:orient="portrait"/>
          <w:cols w:equalWidth="0" w:num="1">
            <w:col w:w="10564"/>
          </w:cols>
          <w:pgMar w:left="876" w:top="274" w:right="459" w:bottom="1440" w:gutter="0" w:footer="0" w:header="0"/>
        </w:sectPr>
      </w:pPr>
    </w:p>
    <w:bookmarkStart w:id="14" w:name="page15"/>
    <w:bookmarkEnd w:id="14"/>
    <w:p>
      <w:pPr>
        <w:ind w:left="-436" w:right="20" w:firstLine="436"/>
        <w:spacing w:after="0" w:line="293" w:lineRule="auto"/>
        <w:tabs>
          <w:tab w:leader="none" w:pos="27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Modifications to the Award Agreement</w:t>
      </w:r>
      <w:r>
        <w:rPr>
          <w:rFonts w:ascii="Arial" w:cs="Arial" w:eastAsia="Arial" w:hAnsi="Arial"/>
          <w:sz w:val="16"/>
          <w:szCs w:val="16"/>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PSUs.</w:t>
      </w:r>
    </w:p>
    <w:p>
      <w:pPr>
        <w:spacing w:after="0" w:line="56" w:lineRule="exact"/>
        <w:rPr>
          <w:rFonts w:ascii="Arial" w:cs="Arial" w:eastAsia="Arial" w:hAnsi="Arial"/>
          <w:sz w:val="16"/>
          <w:szCs w:val="16"/>
          <w:color w:val="auto"/>
        </w:rPr>
      </w:pPr>
    </w:p>
    <w:p>
      <w:pPr>
        <w:ind w:left="-436" w:firstLine="436"/>
        <w:spacing w:after="0" w:line="259" w:lineRule="auto"/>
        <w:tabs>
          <w:tab w:leader="none" w:pos="27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78" w:lineRule="exact"/>
        <w:rPr>
          <w:rFonts w:ascii="Arial" w:cs="Arial" w:eastAsia="Arial" w:hAnsi="Arial"/>
          <w:sz w:val="18"/>
          <w:szCs w:val="18"/>
          <w:color w:val="auto"/>
        </w:rPr>
      </w:pPr>
    </w:p>
    <w:p>
      <w:pPr>
        <w:ind w:left="-436" w:right="240" w:firstLine="436"/>
        <w:spacing w:after="0" w:line="263" w:lineRule="auto"/>
        <w:tabs>
          <w:tab w:leader="none" w:pos="27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Award Agreement and the PSUs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75" w:lineRule="exact"/>
        <w:rPr>
          <w:rFonts w:ascii="Arial" w:cs="Arial" w:eastAsia="Arial" w:hAnsi="Arial"/>
          <w:sz w:val="18"/>
          <w:szCs w:val="18"/>
          <w:color w:val="auto"/>
        </w:rPr>
      </w:pPr>
    </w:p>
    <w:p>
      <w:pPr>
        <w:ind w:left="-436" w:right="20" w:firstLine="436"/>
        <w:spacing w:after="0" w:line="279" w:lineRule="auto"/>
        <w:tabs>
          <w:tab w:leader="none" w:pos="274"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171" w:lineRule="exact"/>
        <w:rPr>
          <w:rFonts w:ascii="Arial" w:cs="Arial" w:eastAsia="Arial" w:hAnsi="Arial"/>
          <w:sz w:val="17"/>
          <w:szCs w:val="17"/>
          <w:color w:val="auto"/>
        </w:rPr>
      </w:pPr>
    </w:p>
    <w:p>
      <w:pPr>
        <w:ind w:left="4184"/>
        <w:spacing w:after="0"/>
        <w:rPr>
          <w:rFonts w:ascii="Arial" w:cs="Arial" w:eastAsia="Arial" w:hAnsi="Arial"/>
          <w:sz w:val="17"/>
          <w:szCs w:val="17"/>
          <w:color w:val="auto"/>
        </w:rPr>
      </w:pPr>
      <w:r>
        <w:rPr>
          <w:rFonts w:ascii="Arial" w:cs="Arial" w:eastAsia="Arial" w:hAnsi="Arial"/>
          <w:sz w:val="18"/>
          <w:szCs w:val="18"/>
          <w:color w:val="auto"/>
        </w:rPr>
        <w:t>***</w:t>
      </w:r>
    </w:p>
    <w:p>
      <w:pPr>
        <w:sectPr>
          <w:pgSz w:w="11900" w:h="16838" w:orient="portrait"/>
          <w:cols w:equalWidth="0" w:num="1">
            <w:col w:w="10564"/>
          </w:cols>
          <w:pgMar w:left="876" w:top="274" w:right="4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OMNIBUS EMPLOYEE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COUNTRY ADDENDUM TO PERFORMANCE UNIT AGREEMENT</w:t>
      </w:r>
    </w:p>
    <w:p>
      <w:pPr>
        <w:spacing w:after="0" w:line="229"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Unless otherwise defined herein, capitalized terms used in this Country Addendum to Performance Unit Agreement (the “</w:t>
      </w:r>
      <w:r>
        <w:rPr>
          <w:rFonts w:ascii="Arial" w:cs="Arial" w:eastAsia="Arial" w:hAnsi="Arial"/>
          <w:sz w:val="18"/>
          <w:szCs w:val="18"/>
          <w:u w:val="single" w:color="auto"/>
          <w:color w:val="auto"/>
        </w:rPr>
        <w:t>Country Addendum</w:t>
      </w:r>
      <w:r>
        <w:rPr>
          <w:rFonts w:ascii="Arial" w:cs="Arial" w:eastAsia="Arial" w:hAnsi="Arial"/>
          <w:sz w:val="18"/>
          <w:szCs w:val="18"/>
          <w:color w:val="auto"/>
        </w:rPr>
        <w:t>”) will be ascribed the same defined meanings as set forth in the Performance Unit Agreement of which this Country Addendum forms a part (or the Plan or other written agreement as specified in the Performance Unit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jc w:val="both"/>
        <w:ind w:right="40" w:firstLine="440"/>
        <w:spacing w:after="0" w:line="301" w:lineRule="auto"/>
        <w:rPr>
          <w:sz w:val="20"/>
          <w:szCs w:val="20"/>
          <w:color w:val="auto"/>
        </w:rPr>
      </w:pPr>
      <w:r>
        <w:rPr>
          <w:rFonts w:ascii="Arial" w:cs="Arial" w:eastAsia="Arial" w:hAnsi="Arial"/>
          <w:sz w:val="16"/>
          <w:szCs w:val="16"/>
          <w:color w:val="auto"/>
        </w:rPr>
        <w:t>This Country Addendum includes additional terms and conditions that govern the Award of PSUs granted to Grantee under the Plan to the extent Grantee resides and/or works in one of the countries listed below. If Grantee is a citizen or resident (or is considered as such for local law purposes) of a country other than the country in which Grantee is currently residing and/or working, or if Grantee relocates to another country after the Award of PSUs is granted, the Company, in its discretion, will determine to what extent the terms and conditions contained herein will apply to Grantee.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This Country Addendum also may include information regarding exchange controls and certain other issues of which Grantee should be aware with respect to Grantee’s participation in the Plan. The information is based on the securities, exchange control and other applicable legal and regulatory</w:t>
      </w:r>
    </w:p>
    <w:p>
      <w:pPr>
        <w:ind w:right="80"/>
        <w:spacing w:after="0" w:line="253" w:lineRule="auto"/>
        <w:rPr>
          <w:sz w:val="20"/>
          <w:szCs w:val="20"/>
          <w:color w:val="auto"/>
        </w:rPr>
      </w:pPr>
      <w:r>
        <w:rPr>
          <w:rFonts w:ascii="Arial" w:cs="Arial" w:eastAsia="Arial" w:hAnsi="Arial"/>
          <w:sz w:val="18"/>
          <w:szCs w:val="18"/>
          <w:color w:val="auto"/>
        </w:rPr>
        <w:t>requirements in effect in the respective countries as of [ ], 2022. Such applicable legal and regulatory requirements often are complex and change frequently. As a result, the Company strongly recommends that Grantee not rely on the information in this Country Addendum as the only source of information relating to the consequences of Grantee’s participation in the Plan because the information may be out of date at the time Grantee vests in or receives or sells the Shares covered by the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-441960</wp:posOffset>
            </wp:positionV>
            <wp:extent cx="4572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73"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In addition, the information contained in this Country Addendum is general in nature and may not apply to Grantee’s particular situation, and the Company is not in a position to assure Grantee of any particular result. Grantee should seek appropriate professional advice as to how the applicable legal and regulatory requirements in Grantee’s country may apply to his or her situation.</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Finally, if Grantee is a citizen or resident of a country other than the one in which Grantee currently is residing and/or working, transfers residence and/or employment to another country after the grant of the PSUs, or is considered a resident of another country for local law purposes, the information in this Country Addendum may not apply to Grantee in the same manner.</w:t>
      </w:r>
    </w:p>
    <w:p>
      <w:pPr>
        <w:sectPr>
          <w:pgSz w:w="11900" w:h="16838" w:orient="portrait"/>
          <w:cols w:equalWidth="0" w:num="1">
            <w:col w:w="10980"/>
          </w:cols>
          <w:pgMar w:left="440" w:top="270" w:right="4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VESTING TERMS</w:t>
      </w:r>
    </w:p>
    <w:p>
      <w:pPr>
        <w:sectPr>
          <w:pgSz w:w="11900" w:h="16838" w:orient="portrait"/>
          <w:cols w:equalWidth="0" w:num="1">
            <w:col w:w="9019"/>
          </w:cols>
          <w:pgMar w:left="1440" w:top="270"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EMPLOYEE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UNIT GRANT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Unless otherwise defined herein, the terms defined in the Bakkt Holdings, Inc. 2021 Omnibus Employee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will have the same meanings in this Restricted Stock Unit Agreement which includes the Notice of Restricted Stock Unit Grant (the “</w:t>
      </w:r>
      <w:r>
        <w:rPr>
          <w:rFonts w:ascii="Arial" w:cs="Arial" w:eastAsia="Arial" w:hAnsi="Arial"/>
          <w:sz w:val="18"/>
          <w:szCs w:val="18"/>
          <w:u w:val="single" w:color="auto"/>
          <w:color w:val="auto"/>
        </w:rPr>
        <w:t>Notice of Grant</w:t>
      </w:r>
      <w:r>
        <w:rPr>
          <w:rFonts w:ascii="Arial" w:cs="Arial" w:eastAsia="Arial" w:hAnsi="Arial"/>
          <w:sz w:val="18"/>
          <w:szCs w:val="18"/>
          <w:color w:val="auto"/>
        </w:rPr>
        <w:t xml:space="preserve">”), the Terms and Conditions of Restricted Stock Unit Grant,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all other exhibits, appendices, and addenda attached hereto (the “</w:t>
      </w:r>
      <w:r>
        <w:rPr>
          <w:rFonts w:ascii="Arial" w:cs="Arial" w:eastAsia="Arial" w:hAnsi="Arial"/>
          <w:sz w:val="18"/>
          <w:szCs w:val="18"/>
          <w:u w:val="single" w:color="auto"/>
          <w:color w:val="auto"/>
        </w:rPr>
        <w:t>Award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14605</wp:posOffset>
            </wp:positionV>
            <wp:extent cx="41573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6"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The undersigned Grantee has been granted an Award of Restricted Stock Units, subject to the terms and conditions of the Plan and this Award Agreement, as follows: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14605</wp:posOffset>
            </wp:positionV>
            <wp:extent cx="41573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14605</wp:posOffset>
            </wp:positionV>
            <wp:extent cx="41573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57345"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14605</wp:posOffset>
            </wp:positionV>
            <wp:extent cx="41573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14605</wp:posOffset>
            </wp:positionV>
            <wp:extent cx="41573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573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Subject to the last sentence of this paragraph: one hundred percent (100%) of the Restricted Stock Units will vest on the date of the Company’s next annual meeting of stockholders after the Date of Grant. Vesting is subject to the Grantee continuing to be a Non-Employee Director of the Company (a “</w:t>
      </w:r>
      <w:r>
        <w:rPr>
          <w:rFonts w:ascii="Arial" w:cs="Arial" w:eastAsia="Arial" w:hAnsi="Arial"/>
          <w:sz w:val="18"/>
          <w:szCs w:val="18"/>
          <w:u w:val="single" w:color="auto"/>
          <w:color w:val="auto"/>
        </w:rPr>
        <w:t>Service Provider</w:t>
      </w:r>
      <w:r>
        <w:rPr>
          <w:rFonts w:ascii="Arial" w:cs="Arial" w:eastAsia="Arial" w:hAnsi="Arial"/>
          <w:sz w:val="18"/>
          <w:szCs w:val="18"/>
          <w:color w:val="auto"/>
        </w:rPr>
        <w:t>”) through such date.</w:t>
      </w:r>
    </w:p>
    <w:p>
      <w:pPr>
        <w:sectPr>
          <w:pgSz w:w="11900" w:h="16838" w:orient="portrait"/>
          <w:cols w:equalWidth="0" w:num="1">
            <w:col w:w="11020"/>
          </w:cols>
          <w:pgMar w:left="440" w:top="125" w:right="439" w:bottom="1440" w:gutter="0" w:footer="0" w:header="0"/>
        </w:sectPr>
      </w:pPr>
    </w:p>
    <w:bookmarkStart w:id="18" w:name="page19"/>
    <w:bookmarkEnd w:id="18"/>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Grantee’s signature and the signature of the representative of the Company below, Grantee and the Company 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pacing w:after="0" w:line="219"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GRANTEE</w:t>
      </w:r>
      <w:r>
        <w:rPr>
          <w:sz w:val="20"/>
          <w:szCs w:val="20"/>
          <w:color w:val="auto"/>
        </w:rPr>
        <w:tab/>
      </w:r>
      <w:r>
        <w:rPr>
          <w:rFonts w:ascii="Arial" w:cs="Arial" w:eastAsia="Arial" w:hAnsi="Arial"/>
          <w:sz w:val="18"/>
          <w:szCs w:val="18"/>
          <w:color w:val="auto"/>
        </w:rPr>
        <w:t>BAKKT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6995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34290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Grantee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1399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995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576580</wp:posOffset>
            </wp:positionV>
            <wp:extent cx="13995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995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859790</wp:posOffset>
            </wp:positionV>
            <wp:extent cx="13995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995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1142365</wp:posOffset>
            </wp:positionV>
            <wp:extent cx="13995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3214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32"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175260</wp:posOffset>
            </wp:positionV>
            <wp:extent cx="32143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610" w:lineRule="exact"/>
        <w:rPr>
          <w:sz w:val="20"/>
          <w:szCs w:val="20"/>
          <w:color w:val="auto"/>
        </w:rPr>
      </w:pPr>
    </w:p>
    <w:p>
      <w:pPr>
        <w:sectPr>
          <w:pgSz w:w="11900" w:h="16838" w:orient="portrait"/>
          <w:cols w:equalWidth="0" w:num="2">
            <w:col w:w="5220" w:space="720"/>
            <w:col w:w="5060"/>
          </w:cols>
          <w:pgMar w:left="440" w:top="27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11000"/>
          </w:cols>
          <w:pgMar w:left="440" w:top="274" w:right="45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EMPLOYEE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RESTRICTED STOCK UNIT GRANT</w:t>
      </w:r>
    </w:p>
    <w:p>
      <w:pPr>
        <w:spacing w:after="0" w:line="229" w:lineRule="exact"/>
        <w:rPr>
          <w:sz w:val="20"/>
          <w:szCs w:val="20"/>
          <w:color w:val="auto"/>
        </w:rPr>
      </w:pPr>
    </w:p>
    <w:p>
      <w:pPr>
        <w:ind w:right="140" w:firstLine="436"/>
        <w:spacing w:after="0" w:line="27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The Company hereby grants to the individual (“</w:t>
      </w:r>
      <w:r>
        <w:rPr>
          <w:rFonts w:ascii="Arial" w:cs="Arial" w:eastAsia="Arial" w:hAnsi="Arial"/>
          <w:sz w:val="17"/>
          <w:szCs w:val="17"/>
          <w:u w:val="single" w:color="auto"/>
          <w:color w:val="auto"/>
        </w:rPr>
        <w:t>Grantee</w:t>
      </w:r>
      <w:r>
        <w:rPr>
          <w:rFonts w:ascii="Arial" w:cs="Arial" w:eastAsia="Arial" w:hAnsi="Arial"/>
          <w:sz w:val="17"/>
          <w:szCs w:val="17"/>
          <w:color w:val="auto"/>
        </w:rPr>
        <w:t>”) named in the Notice of Restricted Stock Unit Grant of this Award Agreement (the “</w:t>
      </w:r>
      <w:r>
        <w:rPr>
          <w:rFonts w:ascii="Arial" w:cs="Arial" w:eastAsia="Arial" w:hAnsi="Arial"/>
          <w:sz w:val="17"/>
          <w:szCs w:val="17"/>
          <w:u w:val="single" w:color="auto"/>
          <w:color w:val="auto"/>
        </w:rPr>
        <w:t>Notice of Grant</w:t>
      </w:r>
      <w:r>
        <w:rPr>
          <w:rFonts w:ascii="Arial" w:cs="Arial" w:eastAsia="Arial" w:hAnsi="Arial"/>
          <w:sz w:val="17"/>
          <w:szCs w:val="17"/>
          <w:color w:val="auto"/>
        </w:rPr>
        <w:t>”) under the Plan an Award of Restricted Stock Units, and subject to the terms and conditions of this Award Agreement and the Plan, which is incorporated herein by reference. Subject to Section 3.1 of the Plan, in the event of a conflict between the terms and conditions of the Plan and this Award Agreement, the terms and conditions of the Plan shall prevail.</w:t>
      </w:r>
    </w:p>
    <w:p>
      <w:pPr>
        <w:spacing w:after="0" w:line="171" w:lineRule="exact"/>
        <w:rPr>
          <w:rFonts w:ascii="Arial" w:cs="Arial" w:eastAsia="Arial" w:hAnsi="Arial"/>
          <w:sz w:val="17"/>
          <w:szCs w:val="17"/>
          <w:color w:val="auto"/>
        </w:rPr>
      </w:pPr>
    </w:p>
    <w:p>
      <w:pPr>
        <w:ind w:left="620" w:hanging="18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Company’s Obligation to Pay</w:t>
      </w:r>
      <w:r>
        <w:rPr>
          <w:rFonts w:ascii="Arial" w:cs="Arial" w:eastAsia="Arial" w:hAnsi="Arial"/>
          <w:sz w:val="17"/>
          <w:szCs w:val="17"/>
          <w:color w:val="auto"/>
        </w:rPr>
        <w:t>. Each Restricted Stock Unit represents the right to receive a share of Company Class A Common Stock (a</w:t>
      </w:r>
    </w:p>
    <w:p>
      <w:pPr>
        <w:spacing w:after="0" w:line="35"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on the date it vests. Unless and until a Restricted Stock Unit has vested in the manner set forth in Section 3 or 4, Grantee will have no right to payment of any such Restricted Stock Unit. Prior to actual payment of any vested Restricted Stock Units, such Restricted Stock Unit will represent an unsecured obligation of the Company, payable (if at all) only from the general assets of the Company.</w:t>
      </w:r>
    </w:p>
    <w:p>
      <w:pPr>
        <w:spacing w:after="0" w:line="173" w:lineRule="exact"/>
        <w:rPr>
          <w:sz w:val="20"/>
          <w:szCs w:val="20"/>
          <w:color w:val="auto"/>
        </w:rPr>
      </w:pPr>
    </w:p>
    <w:p>
      <w:pPr>
        <w:ind w:firstLine="436"/>
        <w:spacing w:after="0" w:line="255"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authorized by the Committee between Grantee and the Company or any Subsidiary of the Company, as applicable, governing the terms of this Award, Restricted Stock Units scheduled to vest on a certain date or upon the occurrence of a certain condition will not vest in accordance with any of the provisions of this Award Agreement, unless Grantee will have been continuously a Service Provider from the Date of Grant until the date such vesting occurs.</w:t>
      </w:r>
    </w:p>
    <w:p>
      <w:pPr>
        <w:spacing w:after="0" w:line="192" w:lineRule="exact"/>
        <w:rPr>
          <w:rFonts w:ascii="Arial" w:cs="Arial" w:eastAsia="Arial" w:hAnsi="Arial"/>
          <w:sz w:val="18"/>
          <w:szCs w:val="18"/>
          <w:color w:val="auto"/>
        </w:rPr>
      </w:pPr>
    </w:p>
    <w:p>
      <w:pPr>
        <w:ind w:left="620" w:hanging="18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87"/>
        <w:spacing w:after="0" w:line="301" w:lineRule="auto"/>
        <w:tabs>
          <w:tab w:leader="none" w:pos="1236"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Subject to Section 7, any Restricted Stock Units that vest will be paid to Grantee (or in the event of Grantee’s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Grantee be permitted, directly or indirectly, to specify the taxable year of payment of any Restricted Stock Units payable under this Award Agreement.</w:t>
      </w:r>
    </w:p>
    <w:p>
      <w:pPr>
        <w:spacing w:after="0" w:line="157" w:lineRule="exact"/>
        <w:rPr>
          <w:rFonts w:ascii="Arial" w:cs="Arial" w:eastAsia="Arial" w:hAnsi="Arial"/>
          <w:sz w:val="16"/>
          <w:szCs w:val="16"/>
          <w:color w:val="auto"/>
        </w:rPr>
      </w:pPr>
    </w:p>
    <w:p>
      <w:pPr>
        <w:ind w:right="240" w:firstLine="987"/>
        <w:spacing w:after="0" w:line="263" w:lineRule="auto"/>
        <w:tabs>
          <w:tab w:leader="none" w:pos="124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Discretionary Acceleration</w:t>
      </w:r>
      <w:r>
        <w:rPr>
          <w:rFonts w:ascii="Arial" w:cs="Arial" w:eastAsia="Arial" w:hAnsi="Arial"/>
          <w:sz w:val="18"/>
          <w:szCs w:val="18"/>
          <w:color w:val="auto"/>
        </w:rPr>
        <w:t>.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ectPr>
          <w:pgSz w:w="11900" w:h="16838" w:orient="portrait"/>
          <w:cols w:equalWidth="0" w:num="1">
            <w:col w:w="11020"/>
          </w:cols>
          <w:pgMar w:left="440" w:top="270" w:right="439" w:bottom="1440" w:gutter="0" w:footer="0" w:header="0"/>
        </w:sectPr>
      </w:pPr>
    </w:p>
    <w:bookmarkStart w:id="20" w:name="page21"/>
    <w:bookmarkEnd w:id="20"/>
    <w:p>
      <w:pPr>
        <w:ind w:left="804" w:hanging="253"/>
        <w:spacing w:after="0"/>
        <w:tabs>
          <w:tab w:leader="none" w:pos="804"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36" w:right="460" w:firstLine="1428"/>
        <w:spacing w:after="0" w:line="311" w:lineRule="auto"/>
        <w:tabs>
          <w:tab w:leader="none" w:pos="1210" w:val="left"/>
        </w:tabs>
        <w:numPr>
          <w:ilvl w:val="2"/>
          <w:numId w:val="18"/>
        </w:numPr>
        <w:rPr>
          <w:rFonts w:ascii="Arial" w:cs="Arial" w:eastAsia="Arial" w:hAnsi="Arial"/>
          <w:sz w:val="16"/>
          <w:szCs w:val="16"/>
          <w:color w:val="auto"/>
        </w:rPr>
      </w:pPr>
      <w:r>
        <w:rPr>
          <w:rFonts w:ascii="Arial" w:cs="Arial" w:eastAsia="Arial" w:hAnsi="Arial"/>
          <w:sz w:val="16"/>
          <w:szCs w:val="16"/>
          <w:color w:val="auto"/>
        </w:rPr>
        <w:t>If Grantee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48" w:lineRule="exact"/>
        <w:rPr>
          <w:rFonts w:ascii="Arial" w:cs="Arial" w:eastAsia="Arial" w:hAnsi="Arial"/>
          <w:sz w:val="16"/>
          <w:szCs w:val="16"/>
          <w:color w:val="auto"/>
        </w:rPr>
      </w:pPr>
    </w:p>
    <w:p>
      <w:pPr>
        <w:ind w:left="-436" w:firstLine="1428"/>
        <w:spacing w:after="0" w:line="289" w:lineRule="auto"/>
        <w:tabs>
          <w:tab w:leader="none" w:pos="1260" w:val="left"/>
        </w:tabs>
        <w:numPr>
          <w:ilvl w:val="2"/>
          <w:numId w:val="18"/>
        </w:numPr>
        <w:rPr>
          <w:rFonts w:ascii="Arial" w:cs="Arial" w:eastAsia="Arial" w:hAnsi="Arial"/>
          <w:sz w:val="16"/>
          <w:szCs w:val="16"/>
          <w:color w:val="auto"/>
        </w:rPr>
      </w:pPr>
      <w:r>
        <w:rPr>
          <w:rFonts w:ascii="Arial" w:cs="Arial" w:eastAsia="Arial" w:hAnsi="Arial"/>
          <w:sz w:val="16"/>
          <w:szCs w:val="16"/>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Grantee’s status as a Service Provider (provided that such termination is a “separation from service” within the meaning of Section 409A, as determined by the Administrator), other than due to Grantee’s death, and if (x) Grantee is a U.S. taxpayer and a “specified employee” within the meaning of Section 409A at the time of such termination as a Service Provider and (y) the payment of such accelerated Restricted Stock Units will result in the imposition of additional tax under Section 409A if paid to Grantee on or within the six (6) month period following the cessation of Grantee’s status as a Service Provider, then the payment of such accelerated Restricted Stock Units will not be made until the date six (6) months and one (1) day following the date of cessation of Grantee’s status as a Service Provider, unless Grantee dies following his or her termination as a Service Provider, in which case, the Restricted Stock Units will be paid in Shares to Grantee’s estate as soon as practicable following his or her death.</w:t>
      </w:r>
    </w:p>
    <w:p>
      <w:pPr>
        <w:spacing w:after="0" w:line="166" w:lineRule="exact"/>
        <w:rPr>
          <w:rFonts w:ascii="Arial" w:cs="Arial" w:eastAsia="Arial" w:hAnsi="Arial"/>
          <w:sz w:val="16"/>
          <w:szCs w:val="16"/>
          <w:color w:val="auto"/>
        </w:rPr>
      </w:pPr>
    </w:p>
    <w:p>
      <w:pPr>
        <w:ind w:left="-436" w:right="40" w:firstLine="1428"/>
        <w:spacing w:after="0" w:line="253" w:lineRule="auto"/>
        <w:tabs>
          <w:tab w:leader="none" w:pos="1310" w:val="left"/>
        </w:tabs>
        <w:numPr>
          <w:ilvl w:val="2"/>
          <w:numId w:val="18"/>
        </w:numPr>
        <w:rPr>
          <w:rFonts w:ascii="Arial" w:cs="Arial" w:eastAsia="Arial" w:hAnsi="Arial"/>
          <w:sz w:val="18"/>
          <w:szCs w:val="18"/>
          <w:color w:val="auto"/>
        </w:rPr>
      </w:pPr>
      <w:r>
        <w:rPr>
          <w:rFonts w:ascii="Arial" w:cs="Arial" w:eastAsia="Arial" w:hAnsi="Arial"/>
          <w:sz w:val="18"/>
          <w:szCs w:val="18"/>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Grantee’s status as a Service Provider, termination of employment, or similar phrases will be references to Grantee’s “separation from service” within the meaning of Section 409A.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196" w:lineRule="exact"/>
        <w:rPr>
          <w:rFonts w:ascii="Arial" w:cs="Arial" w:eastAsia="Arial" w:hAnsi="Arial"/>
          <w:sz w:val="18"/>
          <w:szCs w:val="18"/>
          <w:color w:val="auto"/>
        </w:rPr>
      </w:pPr>
    </w:p>
    <w:p>
      <w:pPr>
        <w:ind w:left="-436" w:right="40" w:firstLine="436"/>
        <w:spacing w:after="0" w:line="279" w:lineRule="auto"/>
        <w:tabs>
          <w:tab w:leader="none" w:pos="18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Forfeiture Upon Termination as a Service Provider</w:t>
      </w:r>
      <w:r>
        <w:rPr>
          <w:rFonts w:ascii="Arial" w:cs="Arial" w:eastAsia="Arial" w:hAnsi="Arial"/>
          <w:sz w:val="17"/>
          <w:szCs w:val="17"/>
          <w:color w:val="auto"/>
        </w:rPr>
        <w:t>. Unless specifically provided otherwise in this Award Agreement or other written agreement authorized by the Committee between Grantee and the Company or any of its Subsidiaries, as applicable, governing the terms of this Award, if Grantee ceases to be a Service Provider for any or no reason, the then-unvested Restricted Stock Units awarded by this Award Agreement will thereupon be forfeited at no cost to the Company and Grantee will have no further rights thereunder.</w:t>
      </w:r>
    </w:p>
    <w:p>
      <w:pPr>
        <w:sectPr>
          <w:pgSz w:w="11900" w:h="16838" w:orient="portrait"/>
          <w:cols w:equalWidth="0" w:num="1">
            <w:col w:w="10564"/>
          </w:cols>
          <w:pgMar w:left="876" w:top="274" w:right="459" w:bottom="1440" w:gutter="0" w:footer="0" w:header="0"/>
        </w:sectPr>
      </w:pPr>
    </w:p>
    <w:bookmarkStart w:id="21" w:name="page22"/>
    <w:bookmarkEnd w:id="21"/>
    <w:p>
      <w:pPr>
        <w:ind w:left="4" w:right="60" w:firstLine="436"/>
        <w:spacing w:after="0" w:line="259" w:lineRule="auto"/>
        <w:tabs>
          <w:tab w:leader="none" w:pos="624"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Death of Grantee</w:t>
      </w:r>
      <w:r>
        <w:rPr>
          <w:rFonts w:ascii="Arial" w:cs="Arial" w:eastAsia="Arial" w:hAnsi="Arial"/>
          <w:sz w:val="18"/>
          <w:szCs w:val="18"/>
          <w:color w:val="auto"/>
        </w:rPr>
        <w:t>.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6" w:lineRule="exact"/>
        <w:rPr>
          <w:rFonts w:ascii="Arial" w:cs="Arial" w:eastAsia="Arial" w:hAnsi="Arial"/>
          <w:sz w:val="18"/>
          <w:szCs w:val="18"/>
          <w:color w:val="auto"/>
        </w:rPr>
      </w:pPr>
    </w:p>
    <w:p>
      <w:pPr>
        <w:ind w:left="624" w:hanging="184"/>
        <w:spacing w:after="0"/>
        <w:tabs>
          <w:tab w:leader="none" w:pos="624"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40" w:firstLine="987"/>
        <w:spacing w:after="0" w:line="287" w:lineRule="auto"/>
        <w:tabs>
          <w:tab w:leader="none" w:pos="1240" w:val="left"/>
        </w:tabs>
        <w:numPr>
          <w:ilvl w:val="2"/>
          <w:numId w:val="20"/>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Grantee acknowledges that, regardless of any action taken by the Company or, if different, Grantee’s employer or any parent or Subsidiary of the Company to which Grantee is providing services (together, the “</w:t>
      </w:r>
      <w:r>
        <w:rPr>
          <w:rFonts w:ascii="Arial" w:cs="Arial" w:eastAsia="Arial" w:hAnsi="Arial"/>
          <w:sz w:val="16"/>
          <w:szCs w:val="16"/>
          <w:u w:val="single" w:color="auto"/>
          <w:color w:val="auto"/>
        </w:rPr>
        <w:t>Service Recipients</w:t>
      </w:r>
      <w:r>
        <w:rPr>
          <w:rFonts w:ascii="Arial" w:cs="Arial" w:eastAsia="Arial" w:hAnsi="Arial"/>
          <w:sz w:val="16"/>
          <w:szCs w:val="16"/>
          <w:color w:val="auto"/>
        </w:rPr>
        <w:t>”), the ultimate liability for any tax and/or social insurance liability obligations and requirements in connection with the Restricted Stock Units, including, without limitation,</w:t>
      </w:r>
    </w:p>
    <w:p>
      <w:pPr>
        <w:spacing w:after="0" w:line="2" w:lineRule="exact"/>
        <w:rPr>
          <w:rFonts w:ascii="Arial" w:cs="Arial" w:eastAsia="Arial" w:hAnsi="Arial"/>
          <w:sz w:val="16"/>
          <w:szCs w:val="16"/>
          <w:color w:val="auto"/>
        </w:rPr>
      </w:pPr>
    </w:p>
    <w:p>
      <w:pPr>
        <w:ind w:left="4" w:hanging="4"/>
        <w:spacing w:after="0" w:line="285" w:lineRule="auto"/>
        <w:tabs>
          <w:tab w:leader="none" w:pos="21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federal, state, and local taxes (including Grantee’s Federal Insurance Contributions Act (FICA) obligations) that are required to be withheld by any Service Recipient or other payment of tax-related items related to Grantee’s participation in the Plan and legally applicable to Grantee, (ii) Grantee’s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Grantee has, or has agreed to bear, with respect to the Restricted Stock Units (or settlement thereof or issuance of Shares thereunder) (collectively, the “</w:t>
      </w:r>
      <w:r>
        <w:rPr>
          <w:rFonts w:ascii="Arial" w:cs="Arial" w:eastAsia="Arial" w:hAnsi="Arial"/>
          <w:sz w:val="16"/>
          <w:szCs w:val="16"/>
          <w:u w:val="single" w:color="auto"/>
          <w:color w:val="auto"/>
        </w:rPr>
        <w:t>Tax Obligations</w:t>
      </w:r>
      <w:r>
        <w:rPr>
          <w:rFonts w:ascii="Arial" w:cs="Arial" w:eastAsia="Arial" w:hAnsi="Arial"/>
          <w:sz w:val="16"/>
          <w:szCs w:val="16"/>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w:t>
      </w:r>
    </w:p>
    <w:p>
      <w:pPr>
        <w:spacing w:after="0" w:line="169" w:lineRule="exact"/>
        <w:rPr>
          <w:rFonts w:ascii="Arial" w:cs="Arial" w:eastAsia="Arial" w:hAnsi="Arial"/>
          <w:sz w:val="16"/>
          <w:szCs w:val="16"/>
          <w:color w:val="auto"/>
        </w:rPr>
      </w:pPr>
    </w:p>
    <w:p>
      <w:pPr>
        <w:ind w:left="4" w:right="20" w:firstLine="987"/>
        <w:spacing w:after="0" w:line="271" w:lineRule="auto"/>
        <w:tabs>
          <w:tab w:leader="none" w:pos="1250" w:val="left"/>
        </w:tabs>
        <w:numPr>
          <w:ilvl w:val="2"/>
          <w:numId w:val="21"/>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Pursuant to such procedures as the Committee may specify from time to time, the applicable Service Recipient(s) will withhold the amount required to be withheld for the payment of Tax Obligations (the “</w:t>
      </w:r>
      <w:r>
        <w:rPr>
          <w:rFonts w:ascii="Arial" w:cs="Arial" w:eastAsia="Arial" w:hAnsi="Arial"/>
          <w:sz w:val="17"/>
          <w:szCs w:val="17"/>
          <w:u w:val="single" w:color="auto"/>
          <w:color w:val="auto"/>
        </w:rPr>
        <w:t>Withholding Obligations</w:t>
      </w:r>
      <w:r>
        <w:rPr>
          <w:rFonts w:ascii="Arial" w:cs="Arial" w:eastAsia="Arial" w:hAnsi="Arial"/>
          <w:sz w:val="17"/>
          <w:szCs w:val="17"/>
          <w:color w:val="auto"/>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Arial" w:cs="Arial" w:eastAsia="Arial" w:hAnsi="Arial"/>
          <w:sz w:val="17"/>
          <w:szCs w:val="17"/>
          <w:u w:val="single" w:color="auto"/>
          <w:color w:val="auto"/>
        </w:rPr>
        <w:t>Net Share Withholding</w:t>
      </w:r>
      <w:r>
        <w:rPr>
          <w:rFonts w:ascii="Arial" w:cs="Arial" w:eastAsia="Arial" w:hAnsi="Arial"/>
          <w:sz w:val="17"/>
          <w:szCs w:val="17"/>
          <w:color w:val="auto"/>
        </w:rPr>
        <w:t>”), (iii) withholding the amount of such Withholding Obligations from Grantee’s wages or other cash compensation paid to Grantee by the applicable Service Recipient(s),</w:t>
      </w:r>
    </w:p>
    <w:p>
      <w:pPr>
        <w:sectPr>
          <w:pgSz w:w="11900" w:h="16838" w:orient="portrait"/>
          <w:cols w:equalWidth="0" w:num="1">
            <w:col w:w="11004"/>
          </w:cols>
          <w:pgMar w:left="436" w:top="274" w:right="459" w:bottom="1440" w:gutter="0" w:footer="0" w:header="0"/>
        </w:sectPr>
      </w:pPr>
    </w:p>
    <w:bookmarkStart w:id="22" w:name="page23"/>
    <w:bookmarkEnd w:id="22"/>
    <w:p>
      <w:pPr>
        <w:ind w:left="4" w:hanging="4"/>
        <w:spacing w:after="0" w:line="268" w:lineRule="auto"/>
        <w:tabs>
          <w:tab w:leader="none" w:pos="309"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consequences), (v) selling a sufficient number of such Shares otherwise deliverable to Grantee, through such means as the Company may determine in its sole discretion (whether through a broker or otherwise)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Arial" w:cs="Arial" w:eastAsia="Arial" w:hAnsi="Arial"/>
          <w:sz w:val="17"/>
          <w:szCs w:val="17"/>
          <w:u w:val="single" w:color="auto"/>
          <w:color w:val="auto"/>
        </w:rPr>
        <w:t>Sell to Cover</w:t>
      </w:r>
      <w:r>
        <w:rPr>
          <w:rFonts w:ascii="Arial" w:cs="Arial" w:eastAsia="Arial" w:hAnsi="Arial"/>
          <w:sz w:val="17"/>
          <w:szCs w:val="17"/>
          <w:color w:val="auto"/>
        </w:rPr>
        <w:t>”), or (vi) such other means as the Committee deems appropriate. If the Withholding Obligations are satisfied by withholding in Shares, for tax purposes, Grantee is deemed to have been issued the full number of Shares subject to the vested Restricted Stock Units, notwithstanding that a number of the Shares are held back solely for the purpose of paying the Withholding Obligations. To the extent determined appropriate by the Committee in its discretion, the Committee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w:t>
      </w:r>
    </w:p>
    <w:p>
      <w:pPr>
        <w:spacing w:after="0" w:line="179" w:lineRule="exact"/>
        <w:rPr>
          <w:rFonts w:ascii="Arial" w:cs="Arial" w:eastAsia="Arial" w:hAnsi="Arial"/>
          <w:sz w:val="17"/>
          <w:szCs w:val="17"/>
          <w:color w:val="auto"/>
        </w:rPr>
      </w:pPr>
    </w:p>
    <w:p>
      <w:pPr>
        <w:ind w:left="4" w:right="120" w:firstLine="987"/>
        <w:spacing w:after="0" w:line="257" w:lineRule="auto"/>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187" w:lineRule="exact"/>
        <w:rPr>
          <w:rFonts w:ascii="Arial" w:cs="Arial" w:eastAsia="Arial" w:hAnsi="Arial"/>
          <w:sz w:val="18"/>
          <w:szCs w:val="18"/>
          <w:color w:val="auto"/>
        </w:rPr>
      </w:pPr>
    </w:p>
    <w:p>
      <w:pPr>
        <w:ind w:left="4" w:right="40" w:firstLine="987"/>
        <w:spacing w:after="0" w:line="272" w:lineRule="auto"/>
        <w:tabs>
          <w:tab w:leader="none" w:pos="1250"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Company’s Obligation to Deliver Shares</w:t>
      </w:r>
      <w:r>
        <w:rPr>
          <w:rFonts w:ascii="Arial" w:cs="Arial" w:eastAsia="Arial" w:hAnsi="Arial"/>
          <w:sz w:val="17"/>
          <w:szCs w:val="17"/>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Restricted Stock Units otherwise are scheduled to vest pursuant to Sections 3 or 4 or Grantee’s Withholding Obligations otherwise become due, Grantee permanently will forfeit such Restricted Stock Units to which Grantee’s Withholding Obligation relates and any right to receive Shares thereunder and such Restricted Stock Units will be returned to the Company at no cost to the Company. Grantee acknowledges and agrees that the Company may permanently refuse to issue or deliver the Shares if such Withholding Obligations are not delivered at the time they are due.</w:t>
      </w:r>
    </w:p>
    <w:p>
      <w:pPr>
        <w:sectPr>
          <w:pgSz w:w="11900" w:h="16838" w:orient="portrait"/>
          <w:cols w:equalWidth="0" w:num="1">
            <w:col w:w="11024"/>
          </w:cols>
          <w:pgMar w:left="436" w:top="274" w:right="439" w:bottom="1440" w:gutter="0" w:footer="0" w:header="0"/>
        </w:sectPr>
      </w:pPr>
    </w:p>
    <w:bookmarkStart w:id="23" w:name="page24"/>
    <w:bookmarkEnd w:id="23"/>
    <w:p>
      <w:pPr>
        <w:ind w:firstLine="436"/>
        <w:spacing w:after="0" w:line="275"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as Stockholder</w:t>
      </w:r>
      <w:r>
        <w:rPr>
          <w:rFonts w:ascii="Arial" w:cs="Arial" w:eastAsia="Arial" w:hAnsi="Arial"/>
          <w:sz w:val="17"/>
          <w:szCs w:val="17"/>
          <w:color w:val="auto"/>
        </w:rPr>
        <w:t>.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w:t>
      </w:r>
    </w:p>
    <w:p>
      <w:pPr>
        <w:spacing w:after="0" w:line="176" w:lineRule="exact"/>
        <w:rPr>
          <w:rFonts w:ascii="Arial" w:cs="Arial" w:eastAsia="Arial" w:hAnsi="Arial"/>
          <w:sz w:val="17"/>
          <w:szCs w:val="17"/>
          <w:color w:val="auto"/>
        </w:rPr>
      </w:pPr>
    </w:p>
    <w:p>
      <w:pPr>
        <w:ind w:right="160" w:firstLine="436"/>
        <w:spacing w:after="0" w:line="290"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Grantee acknowledges and agrees that the vesting of the Restricted Stock Units pursuant to the vesting schedule hereof is earned only by continuing as a Service Provider through the applicable vesting dates, which unless provided otherwise under applicable law, is at the will of the applicable Service Recipient and not through the act of being hired, being granted this Restricted Stock Unit award, or acquiring Shares hereunder. Grantee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Grantee’s right or the right of any Service Recipient to terminate Grantee’s relationship as a service provider, subject to applicable law, which termination, unless provided otherwise under applicable law or written agreement between Grantee and the Service Recipient, may be at any time, with or without cause.</w:t>
      </w:r>
    </w:p>
    <w:p>
      <w:pPr>
        <w:spacing w:after="0" w:line="165" w:lineRule="exact"/>
        <w:rPr>
          <w:rFonts w:ascii="Arial" w:cs="Arial" w:eastAsia="Arial" w:hAnsi="Arial"/>
          <w:sz w:val="16"/>
          <w:szCs w:val="16"/>
          <w:color w:val="auto"/>
        </w:rPr>
      </w:pPr>
    </w:p>
    <w:p>
      <w:pPr>
        <w:ind w:right="220" w:firstLine="436"/>
        <w:spacing w:after="0" w:line="257" w:lineRule="auto"/>
        <w:tabs>
          <w:tab w:leader="none" w:pos="71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this Award of Restricted Stock Units, Grantee acknowledges, understands and agrees that:</w:t>
      </w:r>
    </w:p>
    <w:p>
      <w:pPr>
        <w:spacing w:after="0" w:line="225" w:lineRule="exact"/>
        <w:rPr>
          <w:rFonts w:ascii="Arial" w:cs="Arial" w:eastAsia="Arial" w:hAnsi="Arial"/>
          <w:sz w:val="18"/>
          <w:szCs w:val="18"/>
          <w:color w:val="auto"/>
        </w:rPr>
      </w:pPr>
    </w:p>
    <w:p>
      <w:pPr>
        <w:ind w:right="200" w:firstLine="987"/>
        <w:spacing w:after="0" w:line="342" w:lineRule="auto"/>
        <w:tabs>
          <w:tab w:leader="none" w:pos="1236"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decisions with respect to future Restricted Stock Units or other grants, if any, will be at the sole discretion of the Administrator;</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Grantee is voluntarily participating in the Plan;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Restricted Stock Units and the Shares subject to the Restricted Stock Units are not intended to replace any pension rights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compensation;</w:t>
      </w:r>
    </w:p>
    <w:p>
      <w:pPr>
        <w:sectPr>
          <w:pgSz w:w="11900" w:h="16838" w:orient="portrait"/>
          <w:cols w:equalWidth="0" w:num="1">
            <w:col w:w="11000"/>
          </w:cols>
          <w:pgMar w:left="440" w:top="274" w:right="459" w:bottom="1440" w:gutter="0" w:footer="0" w:header="0"/>
        </w:sectPr>
      </w:pPr>
    </w:p>
    <w:bookmarkStart w:id="24" w:name="page25"/>
    <w:bookmarkEnd w:id="24"/>
    <w:p>
      <w:pPr>
        <w:ind w:right="100" w:firstLine="987"/>
        <w:spacing w:after="0" w:line="263" w:lineRule="auto"/>
        <w:tabs>
          <w:tab w:leader="none" w:pos="1236"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3" w:lineRule="exact"/>
        <w:rPr>
          <w:rFonts w:ascii="Arial" w:cs="Arial" w:eastAsia="Arial" w:hAnsi="Arial"/>
          <w:sz w:val="18"/>
          <w:szCs w:val="18"/>
          <w:color w:val="auto"/>
        </w:rPr>
      </w:pPr>
    </w:p>
    <w:p>
      <w:pPr>
        <w:ind w:left="1220" w:hanging="233"/>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future value of the Shares underlying the Restricted Stock Units is unknown, indeterminable, and cannot be predicted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certainty;</w:t>
      </w:r>
    </w:p>
    <w:p>
      <w:pPr>
        <w:spacing w:after="0" w:line="210" w:lineRule="exact"/>
        <w:rPr>
          <w:rFonts w:ascii="Arial" w:cs="Arial" w:eastAsia="Arial" w:hAnsi="Arial"/>
          <w:sz w:val="17"/>
          <w:szCs w:val="17"/>
          <w:color w:val="auto"/>
        </w:rPr>
      </w:pPr>
    </w:p>
    <w:p>
      <w:pPr>
        <w:ind w:firstLine="987"/>
        <w:spacing w:after="0" w:line="268" w:lineRule="auto"/>
        <w:tabs>
          <w:tab w:leader="none" w:pos="1246"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purposes of the Restricted Stock Units, Grantee’s status as a Service Provider will be considered terminated as of the date Grantee is no longer actively providing services to the Company or any Parent or Subsidiary (regardless of the reason for such termination and whether or not later found to be invalid or in breach of employment laws in the jurisdiction where Grantee is a Service Provider or the terms of Grantee’s employment or service agreement, if any), and unless otherwise expressly provided in this Award Agreement (including by reference in the Notice of Grant to other arrangements or contracts) or determined by the Committee, Grantee’s right to vest in the Restricted Stock Units under the Plan, if any, will terminate as of such date and will not be extended by any notice period (e.g., Grantee’s period of service would not include any contractual notice period or any period of “garden leave” or similar period mandated under employment laws in the jurisdiction where Grantee is a Service Provider or the terms of Grantee’s employment or service agreement, if any, unless Grantee is providing bona fide services during such time); the Committee shall have the exclusive discretion to determine when Grantee is no longer actively providing services for purposes of this Award of Restricted Stock Units (including whether Grantee may still be considered to be providing services while on a leave of absence and consistent with local law). Further, for the avoidance of doubt, Grantee shall not be entitled to any pro rata vesting of any Restricted Stock Units should Grantee’s status as a Service Provider cease before the Restricted Stock Units have fully vested (e.g., if Grantee’s status as a Service Provider ceases on March 1 before all of the Restricted Stock Units have vested, Grantee shall not be entitled to any vesting of the Restricted Stock Units that were scheduled to vest on the immediately following vesting date of March 10);</w:t>
      </w:r>
    </w:p>
    <w:p>
      <w:pPr>
        <w:spacing w:after="0" w:line="184" w:lineRule="exact"/>
        <w:rPr>
          <w:rFonts w:ascii="Arial" w:cs="Arial" w:eastAsia="Arial" w:hAnsi="Arial"/>
          <w:sz w:val="17"/>
          <w:szCs w:val="17"/>
          <w:color w:val="auto"/>
        </w:rPr>
      </w:pPr>
    </w:p>
    <w:p>
      <w:pPr>
        <w:ind w:right="180" w:firstLine="987"/>
        <w:spacing w:after="0" w:line="311" w:lineRule="auto"/>
        <w:tabs>
          <w:tab w:leader="none" w:pos="12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Committee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48" w:lineRule="exact"/>
        <w:rPr>
          <w:rFonts w:ascii="Arial" w:cs="Arial" w:eastAsia="Arial" w:hAnsi="Arial"/>
          <w:sz w:val="16"/>
          <w:szCs w:val="16"/>
          <w:color w:val="auto"/>
        </w:rPr>
      </w:pPr>
    </w:p>
    <w:p>
      <w:pPr>
        <w:ind w:left="1200" w:hanging="213"/>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provisions apply only if Grantee is providing services outside the United States:</w:t>
      </w:r>
    </w:p>
    <w:p>
      <w:pPr>
        <w:spacing w:after="0" w:line="225" w:lineRule="exact"/>
        <w:rPr>
          <w:rFonts w:ascii="Arial" w:cs="Arial" w:eastAsia="Arial" w:hAnsi="Arial"/>
          <w:sz w:val="18"/>
          <w:szCs w:val="18"/>
          <w:color w:val="auto"/>
        </w:rPr>
      </w:pPr>
    </w:p>
    <w:p>
      <w:pPr>
        <w:ind w:right="140" w:firstLine="1428"/>
        <w:spacing w:after="0" w:line="277" w:lineRule="auto"/>
        <w:tabs>
          <w:tab w:leader="none" w:pos="1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Restricted Stock Units and the Shares subject to the Restricted Stock Units are not part of normal or expected compensation or salary for any purpose;</w:t>
      </w:r>
    </w:p>
    <w:p>
      <w:pPr>
        <w:spacing w:after="0" w:line="170" w:lineRule="exact"/>
        <w:rPr>
          <w:rFonts w:ascii="Arial" w:cs="Arial" w:eastAsia="Arial" w:hAnsi="Arial"/>
          <w:sz w:val="18"/>
          <w:szCs w:val="18"/>
          <w:color w:val="auto"/>
        </w:rPr>
      </w:pPr>
    </w:p>
    <w:p>
      <w:pPr>
        <w:ind w:right="60" w:firstLine="1428"/>
        <w:spacing w:after="0" w:line="286" w:lineRule="auto"/>
        <w:tabs>
          <w:tab w:leader="none" w:pos="1697" w:val="left"/>
        </w:tabs>
        <w:numPr>
          <w:ilvl w:val="1"/>
          <w:numId w:val="24"/>
        </w:numPr>
        <w:rPr>
          <w:rFonts w:ascii="Arial" w:cs="Arial" w:eastAsia="Arial" w:hAnsi="Arial"/>
          <w:sz w:val="17"/>
          <w:szCs w:val="17"/>
          <w:color w:val="auto"/>
        </w:rPr>
      </w:pPr>
      <w:r>
        <w:rPr>
          <w:rFonts w:ascii="Arial" w:cs="Arial" w:eastAsia="Arial" w:hAnsi="Arial"/>
          <w:sz w:val="17"/>
          <w:szCs w:val="17"/>
          <w:color w:val="auto"/>
        </w:rPr>
        <w:t>Grantee acknowledges and agrees that no Service Recipient shall be liable for any foreign exchange rate fluctuation between Grantee’s local currency and the United States Dollar that may affect the value of the Restricted Stock Units or of any amounts due to Grantee pursuant to the settlement of the Restricted Stock Units or the subsequent sale of any Shares acquired upon settlement; and</w:t>
      </w:r>
    </w:p>
    <w:p>
      <w:pPr>
        <w:sectPr>
          <w:pgSz w:w="11900" w:h="16838" w:orient="portrait"/>
          <w:cols w:equalWidth="0" w:num="1">
            <w:col w:w="10960"/>
          </w:cols>
          <w:pgMar w:left="440" w:top="274" w:right="499" w:bottom="1440" w:gutter="0" w:footer="0" w:header="0"/>
        </w:sectPr>
      </w:pPr>
    </w:p>
    <w:bookmarkStart w:id="25" w:name="page26"/>
    <w:bookmarkEnd w:id="25"/>
    <w:p>
      <w:pPr>
        <w:ind w:right="20" w:firstLine="1428"/>
        <w:spacing w:after="0" w:line="291" w:lineRule="auto"/>
        <w:tabs>
          <w:tab w:leader="none" w:pos="1747"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claim or entitlement to compensation or damages shall arise from forfeiture of the Restricted Stock Units resulting from the termination of Grantee’s status as a Service Provider (for any reason whatsoever whether or not later found to be invalid or in breach of employment laws in the jurisdiction where Grantee is a Service Provider or the terms of Grantee’s employment or service agreement, if any), and in consideration of the grant of the Restricted Stock Units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Grantee shall be deemed irrevocably to have agreed not to pursue such claim and agrees to execute any and all documents necessary to request dismissal or withdrawal of such claim.</w:t>
      </w:r>
    </w:p>
    <w:p>
      <w:pPr>
        <w:spacing w:after="0" w:line="166" w:lineRule="exact"/>
        <w:rPr>
          <w:rFonts w:ascii="Arial" w:cs="Arial" w:eastAsia="Arial" w:hAnsi="Arial"/>
          <w:sz w:val="16"/>
          <w:szCs w:val="16"/>
          <w:color w:val="auto"/>
        </w:rPr>
      </w:pPr>
    </w:p>
    <w:p>
      <w:pPr>
        <w:ind w:right="240" w:firstLine="436"/>
        <w:spacing w:after="0" w:line="259" w:lineRule="auto"/>
        <w:tabs>
          <w:tab w:leader="none" w:pos="71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Grantee’s participation in the Plan, or Grantee’s acquisition or sale of the Shares underlying the Restricted Stock Units. Grantee is hereby advised to consult with his or her own personal tax, legal and financial advisers regarding his or her participation in the Plan before taking any action related to the Plan.</w:t>
      </w:r>
    </w:p>
    <w:p>
      <w:pPr>
        <w:spacing w:after="0" w:line="186" w:lineRule="exact"/>
        <w:rPr>
          <w:rFonts w:ascii="Arial" w:cs="Arial" w:eastAsia="Arial" w:hAnsi="Arial"/>
          <w:sz w:val="18"/>
          <w:szCs w:val="18"/>
          <w:color w:val="auto"/>
        </w:rPr>
      </w:pPr>
    </w:p>
    <w:p>
      <w:pPr>
        <w:ind w:right="400" w:firstLine="436"/>
        <w:spacing w:after="0" w:line="311" w:lineRule="auto"/>
        <w:tabs>
          <w:tab w:leader="none" w:pos="71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Grantee hereby explicitly and unambiguously consents to the collection, use and transfer, in electronic or other form, of Grantee’s personal data as described in this Award Agreement and any other Restricted Stock Unit grant materials by and among, as applicable, the Service Recipients for the exclusive purpose of implementing, administering and managing Grantee’s participation in the Plan.</w:t>
      </w:r>
    </w:p>
    <w:p>
      <w:pPr>
        <w:spacing w:after="0" w:line="14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Grantee’s favor (“</w:t>
      </w:r>
      <w:r>
        <w:rPr>
          <w:rFonts w:ascii="Arial" w:cs="Arial" w:eastAsia="Arial" w:hAnsi="Arial"/>
          <w:sz w:val="16"/>
          <w:szCs w:val="16"/>
          <w:u w:val="single" w:color="auto"/>
          <w:color w:val="auto"/>
        </w:rPr>
        <w:t>Data</w:t>
      </w:r>
      <w:r>
        <w:rPr>
          <w:rFonts w:ascii="Arial" w:cs="Arial" w:eastAsia="Arial" w:hAnsi="Arial"/>
          <w:sz w:val="16"/>
          <w:szCs w:val="16"/>
          <w:color w:val="auto"/>
        </w:rPr>
        <w:t>”), for the exclusive purpose of implementing, administering and managing the Plan.</w:t>
      </w:r>
    </w:p>
    <w:p>
      <w:pPr>
        <w:spacing w:after="0" w:line="15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Grantee understands that Data may be transferred to a stock plan service provider, as may be selected by the Company in the future, assisting the Company with the implementation, administration and management of the Plan.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if he or she resides outside the</w:t>
      </w:r>
    </w:p>
    <w:p>
      <w:pPr>
        <w:sectPr>
          <w:pgSz w:w="11900" w:h="16838" w:orient="portrait"/>
          <w:cols w:equalWidth="0" w:num="1">
            <w:col w:w="11000"/>
          </w:cols>
          <w:pgMar w:left="440" w:top="274" w:right="459" w:bottom="1440" w:gutter="0" w:footer="0" w:header="0"/>
        </w:sectPr>
      </w:pPr>
    </w:p>
    <w:bookmarkStart w:id="26" w:name="page27"/>
    <w:bookmarkEnd w:id="26"/>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status as a Service Provider and career with the Service Recipient will not be adversely affected. The only adverse consequence of refusing or withdrawing Grantee’s consent is that the Company would not be able to grant Grantee Restricted Stock Units or other equity awards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spacing w:after="0" w:line="165" w:lineRule="exact"/>
        <w:rPr>
          <w:sz w:val="20"/>
          <w:szCs w:val="20"/>
          <w:color w:val="auto"/>
        </w:rPr>
      </w:pPr>
    </w:p>
    <w:p>
      <w:pPr>
        <w:ind w:right="240" w:firstLine="436"/>
        <w:spacing w:after="0" w:line="263"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at Bakkt Holdings, Inc., 10000 Avalon Boulevard, Suite 1000, Alpharetta, Georgia 30009, or at such other address as the Company may hereafter designate in writing.</w:t>
      </w:r>
    </w:p>
    <w:p>
      <w:pPr>
        <w:spacing w:after="0" w:line="183" w:lineRule="exact"/>
        <w:rPr>
          <w:rFonts w:ascii="Arial" w:cs="Arial" w:eastAsia="Arial" w:hAnsi="Arial"/>
          <w:sz w:val="18"/>
          <w:szCs w:val="18"/>
          <w:color w:val="auto"/>
        </w:rPr>
      </w:pPr>
    </w:p>
    <w:p>
      <w:pPr>
        <w:ind w:right="260" w:firstLine="436"/>
        <w:spacing w:after="0" w:line="279" w:lineRule="auto"/>
        <w:tabs>
          <w:tab w:leader="none" w:pos="71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pacing w:after="0" w:line="171" w:lineRule="exact"/>
        <w:rPr>
          <w:rFonts w:ascii="Arial" w:cs="Arial" w:eastAsia="Arial" w:hAnsi="Arial"/>
          <w:sz w:val="17"/>
          <w:szCs w:val="17"/>
          <w:color w:val="auto"/>
        </w:rPr>
      </w:pPr>
    </w:p>
    <w:p>
      <w:pPr>
        <w:ind w:firstLine="436"/>
        <w:spacing w:after="0" w:line="269" w:lineRule="auto"/>
        <w:tabs>
          <w:tab w:leader="none" w:pos="71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Committee may establish from time to time for reasons of administrative convenience.</w:t>
      </w:r>
    </w:p>
    <w:p>
      <w:pPr>
        <w:spacing w:after="0" w:line="185" w:lineRule="exact"/>
        <w:rPr>
          <w:rFonts w:ascii="Arial" w:cs="Arial" w:eastAsia="Arial" w:hAnsi="Arial"/>
          <w:sz w:val="17"/>
          <w:szCs w:val="17"/>
          <w:color w:val="auto"/>
        </w:rPr>
      </w:pPr>
    </w:p>
    <w:p>
      <w:pPr>
        <w:ind w:right="480" w:firstLine="436"/>
        <w:spacing w:after="0" w:line="308" w:lineRule="auto"/>
        <w:tabs>
          <w:tab w:leader="none" w:pos="71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Grantee has received this Award Agreement or any other document related to the Plan translated into a language other than English and if the meaning of the translated version is different than the English version, the English version will control.</w:t>
      </w:r>
    </w:p>
    <w:p>
      <w:pPr>
        <w:sectPr>
          <w:pgSz w:w="11900" w:h="16838" w:orient="portrait"/>
          <w:cols w:equalWidth="0" w:num="1">
            <w:col w:w="11000"/>
          </w:cols>
          <w:pgMar w:left="440" w:top="274" w:right="459" w:bottom="1440" w:gutter="0" w:footer="0" w:header="0"/>
        </w:sectPr>
      </w:pPr>
    </w:p>
    <w:bookmarkStart w:id="27" w:name="page28"/>
    <w:bookmarkEnd w:id="27"/>
    <w:p>
      <w:pPr>
        <w:ind w:left="-436" w:right="40" w:firstLine="436"/>
        <w:spacing w:after="0" w:line="255" w:lineRule="auto"/>
        <w:tabs>
          <w:tab w:leader="none" w:pos="27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w:t>
      </w:r>
      <w:r>
        <w:rPr>
          <w:rFonts w:ascii="Arial" w:cs="Arial" w:eastAsia="Arial" w:hAnsi="Arial"/>
          <w:sz w:val="18"/>
          <w:szCs w:val="18"/>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92" w:lineRule="exact"/>
        <w:rPr>
          <w:rFonts w:ascii="Arial" w:cs="Arial" w:eastAsia="Arial" w:hAnsi="Arial"/>
          <w:sz w:val="18"/>
          <w:szCs w:val="18"/>
          <w:color w:val="auto"/>
        </w:rPr>
      </w:pPr>
    </w:p>
    <w:p>
      <w:pPr>
        <w:jc w:val="both"/>
        <w:ind w:left="-436" w:right="60" w:firstLine="436"/>
        <w:spacing w:after="0" w:line="301" w:lineRule="auto"/>
        <w:tabs>
          <w:tab w:leader="none" w:pos="274"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the Restricted Stock Units awarded under the Plan or future Restricted Stock Units that may be awarded under the Plan by electronic means or require Grantee to participate in the Plan by electronic means. Grantee hereby consents to receive such documents by electronic delivery and agrees to participate in the Plan through any on-line or electronic system established and maintained by the Company or a third party designated by the Company.</w:t>
      </w:r>
    </w:p>
    <w:p>
      <w:pPr>
        <w:spacing w:after="0" w:line="157" w:lineRule="exact"/>
        <w:rPr>
          <w:rFonts w:ascii="Arial" w:cs="Arial" w:eastAsia="Arial" w:hAnsi="Arial"/>
          <w:sz w:val="16"/>
          <w:szCs w:val="16"/>
          <w:color w:val="auto"/>
        </w:rPr>
      </w:pPr>
    </w:p>
    <w:p>
      <w:pPr>
        <w:ind w:left="-436" w:right="320" w:firstLine="436"/>
        <w:spacing w:after="0" w:line="277" w:lineRule="auto"/>
        <w:tabs>
          <w:tab w:leader="none" w:pos="27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provided herein are for convenience only and are not to serve as a basis for interpretation or construction of this Award Agreement.</w:t>
      </w:r>
    </w:p>
    <w:p>
      <w:pPr>
        <w:spacing w:after="0" w:line="170" w:lineRule="exact"/>
        <w:rPr>
          <w:rFonts w:ascii="Arial" w:cs="Arial" w:eastAsia="Arial" w:hAnsi="Arial"/>
          <w:sz w:val="18"/>
          <w:szCs w:val="18"/>
          <w:color w:val="auto"/>
        </w:rPr>
      </w:pPr>
    </w:p>
    <w:p>
      <w:pPr>
        <w:ind w:left="-436" w:right="280" w:firstLine="436"/>
        <w:spacing w:after="0" w:line="263" w:lineRule="auto"/>
        <w:tabs>
          <w:tab w:leader="none" w:pos="27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Grantee expressly warrants that he or she has received an Award of Restricted Stock Units under the Plan, and has received, read and understood a description of the Plan. Grantee understands that the Plan is discretionary in nature and may be amended, suspended or terminated by the Committee at any time.</w:t>
      </w:r>
    </w:p>
    <w:p>
      <w:pPr>
        <w:spacing w:after="0" w:line="183" w:lineRule="exact"/>
        <w:rPr>
          <w:rFonts w:ascii="Arial" w:cs="Arial" w:eastAsia="Arial" w:hAnsi="Arial"/>
          <w:sz w:val="18"/>
          <w:szCs w:val="18"/>
          <w:color w:val="auto"/>
        </w:rPr>
      </w:pPr>
    </w:p>
    <w:p>
      <w:pPr>
        <w:ind w:left="-436" w:firstLine="436"/>
        <w:spacing w:after="0" w:line="255" w:lineRule="auto"/>
        <w:tabs>
          <w:tab w:leader="none" w:pos="27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Country Addendum</w:t>
      </w:r>
      <w:r>
        <w:rPr>
          <w:rFonts w:ascii="Arial" w:cs="Arial" w:eastAsia="Arial" w:hAnsi="Arial"/>
          <w:sz w:val="18"/>
          <w:szCs w:val="18"/>
          <w:color w:val="auto"/>
        </w:rPr>
        <w:t>. Notwithstanding any provisions in this Award Agreement, the Restricted Stock Unit grant shall be subject to any special terms and conditions set forth in an appendix (if any) to this Award Agreement for any country whose laws are applicable to Grantee and this Award of Restricted Stock Units (as determined by the Committee in its sole discretion) (the “</w:t>
      </w:r>
      <w:r>
        <w:rPr>
          <w:rFonts w:ascii="Arial" w:cs="Arial" w:eastAsia="Arial" w:hAnsi="Arial"/>
          <w:sz w:val="18"/>
          <w:szCs w:val="18"/>
          <w:u w:val="single" w:color="auto"/>
          <w:color w:val="auto"/>
        </w:rPr>
        <w:t>Country Addendum</w:t>
      </w:r>
      <w:r>
        <w:rPr>
          <w:rFonts w:ascii="Arial" w:cs="Arial" w:eastAsia="Arial" w:hAnsi="Arial"/>
          <w:sz w:val="18"/>
          <w:szCs w:val="18"/>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pacing w:after="0" w:line="192" w:lineRule="exact"/>
        <w:rPr>
          <w:rFonts w:ascii="Arial" w:cs="Arial" w:eastAsia="Arial" w:hAnsi="Arial"/>
          <w:sz w:val="18"/>
          <w:szCs w:val="18"/>
          <w:color w:val="auto"/>
        </w:rPr>
      </w:pPr>
    </w:p>
    <w:p>
      <w:pPr>
        <w:ind w:left="-436" w:right="20" w:firstLine="436"/>
        <w:spacing w:after="0" w:line="293" w:lineRule="auto"/>
        <w:tabs>
          <w:tab w:leader="none" w:pos="274"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Modifications to the Award Agreement</w:t>
      </w:r>
      <w:r>
        <w:rPr>
          <w:rFonts w:ascii="Arial" w:cs="Arial" w:eastAsia="Arial" w:hAnsi="Arial"/>
          <w:sz w:val="16"/>
          <w:szCs w:val="16"/>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Restricted Stock Units.</w:t>
      </w:r>
    </w:p>
    <w:p>
      <w:pPr>
        <w:sectPr>
          <w:pgSz w:w="11900" w:h="16838" w:orient="portrait"/>
          <w:cols w:equalWidth="0" w:num="1">
            <w:col w:w="10564"/>
          </w:cols>
          <w:pgMar w:left="876" w:top="274" w:right="459" w:bottom="1440" w:gutter="0" w:footer="0" w:header="0"/>
        </w:sectPr>
      </w:pPr>
    </w:p>
    <w:bookmarkStart w:id="28" w:name="page29"/>
    <w:bookmarkEnd w:id="28"/>
    <w:p>
      <w:pPr>
        <w:ind w:left="-436" w:firstLine="436"/>
        <w:spacing w:after="0" w:line="259" w:lineRule="auto"/>
        <w:tabs>
          <w:tab w:leader="none" w:pos="27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Waiver</w:t>
      </w:r>
      <w:r>
        <w:rPr>
          <w:rFonts w:ascii="Arial" w:cs="Arial" w:eastAsia="Arial" w:hAnsi="Arial"/>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6" w:lineRule="exact"/>
        <w:rPr>
          <w:rFonts w:ascii="Arial" w:cs="Arial" w:eastAsia="Arial" w:hAnsi="Arial"/>
          <w:sz w:val="18"/>
          <w:szCs w:val="18"/>
          <w:color w:val="auto"/>
        </w:rPr>
      </w:pPr>
    </w:p>
    <w:p>
      <w:pPr>
        <w:ind w:left="-436" w:right="40" w:firstLine="436"/>
        <w:spacing w:after="0" w:line="263" w:lineRule="auto"/>
        <w:tabs>
          <w:tab w:leader="none" w:pos="27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83" w:lineRule="exact"/>
        <w:rPr>
          <w:rFonts w:ascii="Arial" w:cs="Arial" w:eastAsia="Arial" w:hAnsi="Arial"/>
          <w:sz w:val="18"/>
          <w:szCs w:val="18"/>
          <w:color w:val="auto"/>
        </w:rPr>
      </w:pPr>
    </w:p>
    <w:p>
      <w:pPr>
        <w:ind w:left="-436" w:right="20" w:firstLine="436"/>
        <w:spacing w:after="0" w:line="279" w:lineRule="auto"/>
        <w:tabs>
          <w:tab w:leader="none" w:pos="27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171" w:lineRule="exact"/>
        <w:rPr>
          <w:rFonts w:ascii="Arial" w:cs="Arial" w:eastAsia="Arial" w:hAnsi="Arial"/>
          <w:sz w:val="17"/>
          <w:szCs w:val="17"/>
          <w:color w:val="auto"/>
        </w:rPr>
      </w:pPr>
    </w:p>
    <w:p>
      <w:pPr>
        <w:ind w:left="4344"/>
        <w:spacing w:after="0"/>
        <w:rPr>
          <w:rFonts w:ascii="Arial" w:cs="Arial" w:eastAsia="Arial" w:hAnsi="Arial"/>
          <w:sz w:val="17"/>
          <w:szCs w:val="17"/>
          <w:color w:val="auto"/>
        </w:rPr>
      </w:pPr>
      <w:r>
        <w:rPr>
          <w:rFonts w:ascii="Arial" w:cs="Arial" w:eastAsia="Arial" w:hAnsi="Arial"/>
          <w:sz w:val="18"/>
          <w:szCs w:val="18"/>
          <w:color w:val="auto"/>
        </w:rPr>
        <w:t>***</w:t>
      </w:r>
    </w:p>
    <w:p>
      <w:pPr>
        <w:sectPr>
          <w:pgSz w:w="11900" w:h="16838" w:orient="portrait"/>
          <w:cols w:equalWidth="0" w:num="1">
            <w:col w:w="10564"/>
          </w:cols>
          <w:pgMar w:left="876" w:top="274" w:right="4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EMPLOYEE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 ADDENDUM TO RESTRICTED STOCK UNIT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defined herein, capitalized terms used in this Country Addendum to Restricted Stock Unit Agreement (the</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Country Addendum</w:t>
      </w:r>
      <w:r>
        <w:rPr>
          <w:rFonts w:ascii="Arial" w:cs="Arial" w:eastAsia="Arial" w:hAnsi="Arial"/>
          <w:sz w:val="18"/>
          <w:szCs w:val="18"/>
          <w:color w:val="auto"/>
        </w:rPr>
        <w:t>”) will be ascribed the same defined meanings as set forth in the Restricted Stock Unit Agreement of which this Country Addendum forms a part (or the Plan or other written agreement as specified in the Restricted Stock Unit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jc w:val="both"/>
        <w:ind w:right="100" w:firstLine="440"/>
        <w:spacing w:after="0" w:line="257" w:lineRule="auto"/>
        <w:rPr>
          <w:sz w:val="20"/>
          <w:szCs w:val="20"/>
          <w:color w:val="auto"/>
        </w:rPr>
      </w:pPr>
      <w:r>
        <w:rPr>
          <w:rFonts w:ascii="Arial" w:cs="Arial" w:eastAsia="Arial" w:hAnsi="Arial"/>
          <w:sz w:val="18"/>
          <w:szCs w:val="18"/>
          <w:color w:val="auto"/>
        </w:rPr>
        <w:t>This Country Addendum includes additional terms and conditions that govern the Award of Restricted Stock Units granted to Grantee under the Plan to the extent Grantee resides and/or works in one of the countries listed below. If Grantee is a citizen or resident (or is considered as such for local law purposes) of a country other than the country in which Grantee is currently residing and/or working, or if Grantee relocates to another country after the Award of Restricted Stock Units is granted, the Company, in its discretion, will determine to what extent the terms and conditions contained herein will apply to Grantee.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This Country Addendum also may include information regarding exchange controls and certain other issues of which Grantee should be aware with respect to Grantee’s participation in the Plan. The information is based on the securities, exchange control and other applicable legal and regulatory</w:t>
      </w:r>
    </w:p>
    <w:p>
      <w:pPr>
        <w:ind w:right="100"/>
        <w:spacing w:after="0" w:line="253" w:lineRule="auto"/>
        <w:rPr>
          <w:sz w:val="20"/>
          <w:szCs w:val="20"/>
          <w:color w:val="auto"/>
        </w:rPr>
      </w:pPr>
      <w:r>
        <w:rPr>
          <w:rFonts w:ascii="Arial" w:cs="Arial" w:eastAsia="Arial" w:hAnsi="Arial"/>
          <w:sz w:val="18"/>
          <w:szCs w:val="18"/>
          <w:color w:val="auto"/>
        </w:rPr>
        <w:t>requirements in effect in the respective countries as of [ ], 2021. Such applicable legal and regulatory requirements often are complex and change frequently. As a result, the Company strongly recommends that Grantee not rely on the information in this Country Addendum as the only source of information relating to the consequences of Grantee’s participation in the Plan because the information may be out of date at the time Grantee vests in or receives or sells the Shares covered by the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-441960</wp:posOffset>
            </wp:positionV>
            <wp:extent cx="457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73"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In addition, the information contained in this Country Addendum is general in nature and may not apply to Grantee’s particular situation, and the Company is not in a position to assure Grantee of any particular result. Grantee should seek appropriate professional advice as to how the applicable legal and regulatory requirements in Grantee’s country may apply to his or her situation.</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Finally, if Grantee is a citizen or resident of a country other than the one in which Grantee currently is residing and/or working, transfers residence and/or employment to another country after the grant of the Restricted Stock Units, or is considered a resident of another country for local law purposes, the information in this Country Addendum may not apply to Grantee in the same manner.</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104"/>
    </w:lvl>
  </w:abstractNum>
  <w:abstractNum w:abstractNumId="3">
    <w:nsid w:val="4E6AFB66"/>
    <w:multiLevelType w:val="hybridMultilevel"/>
    <w:lvl w:ilvl="0">
      <w:lvlJc w:val="left"/>
      <w:lvlText w:val="%1."/>
      <w:numFmt w:val="decimal"/>
      <w:start w:val="1"/>
    </w:lvl>
    <w:lvl w:ilvl="1">
      <w:lvlJc w:val="left"/>
      <w:lvlText w:val="(%2)"/>
      <w:numFmt w:val="lowerLetter"/>
      <w:start w:val="1"/>
    </w:lvl>
  </w:abstractNum>
  <w:abstractNum w:abstractNumId="4">
    <w:nsid w:val="25E45D3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
    <w:nsid w:val="519B500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
    <w:nsid w:val="431BD7B7"/>
    <w:multiLevelType w:val="hybridMultilevel"/>
    <w:lvl w:ilvl="0">
      <w:lvlJc w:val="left"/>
      <w:lvlText w:val="%1."/>
      <w:numFmt w:val="decimal"/>
      <w:start w:val="7"/>
    </w:lvl>
    <w:lvl w:ilvl="1">
      <w:lvlJc w:val="left"/>
      <w:lvlText w:val="(%2)"/>
      <w:numFmt w:val="lowerLetter"/>
      <w:start w:val="1"/>
    </w:lvl>
  </w:abstractNum>
  <w:abstractNum w:abstractNumId="7">
    <w:nsid w:val="3F2DBA31"/>
    <w:multiLevelType w:val="hybridMultilevel"/>
    <w:lvl w:ilvl="0">
      <w:lvlJc w:val="left"/>
      <w:lvlText w:val="%1"/>
      <w:numFmt w:val="decimal"/>
      <w:start w:val="1"/>
    </w:lvl>
    <w:lvl w:ilvl="1">
      <w:lvlJc w:val="left"/>
      <w:lvlText w:val="(%2)"/>
      <w:numFmt w:val="lowerLetter"/>
      <w:start w:val="3"/>
    </w:lvl>
  </w:abstractNum>
  <w:abstractNum w:abstractNumId="8">
    <w:nsid w:val="7C83E458"/>
    <w:multiLevelType w:val="hybridMultilevel"/>
    <w:lvl w:ilvl="0">
      <w:lvlJc w:val="left"/>
      <w:lvlText w:val="%1."/>
      <w:numFmt w:val="decimal"/>
      <w:start w:val="8"/>
    </w:lvl>
    <w:lvl w:ilvl="1">
      <w:lvlJc w:val="left"/>
      <w:lvlText w:val="%2"/>
      <w:numFmt w:val="lowerLetter"/>
      <w:start w:val="1"/>
    </w:lvl>
  </w:abstractNum>
  <w:abstractNum w:abstractNumId="9">
    <w:nsid w:val="257130A3"/>
    <w:multiLevelType w:val="hybridMultilevel"/>
    <w:lvl w:ilvl="0">
      <w:lvlJc w:val="left"/>
      <w:lvlText w:val="%1."/>
      <w:numFmt w:val="decimal"/>
      <w:start w:val="10"/>
    </w:lvl>
    <w:lvl w:ilvl="1">
      <w:lvlJc w:val="left"/>
      <w:lvlText w:val="(%2)"/>
      <w:numFmt w:val="lowerLetter"/>
      <w:start w:val="1"/>
    </w:lvl>
  </w:abstractNum>
  <w:abstractNum w:abstractNumId="10">
    <w:nsid w:val="62BBD95A"/>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1">
    <w:nsid w:val="436C6125"/>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2">
    <w:nsid w:val="628C895D"/>
    <w:multiLevelType w:val="hybridMultilevel"/>
    <w:lvl w:ilvl="0">
      <w:lvlJc w:val="left"/>
      <w:lvlText w:val="%1."/>
      <w:numFmt w:val="decimal"/>
      <w:start w:val="14"/>
    </w:lvl>
  </w:abstractNum>
  <w:abstractNum w:abstractNumId="13">
    <w:nsid w:val="333AB105"/>
    <w:multiLevelType w:val="hybridMultilevel"/>
    <w:lvl w:ilvl="0">
      <w:lvlJc w:val="left"/>
      <w:lvlText w:val="%1."/>
      <w:numFmt w:val="decimal"/>
      <w:start w:val="16"/>
    </w:lvl>
  </w:abstractNum>
  <w:abstractNum w:abstractNumId="14">
    <w:nsid w:val="721DA317"/>
    <w:multiLevelType w:val="hybridMultilevel"/>
    <w:lvl w:ilvl="0">
      <w:lvlJc w:val="left"/>
      <w:lvlText w:val="%1."/>
      <w:numFmt w:val="decimal"/>
      <w:start w:val="23"/>
    </w:lvl>
    <w:lvl w:ilvl="1">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3"/>
    </w:lvl>
    <w:lvl w:ilvl="1">
      <w:lvlJc w:val="left"/>
      <w:lvlText w:val="(%2)"/>
      <w:numFmt w:val="lowerLetter"/>
      <w:start w:val="1"/>
    </w:lvl>
  </w:abstractNum>
  <w:abstractNum w:abstractNumId="17">
    <w:nsid w:val="6763845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
    <w:nsid w:val="75A2A8D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8EDBDA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0">
    <w:nsid w:val="79838CB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1">
    <w:nsid w:val="4353D0CD"/>
    <w:multiLevelType w:val="hybridMultilevel"/>
    <w:lvl w:ilvl="0">
      <w:lvlJc w:val="left"/>
      <w:lvlText w:val="(%1)"/>
      <w:numFmt w:val="lowerRoman"/>
      <w:start w:val="4"/>
    </w:lvl>
    <w:lvl w:ilvl="1">
      <w:lvlJc w:val="left"/>
      <w:lvlText w:val="(%2)"/>
      <w:numFmt w:val="lowerLetter"/>
      <w:start w:val="3"/>
    </w:lvl>
  </w:abstractNum>
  <w:abstractNum w:abstractNumId="22">
    <w:nsid w:val="B03E0C6"/>
    <w:multiLevelType w:val="hybridMultilevel"/>
    <w:lvl w:ilvl="0">
      <w:lvlJc w:val="left"/>
      <w:lvlText w:val="%1."/>
      <w:numFmt w:val="decimal"/>
      <w:start w:val="8"/>
    </w:lvl>
    <w:lvl w:ilvl="1">
      <w:lvlJc w:val="left"/>
      <w:lvlText w:val="(%2)"/>
      <w:numFmt w:val="lowerLetter"/>
      <w:start w:val="1"/>
    </w:lvl>
  </w:abstractNum>
  <w:abstractNum w:abstractNumId="23">
    <w:nsid w:val="189A769B"/>
    <w:multiLevelType w:val="hybridMultilevel"/>
    <w:lvl w:ilvl="0">
      <w:lvlJc w:val="left"/>
      <w:lvlText w:val="(%1)"/>
      <w:numFmt w:val="lowerLetter"/>
      <w:start w:val="5"/>
    </w:lvl>
    <w:lvl w:ilvl="1">
      <w:lvlJc w:val="left"/>
      <w:lvlText w:val="(%2)"/>
      <w:numFmt w:val="lowerRoman"/>
      <w:start w:val="1"/>
    </w:lvl>
  </w:abstractNum>
  <w:abstractNum w:abstractNumId="24">
    <w:nsid w:val="54E49EB4"/>
    <w:multiLevelType w:val="hybridMultilevel"/>
    <w:lvl w:ilvl="0">
      <w:lvlJc w:val="left"/>
      <w:lvlText w:val="%1"/>
      <w:numFmt w:val="decimal"/>
      <w:start w:val="1"/>
    </w:lvl>
    <w:lvl w:ilvl="1">
      <w:lvlJc w:val="left"/>
      <w:lvlText w:val="(%2)"/>
      <w:numFmt w:val="lowerRoman"/>
      <w:start w:val="3"/>
    </w:lvl>
  </w:abstractNum>
  <w:abstractNum w:abstractNumId="25">
    <w:nsid w:val="71F32454"/>
    <w:multiLevelType w:val="hybridMultilevel"/>
    <w:lvl w:ilvl="0">
      <w:lvlJc w:val="left"/>
      <w:lvlText w:val="%1."/>
      <w:numFmt w:val="decimal"/>
      <w:start w:val="12"/>
    </w:lvl>
    <w:lvl w:ilvl="1">
      <w:lvlJc w:val="left"/>
      <w:lvlText w:val="%2"/>
      <w:numFmt w:val="lowerRoman"/>
      <w:start w:val="1"/>
    </w:lvl>
  </w:abstractNum>
  <w:abstractNum w:abstractNumId="26">
    <w:nsid w:val="2CA88611"/>
    <w:multiLevelType w:val="hybridMultilevel"/>
    <w:lvl w:ilvl="0">
      <w:lvlJc w:val="left"/>
      <w:lvlText w:val="%1."/>
      <w:numFmt w:val="decimal"/>
      <w:start w:val="14"/>
    </w:lvl>
  </w:abstractNum>
  <w:abstractNum w:abstractNumId="27">
    <w:nsid w:val="836C40E"/>
    <w:multiLevelType w:val="hybridMultilevel"/>
    <w:lvl w:ilvl="0">
      <w:lvlJc w:val="left"/>
      <w:lvlText w:val="%1."/>
      <w:numFmt w:val="decimal"/>
      <w:start w:val="18"/>
    </w:lvl>
  </w:abstractNum>
  <w:abstractNum w:abstractNumId="28">
    <w:nsid w:val="2901D82"/>
    <w:multiLevelType w:val="hybridMultilevel"/>
    <w:lvl w:ilvl="0">
      <w:lvlJc w:val="left"/>
      <w:lvlText w:val="%1."/>
      <w:numFmt w:val="decimal"/>
      <w:start w:val="2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2022-01-26T16:28:11Z</dcterms:created>
  <dcterms:modified xsi:type="dcterms:W3CDTF">2022-01-26T16:28:11Z</dcterms:modified>
</cp:coreProperties>
</file>