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Registration No. 333-288361</w:t>
      </w:r>
    </w:p>
    <w:p>
      <w:pPr>
        <w:spacing w:after="0" w:line="9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(To the Prospectus dated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3116580</wp:posOffset>
            </wp:positionH>
            <wp:positionV relativeFrom="paragraph">
              <wp:posOffset>161290</wp:posOffset>
            </wp:positionV>
            <wp:extent cx="90868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6,753,627 Shares of Class A Common Stock</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Pre-Funded Warrants to Purchase 746,373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120" w:right="220"/>
        <w:spacing w:after="0" w:line="259" w:lineRule="auto"/>
        <w:rPr>
          <w:sz w:val="20"/>
          <w:szCs w:val="20"/>
          <w:color w:val="auto"/>
        </w:rPr>
      </w:pPr>
      <w:r>
        <w:rPr>
          <w:rFonts w:ascii="Times New Roman" w:cs="Times New Roman" w:eastAsia="Times New Roman" w:hAnsi="Times New Roman"/>
          <w:sz w:val="17"/>
          <w:szCs w:val="17"/>
          <w:color w:val="auto"/>
        </w:rPr>
        <w:t>We are offering 6,753,627 shares of our Class A common stock, par value $0.0001 per share (the “Common Stock”) and, in lieu of Common Stock to certain investors that so choose, pre-funded warrants to purchase 746,373 shares of Common Stock (“Pre-Funded Warrants”). The purchase price of each Pre-Funded Warrants equals the price per share at which Common Stock is being sold to the public in this offering, minus $0.0001, and the exercise price of each Pre-Funded Warrants equals $0.0001 per share. We refer to the sale of the Common Stock and the Pre-Funded Warrants as the “Offering.”</w:t>
      </w:r>
    </w:p>
    <w:p>
      <w:pPr>
        <w:spacing w:after="0" w:line="182" w:lineRule="exact"/>
        <w:rPr>
          <w:sz w:val="24"/>
          <w:szCs w:val="24"/>
          <w:color w:val="auto"/>
        </w:rPr>
      </w:pPr>
    </w:p>
    <w:p>
      <w:pPr>
        <w:ind w:left="120" w:right="20"/>
        <w:spacing w:after="0" w:line="259" w:lineRule="auto"/>
        <w:rPr>
          <w:sz w:val="20"/>
          <w:szCs w:val="20"/>
          <w:color w:val="auto"/>
        </w:rPr>
      </w:pPr>
      <w:r>
        <w:rPr>
          <w:rFonts w:ascii="Times New Roman" w:cs="Times New Roman" w:eastAsia="Times New Roman" w:hAnsi="Times New Roman"/>
          <w:sz w:val="17"/>
          <w:szCs w:val="17"/>
          <w:color w:val="auto"/>
        </w:rPr>
        <w:t>Our Common Stock is traded on the New York Stock Exchange (“NYSE”) under the symbol “BKKT.” On July 28, 2025, the last reported sales price of our Common Stock on the NYSE was $17.17 per share. There is no established public trading market for the Pre-Funded Warrants, and we do not expect a market to develop. In addition, we do not intend to apply for a listing of the Pre-Funded Warrants on the NYSE, any other national securities exchange or any other nationally recognized trading system.</w:t>
      </w:r>
    </w:p>
    <w:p>
      <w:pPr>
        <w:spacing w:after="0" w:line="172" w:lineRule="exact"/>
        <w:rPr>
          <w:sz w:val="24"/>
          <w:szCs w:val="24"/>
          <w:color w:val="auto"/>
        </w:rPr>
      </w:pPr>
    </w:p>
    <w:p>
      <w:pPr>
        <w:ind w:left="120" w:right="42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read carefully and consider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in this prospectus supplement on page S-8 and in our accompanying prospectus beginning on page 6 and in the documents that are incorporated by reference into this prospectus supplement before investing in our securities.</w:t>
      </w:r>
    </w:p>
    <w:p>
      <w:pPr>
        <w:spacing w:after="0" w:line="173" w:lineRule="exact"/>
        <w:rPr>
          <w:sz w:val="24"/>
          <w:szCs w:val="24"/>
          <w:color w:val="auto"/>
        </w:rPr>
      </w:pPr>
    </w:p>
    <w:p>
      <w:pPr>
        <w:jc w:val="both"/>
        <w:ind w:left="120" w:right="460"/>
        <w:spacing w:after="0" w:line="26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(“SEC”)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187"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Per</w:t>
            </w: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80" w:type="dxa"/>
            <w:vAlign w:val="bottom"/>
          </w:tcPr>
          <w:p>
            <w:pPr>
              <w:spacing w:after="0"/>
              <w:rPr>
                <w:sz w:val="13"/>
                <w:szCs w:val="13"/>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13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8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10.00</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9.9999</w:t>
            </w: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74,999,925.36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0.60</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color w:val="auto"/>
              </w:rPr>
              <w:t>0.599994</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4,499,995.52</w:t>
            </w: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9.40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9.399906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70,499,929.84</w:t>
            </w:r>
          </w:p>
        </w:tc>
        <w:tc>
          <w:tcPr>
            <w:tcW w:w="0" w:type="dxa"/>
            <w:vAlign w:val="bottom"/>
          </w:tcPr>
          <w:p>
            <w:pPr>
              <w:spacing w:after="0"/>
              <w:rPr>
                <w:sz w:val="1"/>
                <w:szCs w:val="1"/>
                <w:color w:val="auto"/>
              </w:rPr>
            </w:pPr>
          </w:p>
        </w:tc>
      </w:tr>
    </w:tbl>
    <w:p>
      <w:pPr>
        <w:spacing w:after="0" w:line="221" w:lineRule="exact"/>
        <w:rPr>
          <w:sz w:val="24"/>
          <w:szCs w:val="24"/>
          <w:color w:val="auto"/>
        </w:rPr>
      </w:pPr>
    </w:p>
    <w:p>
      <w:pPr>
        <w:ind w:left="540" w:right="880" w:hanging="424"/>
        <w:spacing w:after="0" w:line="206" w:lineRule="auto"/>
        <w:tabs>
          <w:tab w:leader="none" w:pos="540" w:val="left"/>
        </w:tabs>
        <w:numPr>
          <w:ilvl w:val="0"/>
          <w:numId w:val="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We refer you to “Underwriting” beginning on page S-16 of this prospectus supplement for additional information regarding total underwriting compensation.</w:t>
      </w:r>
    </w:p>
    <w:p>
      <w:pPr>
        <w:spacing w:after="0" w:line="200" w:lineRule="exact"/>
        <w:rPr>
          <w:sz w:val="24"/>
          <w:szCs w:val="24"/>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1,125,000 shares of our Common Stock. If the underwriters exercise the option in full, the total underwriting discounts and commissions payable by us will be $5.2 million, and the total proceeds to us, before expenses, will be $81.1 million. See “Underwriting” for more information.</w:t>
      </w:r>
    </w:p>
    <w:p>
      <w:pPr>
        <w:spacing w:after="0" w:line="17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Delivery of the shares of the Common Stock and Pre-Funded Warrants will be made on or about July 30, 2025.</w:t>
      </w:r>
    </w:p>
    <w:p>
      <w:pPr>
        <w:spacing w:after="0" w:line="2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ectPr>
          <w:pgSz w:w="11900" w:h="16838" w:orient="portrait"/>
          <w:cols w:equalWidth="0" w:num="1">
            <w:col w:w="11140"/>
          </w:cols>
          <w:pgMar w:left="320" w:top="225" w:right="439" w:bottom="1440" w:gutter="0" w:footer="0" w:header="0"/>
        </w:sectPr>
      </w:pPr>
    </w:p>
    <w:p>
      <w:pPr>
        <w:spacing w:after="0" w:line="34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8"/>
          <w:szCs w:val="28"/>
          <w:b w:val="1"/>
          <w:bCs w:val="1"/>
          <w:color w:val="auto"/>
        </w:rPr>
        <w:t>Clear Street</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Cohen &amp; Company Capital Markets</w:t>
      </w:r>
    </w:p>
    <w:p>
      <w:pPr>
        <w:spacing w:after="0" w:line="200" w:lineRule="exact"/>
        <w:rPr>
          <w:sz w:val="24"/>
          <w:szCs w:val="24"/>
          <w:color w:val="auto"/>
        </w:rPr>
      </w:pPr>
    </w:p>
    <w:p>
      <w:pPr>
        <w:sectPr>
          <w:pgSz w:w="11900" w:h="16838" w:orient="portrait"/>
          <w:cols w:equalWidth="0" w:num="2">
            <w:col w:w="5940" w:space="720"/>
            <w:col w:w="4480"/>
          </w:cols>
          <w:pgMar w:left="320" w:top="225" w:right="439" w:bottom="1440" w:gutter="0" w:footer="0" w:header="0"/>
          <w:type w:val="continuous"/>
        </w:sectPr>
      </w:pP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July 28, 2025.</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0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418"/>
        </w:trPr>
        <w:tc>
          <w:tcPr>
            <w:tcW w:w="34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5"/>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64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REGARDING FORWARD-LOOKING INFORMATION</w:t>
            </w:r>
          </w:p>
        </w:tc>
        <w:tc>
          <w:tcPr>
            <w:tcW w:w="2240" w:type="dxa"/>
            <w:vAlign w:val="bottom"/>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4"/>
          </w:tcPr>
          <w:p>
            <w:pPr>
              <w:spacing w:after="0"/>
              <w:rPr>
                <w:sz w:val="17"/>
                <w:szCs w:val="17"/>
                <w:color w:val="auto"/>
              </w:rPr>
            </w:pPr>
          </w:p>
        </w:tc>
        <w:tc>
          <w:tcPr>
            <w:tcW w:w="5400" w:type="dxa"/>
            <w:vAlign w:val="bottom"/>
            <w:gridSpan w:val="7"/>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00" w:type="dxa"/>
            <w:vAlign w:val="bottom"/>
            <w:gridSpan w:val="18"/>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100" w:type="dxa"/>
            <w:vAlign w:val="bottom"/>
            <w:gridSpan w:val="18"/>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CAPITALIZATION</w:t>
            </w:r>
          </w:p>
        </w:tc>
        <w:tc>
          <w:tcPr>
            <w:tcW w:w="7220" w:type="dxa"/>
            <w:vAlign w:val="bottom"/>
            <w:gridSpan w:val="19"/>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COMMON STOCK</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40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PRE-FUNDED WARRANTS</w:t>
            </w:r>
          </w:p>
        </w:tc>
        <w:tc>
          <w:tcPr>
            <w:tcW w:w="4640" w:type="dxa"/>
            <w:vAlign w:val="bottom"/>
            <w:gridSpan w:val="3"/>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20" w:type="dxa"/>
            <w:vAlign w:val="bottom"/>
            <w:gridSpan w:val="23"/>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VALIDITY OF THE SECURITIES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25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120" w:type="dxa"/>
            <w:vAlign w:val="bottom"/>
            <w:gridSpan w:val="12"/>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S-26</w:t>
            </w:r>
          </w:p>
        </w:tc>
      </w:tr>
      <w:tr>
        <w:trPr>
          <w:trHeight w:val="371"/>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3"/>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0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418"/>
        </w:trPr>
        <w:tc>
          <w:tcPr>
            <w:tcW w:w="86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60" w:type="dxa"/>
            <w:vAlign w:val="bottom"/>
            <w:gridSpan w:val="14"/>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15"/>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8"/>
          </w:tcPr>
          <w:p>
            <w:pPr>
              <w:spacing w:after="0"/>
              <w:rPr>
                <w:sz w:val="17"/>
                <w:szCs w:val="17"/>
                <w:color w:val="auto"/>
              </w:rPr>
            </w:pPr>
          </w:p>
        </w:tc>
        <w:tc>
          <w:tcPr>
            <w:tcW w:w="5760" w:type="dxa"/>
            <w:vAlign w:val="bottom"/>
            <w:gridSpan w:val="10"/>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60" w:type="dxa"/>
            <w:vAlign w:val="bottom"/>
            <w:gridSpan w:val="9"/>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200" w:type="dxa"/>
            <w:vAlign w:val="bottom"/>
            <w:gridSpan w:val="13"/>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660" w:type="dxa"/>
            <w:vAlign w:val="bottom"/>
            <w:gridSpan w:val="17"/>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16"/>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2340" w:type="dxa"/>
            <w:vAlign w:val="bottom"/>
            <w:gridSpan w:val="1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1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BY REFERENCE</w:t>
            </w:r>
          </w:p>
        </w:tc>
        <w:tc>
          <w:tcPr>
            <w:tcW w:w="700" w:type="dxa"/>
            <w:vAlign w:val="bottom"/>
            <w:tcBorders>
              <w:top w:val="single" w:sz="8" w:color="0000EE"/>
            </w:tcBorders>
            <w:gridSpan w:val="4"/>
          </w:tcPr>
          <w:p>
            <w:pPr>
              <w:spacing w:after="0"/>
              <w:rPr>
                <w:sz w:val="17"/>
                <w:szCs w:val="17"/>
                <w:color w:val="auto"/>
              </w:rPr>
            </w:pPr>
          </w:p>
        </w:tc>
        <w:tc>
          <w:tcPr>
            <w:tcW w:w="4880" w:type="dxa"/>
            <w:vAlign w:val="bottom"/>
            <w:gridSpan w:val="4"/>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the Offering and also adds to and updates information contained in the accompanying prospectus and the documents incorporated by reference into this prospectus supplement and the accompanying prospectus. The second part consists of a prospectus dated July 3, 2025, included in the registration statement on Form S-3 (No.</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333-288361). Since the accompanying prospectus provides general information about us, some of the information may not apply to this Offering. This prospectus supplement describes the specific details regarding this Offering. Generally, when we refer to the “prospectus,” we are referring to both parts of this document. Additional information is incorporated by reference in this prospectus supplement. If information in this prospectus supplement is inconsistent with the accompanying prospectus, you should rely on this prospectus supplement. You should read this prospectus supplement, the accompanying prospectus and any information incorporated by reference before you make any investment decision.</w:t>
      </w:r>
    </w:p>
    <w:p>
      <w:pPr>
        <w:spacing w:after="0" w:line="18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Neither we nor the underwriters are making an offer to sell the securities in jurisdictions where the offer or sale is not permitted. The distribution of this prospectus supplement and the accompanying prospectus and the offer and sale of our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 offer of, or an invitation to purchase, any shares of Common Stock or any Pre-Funded Warrants in any jurisdiction in which such offer or invitation would be unlawful.</w:t>
      </w:r>
    </w:p>
    <w:p>
      <w:pPr>
        <w:spacing w:after="0" w:line="16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information contained in this prospectus supplement, the accompanying prospectus and the documents we incorporate by reference in this prospectus supplement. We have not authorized anyone to provide you with information that is different from that contained in this prospectus supplement. We are not offering to sell or seeking offers to buy shares of Common Stock or Pre-Funded Warrants in jurisdictions where offers and sales are not permitted. The information contained in this prospectus supplement and the accompanying prospectus supplement is accurate only as of their respective dates, regardless of the time of delivery of this prospectus supplement or of any sale of our Common Stock or Pre-Funded Warrants.</w:t>
      </w:r>
    </w:p>
    <w:p>
      <w:pPr>
        <w:spacing w:after="0" w:line="18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to the “Company,” “we,” “us,” “our” and “Bakkt” refer to Bakkt Holdings, Inc., a Delaware corporation, and its consolidated subsidiaries.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section entitled “Where You Can Find More Information.”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supplement and the accompanying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adoption of our investment policy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(as defined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termination of the ICE Revolving Credit Facility (as defined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loyalty business.</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our finalization of our financial statements for and as of the quarter ended June 30, 2025;</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or new changes in facts or circumstances that may occur prior to the filing of our Quarterly Report on Form 10-Q for the quarter ended June 30, 2025 that are required to be included in such quarterly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implement our business plans or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Distributed Technologies Research Global Ltd. (“DTR”);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our adoption of the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NYSE;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supplement, the accompanying prospectus and in the documents incorporated by reference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discussed further below under “– Recent Developments – Sale of Loyalty Business”, on July 23, 2025 we agreed to sell our loyalty business to Project Labrador Holdco, LLC, a wholly owned subsidiary of Roman DBDR Technology Advisors, Inc.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21" w:lineRule="exact"/>
        <w:rPr>
          <w:sz w:val="20"/>
          <w:szCs w:val="20"/>
          <w:color w:val="auto"/>
        </w:rPr>
      </w:pPr>
    </w:p>
    <w:p>
      <w:pPr>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In March 2025, we entered into a Cooperation Agreement with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Updated Investment Policy</w:t>
      </w:r>
    </w:p>
    <w:p>
      <w:pPr>
        <w:spacing w:after="0" w:line="121"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In June 2025 we updated our Investment Policy to enable us to allocate capital into Bitcoin and other digital assets as part of our broader treasury and corporate strategy, subject to market conditions and the anticipated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liquidity needs of the business. We may acquire Bitcoin or other digital assets 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our Investment Policy. To date, we have not purchased any Bitcoin or other digital assets pursuant to our updated Investment Policy.</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 Factors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Update of our Investment Policy,</w:t>
      </w:r>
      <w:r>
        <w:rPr>
          <w:rFonts w:ascii="Times New Roman" w:cs="Times New Roman" w:eastAsia="Times New Roman" w:hAnsi="Times New Roman"/>
          <w:sz w:val="18"/>
          <w:szCs w:val="18"/>
          <w:color w:val="auto"/>
        </w:rPr>
        <w:t>” which is attached as Exhibit 99.1 to our Current Report on Form 8-K filed with the SEC on June 10,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Preliminary Financial Results for Quarter Ended June 30, 2025</w:t>
      </w:r>
    </w:p>
    <w:p>
      <w:pPr>
        <w:spacing w:after="0" w:line="135"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for the second quarter of 2025 are estimated to be in a range of $577 million to $579 million.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crypto revenues for the second quarter of 2025 are estimated to be in a range of $568 million to $569 million.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loyalty revenues for the second quarter of 2025 are estimated to be in a range of $9 million to $10 million.</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crypto costs and execution, clearing and brokerage fees for the second quarter of 2025 are estimated to be in a range of $565 million to $566 million.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cash and cash equivalents and restricted cash</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at June 30, 2025 are estimated to be in a range of $60 million to $62 million.</w:t>
      </w:r>
    </w:p>
    <w:p>
      <w:pPr>
        <w:spacing w:after="0" w:line="5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access to $40 million of liquidity from the Revolving Credit Agreement, all of which is undrawn.</w:t>
      </w:r>
    </w:p>
    <w:p>
      <w:pPr>
        <w:spacing w:after="0" w:line="11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(excluding customer funds payable) for the second quarter of 2025 is estimated to be in a range of $13 million to $15 million.</w:t>
      </w:r>
    </w:p>
    <w:p>
      <w:pPr>
        <w:spacing w:after="0" w:line="162"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The preliminary financial information set forth above has not been reviewed or audited by Bakkt’s independent registered accounting firm and is subject to revision and is anticipated to be finalized in connection with the completion of the Bakkt’s Quarterly Report on Form 10-Q for the quarter ended June 30, 2025. Bakkt’s preliminary estimates above are not a comprehensive statement of Bakkt’s financial results and are not necessarily indicative of the results to be expected as of or for the quarter ended June 30, 2025, or any future period. Accordingly, you should not place undue reliance on these preliminary estimates. Bakkt expects to report its second quarter 2025 results during a conference call in August, at which point it will discuss its second quarter 2025 financial results in more detail.</w:t>
      </w:r>
    </w:p>
    <w:p>
      <w:pPr>
        <w:spacing w:after="0" w:line="187"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During the course of Bakkt’s quarter-end closing procedures and review process, including the finalization of its financial statements for and as of the quarter ended June 30, 2025, Bakkt may identify items that would</w:t>
      </w:r>
    </w:p>
    <w:p>
      <w:pPr>
        <w:spacing w:after="0" w:line="135" w:lineRule="exact"/>
        <w:rPr>
          <w:sz w:val="20"/>
          <w:szCs w:val="20"/>
          <w:color w:val="auto"/>
        </w:rPr>
      </w:pPr>
    </w:p>
    <w:p>
      <w:pPr>
        <w:ind w:left="720" w:right="340" w:hanging="422"/>
        <w:spacing w:after="0" w:line="208" w:lineRule="auto"/>
        <w:tabs>
          <w:tab w:leader="none" w:pos="7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Restricted cash is held to satisfy certain minimum capital requirements pursuant to regulatory requirements, or as collateral for insurance contracts and our purchasing card facility.</w:t>
      </w: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80"/>
        <w:spacing w:after="0" w:line="266" w:lineRule="auto"/>
        <w:rPr>
          <w:sz w:val="20"/>
          <w:szCs w:val="20"/>
          <w:color w:val="auto"/>
        </w:rPr>
      </w:pPr>
      <w:r>
        <w:rPr>
          <w:rFonts w:ascii="Times New Roman" w:cs="Times New Roman" w:eastAsia="Times New Roman" w:hAnsi="Times New Roman"/>
          <w:sz w:val="18"/>
          <w:szCs w:val="18"/>
          <w:color w:val="auto"/>
        </w:rPr>
        <w:t>require it to make adjustments, which may be material to the information presented above. As a result, the estimates above constitute forward-looking information and are subject to risks and uncertainties, including possible adjustments to preliminary results. See “Cautionary Note Regarding Forward-Looking Statements” for further details.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One-Time Option Awards</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Company’s Board of Directors and its Compensation Committee (the “Compensation Committee”) approved a one-time award of stock options to purchase up to $74.5 million worth of Common Stock (the “Options”), in the aggregate, to 10 employees. No consideration was received by the Company for the granting of the Options. Due to the limited share reserve under the Bakkt Holdings, Inc. 2021 Omnibus Employee Incentive Plan (the “Omnibus Incentive Plan”), the Options were approved by the Board of Directors outside the Omnibus Incentive Plan and are subject to stockholder approval. Notwithstanding the foregoing, the Options will be governed in all respects as if issued under the Omnibus Incentive Plan, except with respect to the Omnibus Incentive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8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Consistent with the purpose of the Omnibus Incentive Plan and subject to stockholder approval, the Options are structured as a commitment by the grantee to exercise a predetermined number of Options every quarter for eight quarters (such committed number of Options, the “Mandatory Exercise Options”) at an exercise price per share set forth in the applicable award agreement, which exercise price will be equal to the value of a share of Common Stock as negotiated in the Offering, which reflects a third-party negotiated fair market value, or to the extent required to comply with Section 409A of the Internal Revenue Code, the fair market value of a share of Common Stock on the date of grant. For each quarter in which the grantee exercises the Mandatory Exercise Options, the grantee will be entitled to exercise an additional number of Options (the “Optional Exercise Options”) which Optional Exercise Options will become exercisable for a period of up to two years. The grantee must personally fund the exercise price in order to exercise the Mandatory Exercise Options, as net settlement of the Mandatory Exercise Options will not be permitted. The grantee may either personally fund the exercise price in order to exercise the Optional Exercise Options or may elect to net settle the Optional Exercise Options.</w:t>
      </w:r>
    </w:p>
    <w:p>
      <w:pPr>
        <w:spacing w:after="0" w:line="194"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Subject to stockholder approval, the award pool for Options will be $74.5 million (the “Total Pool”). The Total Pool will be divided into two sub-pools from which the grantees will receive options to purchase Common Stock in the following amounts:</w:t>
      </w:r>
    </w:p>
    <w:p>
      <w:pPr>
        <w:spacing w:after="0" w:line="65" w:lineRule="exact"/>
        <w:rPr>
          <w:sz w:val="20"/>
          <w:szCs w:val="20"/>
          <w:color w:val="auto"/>
        </w:rPr>
      </w:pPr>
    </w:p>
    <w:p>
      <w:pPr>
        <w:ind w:left="1240" w:right="140" w:hanging="523"/>
        <w:spacing w:after="0" w:line="267"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Pool One</w:t>
      </w:r>
      <w:r>
        <w:rPr>
          <w:rFonts w:ascii="Times New Roman" w:cs="Times New Roman" w:eastAsia="Times New Roman" w:hAnsi="Times New Roman"/>
          <w:sz w:val="18"/>
          <w:szCs w:val="18"/>
          <w:color w:val="auto"/>
        </w:rPr>
        <w:t>: 81% of the Total Pool will be allocated to Pool One. For each grantee in Pool One, 1/8 of their Options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each quarter (the “Quarterly Tranche”), with 20% of each Quarterly Tranche being Mandatory Exercise Options, and the remainder of the Quarterly Tranche being Optional Exercise Options.</w:t>
      </w:r>
    </w:p>
    <w:p>
      <w:pPr>
        <w:spacing w:after="0" w:line="78" w:lineRule="exact"/>
        <w:rPr>
          <w:rFonts w:ascii="Times New Roman" w:cs="Times New Roman" w:eastAsia="Times New Roman" w:hAnsi="Times New Roman"/>
          <w:sz w:val="18"/>
          <w:szCs w:val="18"/>
          <w:color w:val="auto"/>
        </w:rPr>
      </w:pPr>
    </w:p>
    <w:p>
      <w:pPr>
        <w:ind w:left="1240" w:right="80" w:hanging="523"/>
        <w:spacing w:after="0" w:line="267"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Pool Two</w:t>
      </w:r>
      <w:r>
        <w:rPr>
          <w:rFonts w:ascii="Times New Roman" w:cs="Times New Roman" w:eastAsia="Times New Roman" w:hAnsi="Times New Roman"/>
          <w:sz w:val="18"/>
          <w:szCs w:val="18"/>
          <w:color w:val="auto"/>
        </w:rPr>
        <w:t>: 19% of the Total Pool will be allocated to Pool Two. For each grantee in Pool Two, 1/8 of their Options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each quarter, with 10% of each Quarterly Tranche being Mandatory Exercise Options, and the remainder of the Quarterly Tranche being Optional Exercise Options.</w:t>
      </w:r>
    </w:p>
    <w:p>
      <w:pPr>
        <w:spacing w:after="0" w:line="6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quarter, a Quarterly Tranche will become exercisable as follows:</w:t>
      </w:r>
    </w:p>
    <w:p>
      <w:pPr>
        <w:spacing w:after="0" w:line="130" w:lineRule="exact"/>
        <w:rPr>
          <w:rFonts w:ascii="Times New Roman" w:cs="Times New Roman" w:eastAsia="Times New Roman" w:hAnsi="Times New Roman"/>
          <w:sz w:val="18"/>
          <w:szCs w:val="18"/>
          <w:color w:val="auto"/>
        </w:rPr>
      </w:pPr>
    </w:p>
    <w:p>
      <w:pPr>
        <w:ind w:left="1640" w:right="760" w:hanging="289"/>
        <w:spacing w:after="0" w:line="282"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Exercise portion of the tranche will be exercisable over a two-day period in the applicable quarter (the “Mandatory Exercise Period”).</w:t>
      </w:r>
    </w:p>
    <w:p>
      <w:pPr>
        <w:spacing w:after="0" w:line="67" w:lineRule="exact"/>
        <w:rPr>
          <w:rFonts w:ascii="Times New Roman" w:cs="Times New Roman" w:eastAsia="Times New Roman" w:hAnsi="Times New Roman"/>
          <w:sz w:val="18"/>
          <w:szCs w:val="18"/>
          <w:color w:val="auto"/>
        </w:rPr>
      </w:pPr>
    </w:p>
    <w:p>
      <w:pPr>
        <w:ind w:left="1640" w:right="20" w:hanging="289"/>
        <w:spacing w:after="0" w:line="282"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exercises the Mandatory Exercise portion of the tranche during the Mandatory Exercise Period, then the remaining portion of the Quarterly Tranche will become exercisable for a</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80" w:right="440"/>
        <w:spacing w:after="0" w:line="282" w:lineRule="auto"/>
        <w:rPr>
          <w:sz w:val="20"/>
          <w:szCs w:val="20"/>
          <w:color w:val="auto"/>
        </w:rPr>
      </w:pPr>
      <w:r>
        <w:rPr>
          <w:rFonts w:ascii="Times New Roman" w:cs="Times New Roman" w:eastAsia="Times New Roman" w:hAnsi="Times New Roman"/>
          <w:sz w:val="18"/>
          <w:szCs w:val="18"/>
          <w:color w:val="auto"/>
        </w:rPr>
        <w:t>period of two years thereafter. The grantee may choose when within that two year period to exercise the Optional Exercise Options.</w:t>
      </w:r>
    </w:p>
    <w:p>
      <w:pPr>
        <w:spacing w:after="0" w:line="67" w:lineRule="exact"/>
        <w:rPr>
          <w:sz w:val="20"/>
          <w:szCs w:val="20"/>
          <w:color w:val="auto"/>
        </w:rPr>
      </w:pPr>
    </w:p>
    <w:p>
      <w:pPr>
        <w:ind w:left="164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does not exercise the Mandatory Exercise portion of any Quarterly Tranche during the Mandatory Exercise Period, then all remaining Options (for that quarter and all future quarters) will be forfeited.</w:t>
      </w:r>
    </w:p>
    <w:p>
      <w:pPr>
        <w:spacing w:after="0" w:line="162"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Subject to stockholder approval, any portion of the Options, including both the Mandatory Exercise portion and/or the Optional Exercise portion of any Quarterly Tranche, may be exercised on an accelerated basis prior to the applicable quarter in which the Quarterly Tranche would otherwise become exercisable (but not before the first Mandatory Exercise Period); provided, that any shares of Common Stock acquired on exercise of Optional Exercise Options will be subject to a trading lock up and will not be freely tradable, sellable or transferrable until the date on which the Optional Exercise Options would otherwise have become exercisable pursuant to the Quarterly Tranche schedule described above.</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Sale of Loyalty Business</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On July 23, 2025, Bakkt Opco Holdings, LLC (“Opco”), a wholly owned subsidiary of the Company, entered into an Equity Purchase Agreement (the “Purchase Agreement”) by and among Opco,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 (collectively, the “Acquired Companies”). Pursuant to the terms and subject to the conditions set forth in the Purchase Agreement, Opco has agreed to sell to the Purchaser all of the issued and outstanding equity interests of the Acquired Companies, which constitute the entities that conduct the loyalty and travel redemption business of the Company (the “Loyalty Business Sale”).</w:t>
      </w:r>
    </w:p>
    <w:p>
      <w:pPr>
        <w:spacing w:after="0" w:line="189"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The consideration to be paid to Opco in connection with the Loyalty Business Sale is $1.00, subject to certain adjustments following the Closing of the Loyalty Business Sale (the “Loyalty Business Sale Closing”). At the Loyalty Business Sale Closing, Opco shall deliver the equity of the Acquired Entities, together with an amount of cash equal to $11 million plus (i) the amount of the most negative working capital of the business that existed in the twelve months prior to the closing date and (ii) the amount of estimated indebtedness, subject to post-closing adjustments. Opco shall also place the Escrow Amount (defined below) into an escrow account, to hold funds for the indemnity obligations of Opco and the working capital adjustment and indebtedness adjustment, in each case as set forth in the Purchase Agreement and an accompanying escrow agreement. At the Loyalty Business Sale Closing, pursuant to an escrow agreement, Opco will deposit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date, the parties will determine whether the value of working capital delivered to the Purchaser at the Loyalty Business Sale Closing was greater than the greatest absolute value of working capital that existed in the twelve months following the closing date. If the value of working capital delivered to the Purchaser at the Loyalty Business Sale Closing was greater that such greatest absolute value, the Purchaser shall pay to Opco the difference between the value of working capital delivered to the Purchaser at the Loyalty Business Sale Closing and such greatest absolute value.</w:t>
      </w:r>
    </w:p>
    <w:p>
      <w:pPr>
        <w:spacing w:after="0" w:line="195"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Furthermore, in connection with the Loyalty Business Sale, the Company plans to enter into ancillary agreements including (i) a note issued by the Purchaser to Opco pursuant to which Opco will loan to the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56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Purchaser an amount equal to the restricted cash held by the Acquired Entities for the lesser of 18 months or the time the agreement is terminated pursuant to which such cash is restricted, (ii) the escrow agreement described above, and (iii) a transition services agreement pursuant to which Opco and the Purchaser or their respective affiliates will provide certain transition services to one another (the “Ancillary Agreements”). Consummation of the Loyalty Business Sale is subject to the satisfaction or waiver of certain conditions, including, but not limited to, the execution of certain of the Ancillary Agreements, the completion by the Purchaser of certain operational integrations, and the assignment of certain contracts to the Purchaser.</w:t>
      </w:r>
    </w:p>
    <w:p>
      <w:pPr>
        <w:spacing w:after="0" w:line="187"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Loyalty Business Sale achieves a key component of the Company’s strategic transformation into a pure-play crypto infrastructure company, and is expected to close in the third quarter 2025. The Company will report the Loyalty business as a discontinued operation beginning in the quarter ending September 30, 2025, allowing management to focus resources on the Company’s core crypto offerings and stablecoin payments infrastructure.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4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534-5849. Our website is https://www.bakkt.com. Information contained on, or that can be accessed through, our website is not a part of, and is not incorporated into, this prospectus, and the inclusion of our website address in this prospectus is an inactive textual reference only.</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80" w:type="dxa"/>
            <w:vAlign w:val="bottom"/>
            <w:tcBorders>
              <w:top w:val="single" w:sz="8" w:color="auto"/>
              <w:left w:val="single" w:sz="8" w:color="auto"/>
            </w:tcBorders>
          </w:tcPr>
          <w:p>
            <w:pPr>
              <w:spacing w:after="0"/>
              <w:rPr>
                <w:sz w:val="24"/>
                <w:szCs w:val="24"/>
                <w:color w:val="auto"/>
              </w:rPr>
            </w:pPr>
          </w:p>
        </w:tc>
        <w:tc>
          <w:tcPr>
            <w:tcW w:w="694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73"/>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6,753,627 shares of Common Stock</w:t>
            </w:r>
          </w:p>
        </w:tc>
      </w:tr>
      <w:tr>
        <w:trPr>
          <w:trHeight w:val="454"/>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offered by us</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are also offering, in lieu of common stock to certain investors, Pre-Funded Warrants to</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purchase 746,373 shares of our Common Stock. The purchase price of each Pre-Funded</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Warrant equals the price per share at which the Common Stock is being sold to the public</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 this Offering, minus $0.0001, and the exercise price of each Pre-Funded Warrant will be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$0.0001 per share. Each Pre-Funded Warrant will be exercisable at any time after its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original issuance and on or prior to 5:00 p.m. (New York City time), subject to an</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ownership limitation. See “Description of Pre-Funded Warrants.” This prospectus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supplement also relates to the registration of the Common Stock issuable upon exercise of</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such pre-funded warrants.</w:t>
            </w:r>
          </w:p>
        </w:tc>
      </w:tr>
      <w:tr>
        <w:trPr>
          <w:trHeight w:val="437"/>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 an additional 1,125,000</w:t>
            </w:r>
          </w:p>
        </w:tc>
      </w:tr>
      <w:tr>
        <w:trPr>
          <w:trHeight w:val="220"/>
        </w:trPr>
        <w:tc>
          <w:tcPr>
            <w:tcW w:w="40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 and additional Pre-Funded Warrants</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shares of our Common Stock at the offering price from us within 30 days of the date of this</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59"/>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prior to Offering</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7,619,892 shares of Common Stock.</w:t>
            </w:r>
          </w:p>
        </w:tc>
      </w:tr>
      <w:tr>
        <w:trPr>
          <w:trHeight w:val="454"/>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14,373,519 shares of Common Stock (or 15,498,519 shares if the underwriters exercise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their option to purchase additional shares of our Common Stock in full). No effect is given</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 the exercise of the Pre-Funded Warrants.</w:t>
            </w: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 expect the net proceeds from this Offering will be approximately $68.8 million (or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approximately $79.4 million if the underwriters exercise their option to purchase additional</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shares of our Common Stock in full) after deducting the underwriting discounts and</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commissions, as described in “Underwriting,” and estimated Offering expenses payable by</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us. We intend to use the net proceeds from this Offering to purchase Bitcoin and other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digital assets in accordance with our Investment Policy, for working capital and for general</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 purposes. See “Use of Proceeds” on page S-11 of this prospectus supplement.</w:t>
            </w: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NYSE trading symbol</w:t>
            </w: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“BKKT”. We do not intend to</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apply for listing of the Pre-Funded Warrants on the NYSE or any securities exchange or</w:t>
            </w:r>
          </w:p>
        </w:tc>
      </w:tr>
      <w:tr>
        <w:trPr>
          <w:trHeight w:val="234"/>
        </w:trPr>
        <w:tc>
          <w:tcPr>
            <w:tcW w:w="4080" w:type="dxa"/>
            <w:vAlign w:val="bottom"/>
            <w:tcBorders>
              <w:left w:val="single" w:sz="8" w:color="auto"/>
            </w:tcBorders>
          </w:tcPr>
          <w:p>
            <w:pPr>
              <w:spacing w:after="0"/>
              <w:rPr>
                <w:sz w:val="20"/>
                <w:szCs w:val="20"/>
                <w:color w:val="auto"/>
              </w:rPr>
            </w:pPr>
          </w:p>
        </w:tc>
        <w:tc>
          <w:tcPr>
            <w:tcW w:w="694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nationally recognized trading system.</w:t>
            </w:r>
          </w:p>
        </w:tc>
      </w:tr>
      <w:tr>
        <w:trPr>
          <w:trHeight w:val="172"/>
        </w:trPr>
        <w:tc>
          <w:tcPr>
            <w:tcW w:w="4080" w:type="dxa"/>
            <w:vAlign w:val="bottom"/>
            <w:tcBorders>
              <w:left w:val="single" w:sz="8" w:color="auto"/>
              <w:bottom w:val="single" w:sz="8" w:color="auto"/>
            </w:tcBorders>
          </w:tcPr>
          <w:p>
            <w:pPr>
              <w:spacing w:after="0"/>
              <w:rPr>
                <w:sz w:val="14"/>
                <w:szCs w:val="14"/>
                <w:color w:val="auto"/>
              </w:rPr>
            </w:pPr>
          </w:p>
        </w:tc>
        <w:tc>
          <w:tcPr>
            <w:tcW w:w="6940" w:type="dxa"/>
            <w:vAlign w:val="bottom"/>
            <w:tcBorders>
              <w:bottom w:val="single" w:sz="8" w:color="auto"/>
              <w:right w:val="single" w:sz="8" w:color="auto"/>
            </w:tcBorders>
          </w:tcPr>
          <w:p>
            <w:pPr>
              <w:spacing w:after="0"/>
              <w:rPr>
                <w:sz w:val="14"/>
                <w:szCs w:val="14"/>
                <w:color w:val="auto"/>
              </w:rPr>
            </w:pPr>
          </w:p>
        </w:tc>
      </w:tr>
      <w:tr>
        <w:trPr>
          <w:trHeight w:val="361"/>
        </w:trPr>
        <w:tc>
          <w:tcPr>
            <w:tcW w:w="4080" w:type="dxa"/>
            <w:vAlign w:val="bottom"/>
          </w:tcPr>
          <w:p>
            <w:pPr>
              <w:spacing w:after="0"/>
              <w:rPr>
                <w:sz w:val="24"/>
                <w:szCs w:val="24"/>
                <w:color w:val="auto"/>
              </w:rPr>
            </w:pPr>
          </w:p>
        </w:tc>
        <w:tc>
          <w:tcPr>
            <w:tcW w:w="69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47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3047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the closing of this Offering is based on 7,619,892 shares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outstanding as of July 28, 2025 and excludes, as of that date:</w:t>
      </w:r>
    </w:p>
    <w:p>
      <w:pPr>
        <w:spacing w:after="0" w:line="112" w:lineRule="exact"/>
        <w:rPr>
          <w:sz w:val="20"/>
          <w:szCs w:val="20"/>
          <w:color w:val="auto"/>
        </w:rPr>
      </w:pPr>
    </w:p>
    <w:p>
      <w:pPr>
        <w:ind w:left="1240" w:right="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7,177,076 shares of Common Stock reserved for the exchange of paired interests represented by our Class V common stock, par value $0.0001 per share (“Class V Common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285,615 shares of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3,091,730 shares of Common Stock reserved for outstanding equity awards and the remaining pool of incentive equity available under our Omnibus Incentive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Common Stock reserved for the exercise of Class 1 Warrants;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Common Stock reserved for the exercise of Class 2 Warrants;</w:t>
      </w:r>
    </w:p>
    <w:p>
      <w:pPr>
        <w:spacing w:after="0" w:line="130" w:lineRule="exact"/>
        <w:rPr>
          <w:rFonts w:ascii="Times New Roman" w:cs="Times New Roman" w:eastAsia="Times New Roman" w:hAnsi="Times New Roman"/>
          <w:sz w:val="18"/>
          <w:szCs w:val="18"/>
          <w:color w:val="auto"/>
        </w:rPr>
      </w:pPr>
    </w:p>
    <w:p>
      <w:pPr>
        <w:jc w:val="both"/>
        <w:ind w:left="1240" w:right="12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1,619,143 shares of Common Stock reserved for the exercise of the inducement grant provided to Akshay Naheta in connection with his appointment as the Company’s Co-Chief Executive Officer; provided, however, the reservation of these shares of Common Stock is subject to stockholder approval;</w:t>
      </w:r>
    </w:p>
    <w:p>
      <w:pPr>
        <w:spacing w:after="0" w:line="81"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10,017,153 shares of Common Stock reserved for the issuance to YA II PN, LTD., a Cayman Islands exempt limited company (“YA”), upon conversion of the Company’s $25 million convertible debenture, dated June 18, 2025 (“Convertible Debenture”), sold to YA in a private placement (the “Private Placement”); and</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reserved for issuance in connection with the exercise of the Options.</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purchasing the Common Stock or Pre-Funded Warrants offered by this prospectus supplement you should consider carefully the risk factors described in this prospectus supplement, the accompanying prospectus, as well as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public offering price of our Common Stock is substantially higher than the net tangible book value per share of our Common Stock.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if you purchase shares of our Common Stock in this Offering, you will pay a price per share that substantially exceeds our net tangible book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value per share after giving effect to this Offering. If you purchase Common Stock in this offering, you will incur an immediate and substantial dilution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net tangible book value of $6.14 per share, after giving effect to the sale by us of 6,753,627 shares in this Offering at the public offering price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$10.00 per share. Furthermore, if the Pre-Funded Warrants offered hereby are exercised, you will experience further dilution. For a further description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dilution that you will experience immediately after this offering, see “Dilution.” In addition, in the past, we have issued options to acquire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at prices significantly below the offering price. To the extent these outstanding options are ultimately exercised, you will incur additional dilution.</w:t>
      </w:r>
    </w:p>
    <w:p>
      <w:pPr>
        <w:spacing w:after="0" w:line="311"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purchase Bitcoin and other digital assets in accordance with our Investment Policy, for working capital and for general corporate purposes. Our management will have broad discretion in the application of the net proceeds from this Offering and could spend the proceeds in ways that do not improve our results of operations or enhance the value of our securities. The failure by management to apply these funds effectively could result in financial losses that could have a material adverse effect on our business and cause the price of our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and sales into the market of our Common Stock or other equity securities may reduce the market price of our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Additional shares of our Common Stock or other equity securities may be issued and sold into the market in the future in connection with, among other things, the exercise of Options, the conversion of the Convertible Debenture into shares of Common Stock by YA, the exercise of the Pre-Funded Warrants, future acquisitions, repayment of outstanding indebtedness or grants under the Omnibus Incentive Plan, without stockholder approval in a number of circumstances. The issuance and sale into the market of additional shares of Common Stock or other equity securities could have, among other things, one or more of the following effects: our existing stockholders’ proportionate ownership interest will decrease; the amount of cash available per share, including for payment of dividends in the future, may decrease; the relative voting strength of each previously outstanding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share of our Common Stock may be diminished; and the market price of our Common Stock may decline. Moreover, if such sales of equity securities occur at a deemed issuance price that is lower than the current conversion price of the Convertible Debenture, the fixed price component of the conversion price for the Convertible Debenture would adjust downward to the deemed issuance price pursuant to price adjustment protection contained within the Convertible Debenture.</w:t>
      </w:r>
    </w:p>
    <w:p>
      <w:pPr>
        <w:spacing w:after="0" w:line="284"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any additional capital we seek may not be available in the amount or at the time we need it, or on terms that would be acceptable to us.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may need to raise funds in the future to execute our business plan. We may seek to raise additional capital to fund or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During the 12 months ended July 28, 2025, the market price of our Common Stock has ranged from a high of $37.21 per share to a low of $6.81 per share. This market volatility could reduce the market price of our securities without regard to our operating performance. In addition, the trading price of our Common Stock could change significantly in response to actual or anticipated variations in our quarterly operating results, announcements by us or our competitors, factors affecting the crypto industry generally, changes in national or regional economic conditions, changes in securities analysts’ estimates for us or our competitors’ or industry’s future performance or general market conditions, making it more difficult for our securities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anticipate that we will retain our earnings, if any, for future growth and therefore do not anticipate paying cash dividends in the future. As a result, only appreciation of the price of our Common Stock will provide a return to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NYSE. Without an active market, the liquidity of the Pre-Funded Warrants will be limited.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$0.0001 per share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any additional funds upon the exercise of the Pre-Funded Warrants.</w:t>
      </w:r>
    </w:p>
    <w:p>
      <w:pPr>
        <w:spacing w:after="0" w:line="284"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stockholders until such holders exercise their Pre-Funded Warrants and acquire our Common Stock.</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 acquire our Common Stock upon exercise of the Pre-Funded Warrants, holders of Pre-Funded Warrants will have no rights with respect to the Common Stock underlying such Pre-Funded Warrants. Upon exercise of the Pre-Funded Warrants, the holders will be entitled to exercise the rights of a stockholder only as to matters for which the record date occurs after the exercise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A holder of a Pre-Funded Warrant will not be entitled to exercise any portion of any Pre-Funded Warrant which, upon giving effect to such exercise, would cause (i) the aggregate number of shares of Common Stock beneficially owned by the holder (together with its affiliates) to exceed</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4.99% (or, at the holder’s option upon issuance, 9.99%) of the number of our shares of Common Stock outstanding immediately after giving effect to the exercise, or (ii) the combined voting power of our securities beneficially owned by the holder (together with its affiliates) to exceed 4.99% (or, at the holder’s option upon issuance, 9.99%) of the combined voting power of all of our securities then outstanding immediately after giving effect to the exercise, as such percentage ownership is determined in accordance with the terms of the Pre-Funded Warrants, which percentage may be increased or decreased upon 61 days’ prior notice. As a result, you may not be able to exercise your Pre-Funded Warrants for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expect the net proceeds from this Offering will be approximately $68.8 million (or approximately $79.4 million if the underwriters exercise their option to purchase additional shares of our Common Stock in full), after deducting underwriting discounts and commissions, as described in “Underwriting,” and estimated Offering expenses payable by us. We will receive nominal proceeds, if any, from the exercise of the Pre-Funded Warrants.</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 purchase Bitcoin and other digital assets in accordance with our Investment Policy, for working capital and for general corporate purposes.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of the proceeds from this Offering. Accordingly, we will retain broad discretion over the use of such proceeds. Pending the use of the net proceeds from this Offering as described above, we intend to invest the net proceeds in short-term, investment-grade securities.</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March 31, 2025:</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issuance of 309,794 shares of Common Stock granted to our employees and members of our Board of Directors under our Omnibus Incentive Plan issued after March 31, 2025, (ii) the conversion of 698 shares of Class V Common Stock into Common Stock, (iii) our receipt of proceeds of $23,750,000 from the sale of the Convertible Debenture to YA, (iv) the incurrence of $17,000,000 of indebtedness under the Convertible Debenture, (v) the conversion of $8,000,000 of the Convertible Debenture into 597,641 shares of Common Stock, (vi) the repayment of $5,000,000 outstanding under our revolving credit facility and (vii) our issuance and sale of 6,753,627 shares of Common Stock and Pre-Funded Warrants to purchase 746,373 shares of Common Stock, after deducting estimated underwriting fees and commissions and estimated Offering expenses payable by us and application of the net proceeds of approximately $68.8 million.</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this prospectus supplement and the accompanying prospectus and the information incorporated by reference from our Quarterly Report on Form 10-Q for the quarter ended March 31, 2025, including the historical financial statements and related notes included in the report.</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1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1240" w:type="dxa"/>
            <w:vAlign w:val="bottom"/>
            <w:tcBorders>
              <w:top w:val="single" w:sz="8" w:color="auto"/>
            </w:tcBorders>
            <w:gridSpan w:val="3"/>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Borders>
              <w:top w:val="single" w:sz="8" w:color="auto"/>
            </w:tcBorders>
          </w:tcPr>
          <w:p>
            <w:pPr>
              <w:jc w:val="right"/>
              <w:ind w:right="253"/>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17"/>
        </w:trPr>
        <w:tc>
          <w:tcPr>
            <w:tcW w:w="6180" w:type="dxa"/>
            <w:vAlign w:val="bottom"/>
          </w:tcPr>
          <w:p>
            <w:pPr>
              <w:spacing w:after="0"/>
              <w:rPr>
                <w:sz w:val="10"/>
                <w:szCs w:val="10"/>
                <w:color w:val="auto"/>
              </w:rPr>
            </w:pPr>
          </w:p>
        </w:tc>
        <w:tc>
          <w:tcPr>
            <w:tcW w:w="2060" w:type="dxa"/>
            <w:vAlign w:val="bottom"/>
            <w:tcBorders>
              <w:top w:val="single" w:sz="8" w:color="auto"/>
            </w:tcBorders>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21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23,010</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108,977</w:t>
            </w:r>
          </w:p>
        </w:tc>
        <w:tc>
          <w:tcPr>
            <w:tcW w:w="0" w:type="dxa"/>
            <w:vAlign w:val="bottom"/>
          </w:tcPr>
          <w:p>
            <w:pPr>
              <w:spacing w:after="0"/>
              <w:rPr>
                <w:sz w:val="1"/>
                <w:szCs w:val="1"/>
                <w:color w:val="auto"/>
              </w:rPr>
            </w:pPr>
          </w:p>
        </w:tc>
      </w:tr>
      <w:tr>
        <w:trPr>
          <w:trHeight w:val="216"/>
        </w:trPr>
        <w:tc>
          <w:tcPr>
            <w:tcW w:w="6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Restricted cash</w:t>
            </w:r>
            <w:r>
              <w:rPr>
                <w:rFonts w:ascii="Times New Roman" w:cs="Times New Roman" w:eastAsia="Times New Roman" w:hAnsi="Times New Roman"/>
                <w:sz w:val="25"/>
                <w:szCs w:val="25"/>
                <w:color w:val="auto"/>
                <w:vertAlign w:val="superscript"/>
              </w:rPr>
              <w:t>(1)</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19,754</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19,754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drawn under revolving credit facility</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5,000</w:t>
            </w:r>
          </w:p>
        </w:tc>
        <w:tc>
          <w:tcPr>
            <w:tcW w:w="4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Indebtedness under Convertible Debenture</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17,000</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30,000,000 shares authorized,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6,656,355 shares issued and outstanding as of March 31, 2025 and</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14,318,115 shares pro forma as of the date of this prospectus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supplement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61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V Common Stock ($0.0001 par value, 10,000,000 shares authorized,</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7,177,774 shares issued and outstanding as of March 31, 2025 and</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7,177,076 shares pro forma as of the date of this prospectus supplement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835,134</w:t>
            </w: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911,891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6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(790,250)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(790,250)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120,817</w:t>
            </w:r>
          </w:p>
        </w:tc>
        <w:tc>
          <w:tcPr>
            <w:tcW w:w="0" w:type="dxa"/>
            <w:vAlign w:val="bottom"/>
          </w:tcPr>
          <w:p>
            <w:pPr>
              <w:spacing w:after="0"/>
              <w:rPr>
                <w:sz w:val="1"/>
                <w:szCs w:val="1"/>
                <w:color w:val="auto"/>
              </w:rPr>
            </w:pPr>
          </w:p>
        </w:tc>
      </w:tr>
      <w:tr>
        <w:trPr>
          <w:trHeight w:val="216"/>
        </w:trPr>
        <w:tc>
          <w:tcPr>
            <w:tcW w:w="6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158,317</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119,323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08" w:lineRule="auto"/>
        <w:tabs>
          <w:tab w:leader="none" w:pos="5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Restricted cash is held to satisfy certain minimum capital requirements pursuant to regulatory requirements, or as collateral for insurance contracts and our purchasing card facility.</w:t>
      </w:r>
    </w:p>
    <w:p>
      <w:pPr>
        <w:spacing w:after="0" w:line="199" w:lineRule="exact"/>
        <w:rPr>
          <w:rFonts w:ascii="Times New Roman" w:cs="Times New Roman" w:eastAsia="Times New Roman" w:hAnsi="Times New Roman"/>
          <w:sz w:val="27"/>
          <w:szCs w:val="27"/>
          <w:color w:val="auto"/>
          <w:vertAlign w:val="superscript"/>
        </w:rPr>
      </w:pPr>
    </w:p>
    <w:p>
      <w:pPr>
        <w:ind w:left="5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of our Common Stock in the table above excludes, as of March 31, 2025:</w:t>
      </w:r>
    </w:p>
    <w:p>
      <w:pPr>
        <w:spacing w:after="0" w:line="130" w:lineRule="exact"/>
        <w:rPr>
          <w:rFonts w:ascii="Times New Roman" w:cs="Times New Roman" w:eastAsia="Times New Roman" w:hAnsi="Times New Roman"/>
          <w:sz w:val="27"/>
          <w:szCs w:val="27"/>
          <w:color w:val="auto"/>
          <w:vertAlign w:val="superscript"/>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7,177,774 shares of Common Stock reserved for the exchange of paired interests represented by our Class V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285,619 shares of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2,441,826 shares of Common Stock reserved for outstanding equity awards and the remaining pool of incentive equity available under our Omnibus Incentive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Common Stock reserved for the exercise of Class 1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Common Stock reserved for the exercise of Class 2 Warrants.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COMMON STOCK</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in the accompanying prospectus and are incorporated herein by reference.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purchasers. The form of Pre-Funded Warrant will be filed as an exhibit to a Current Report on Form 8-K that we will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will not expire until they are fully exercised.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the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Pre-Funded Warrants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 In lieu of fractional shares, we will, at our election, either pay a cash adjustment in respect of such final fraction in an amount equal to such fraction multiplied by the Exercise Price (as defined in the Pre-Funded Warrant) or round up to the next whole share.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to the extent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our Common Stock outstanding immediately after giving effect to the issuance of shares of Common Stock issuable upon exercise of such Pre-Funded Warrant). A holder, upon notice to the Company, may increase or decrease the beneficial ownership limitation under the pre-funded warrant, provided that it in no event exceeds 19.99% of the number of shares of our common stock outstanding immediately after giving effect to the issuance of shares of Common Stock upon exercise of the Pre-Funded Warrant. Any such increase in the percentage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of our shares of Common Stock purchasable upon the exercise of the Pre-Funded Warrants is $0.0001 per share.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adjustments described under “Exercise Price” above, if we grant, issue or sell any Common Stock equivalents or rights to purchase stock, warrants, securities or other property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all record holders of any class of shares of our Common Stock or declare or make any dividend or other distribution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 our assets (or rights to acquire our assets) to holders of shares of Common Stock, by way of return of capital or otherwise, then, in each case, each Pre-Funded Warrant holder will be entitled to acquire such rights or participate in such distribution, on the same terms as the holder could have acquired or participated if the holder held the number of shares of Common Stock acquirable upon complete exercise of the Pre-Funded Warrant without regard to any exercise limitations, subject to certain exceptions to the extent participation would result in the holder exceeding its beneficial ownership limitation under the Pre-Funded Warrant.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transferred or assigned without our consent, in accordance with the terms of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on the NYSE,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reclassification or compulsory share exchange of our Common Stock, the sale of all or substantially all of our properties or assets, our consolidation or merger with or into another person, or that results in the acquisition of more than 50% of our outstanding Common Stock, or a business combination, including a reorganization or recapitalization, whereby the counterparty acquires more than 50% of the voting power of our securities), a holder of the Pre-Funded Warrants will be entitled to receive, upon exercise of the Pre-Funded Warrants, the kind and amount of securities, cash or other property that such holder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shares of our Common Stock, including any voting rights, until such holder exercises the Pre-Funded Warrant.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purchase shares in this Offering, your interest will be diluted to the extent of the difference between the Offering price per share and the net tangible book value per share of our Common Stock after this Offering. Our net tangible book value as of March 31, 2025 was approximately</w:t>
      </w: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$10.7 million, or $0.77 per share of the aggregate of our outstanding Common Stock and our outstanding shares of Class V Common Stock. “Net tangible book value” is total assets minus the sum of liabilities, goodwill, intangible assets and operating leases. “Net tangible book value per share” is net tangible book value divided by the total number of shares of Common Stock and Class V Common Stock outstanding.</w:t>
      </w:r>
    </w:p>
    <w:p>
      <w:pPr>
        <w:spacing w:after="0" w:line="1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giving effect to the sale by us of 6,753,627 shares of Common Stock and Pre-Funded Warrants to purchase 746,373 shares of Common Stock in this Offering at the public offering price of $10.00 per share and $9.9999 per Pre-Funded Warrant, and after deducting underwriting discounts and commissions, and other estimated Offering expenses payable by us of approximately $1.7 million, our net tangible book value as of March 31, 2025 would have been approximately $79.5 million, or $3.86 per share of Common Stock. This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amount represents an immediate increase in net tangible book value of $3.09 per share to existing stockholders and an immediate dilution of $6.14 per share to purchasers in this Offering.</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10.00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2025 as adjusted after this Offering</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r>
      <w:tr>
        <w:trPr>
          <w:trHeight w:val="20"/>
        </w:trPr>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an additional 1,125,000 shares of our Common Stock at the offering price of $9.40 per share, the as adjusted net tangible book value per share after giving effect to this Offering, and after deducting underwriting discounts and commissions and estimated offering expenses payable by us, would be $4.15 per share, representing an immediate increase to existing shareholders of $3.38 per share, and immediate dilution in net tangible book value of $5.85 per share to investors participating in this Offering.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tables are based on 6,656,355 shares of Common Stock outstanding as of March 31, 2025 and 7,177,774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V Common Stock outstanding as of March 31, 2025, assumes no exercise of the Pre-Funded Warrants and excludes, as of that date:</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7,177,774 shares of Common Stock reserved for the exchange of paired interests represented by our Class V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285,619 shares of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2,441,826 shares of Common Stock reserved for outstanding equity awards and the remaining pool of incentive equity available under our Omnibus Incentive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Common Stock reserved for the exercise of Class 1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Common Stock reserved for the exercise of Class 2 Warrants.</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outstanding options or warrants are exercised, new options are issued under the Omnibus Incentive Plan, restricted stock awards vest, or we otherwise issue additional shares of Common Stock in the future, at a price less than the public Offering price, there will be further dilution to the investors.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securities being offered. Subject to certain conditions, each underwriter has severally agreed to purchase the number of shares and Pre-Funded Warrants indicated in the following table. Clear Street LLC and Cohen &amp; Company Capital Markets, a division of Cohen &amp; Company Securities, LLC (“Cohen &amp; Company Capital Markets”). are the representatives of the underwriters.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2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209"/>
        </w:trPr>
        <w:tc>
          <w:tcPr>
            <w:tcW w:w="6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 Street LLC</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3,376,814</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Cohen &amp; Company Capital Markets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3,376,813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373,187</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6,753,627</w:t>
            </w:r>
          </w:p>
        </w:tc>
        <w:tc>
          <w:tcPr>
            <w:tcW w:w="38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746,373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securities being offered, if any are taken, other than the shares covered by the option described below unless and until this option is exercised.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1,125,000 shares of Common Stock from us. They may exercise that option for 30 days from the date of this prospectus supplement. If any shares or warrants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per Pre-Funded Warrant and total underwriting discounts and commissions to be paid to the underwriters by us. Such amounts are shown assuming both no exercise and full exercise of the underwriters’ option to purchase additional shares of Common Stock and additional Pre-Funded Warrants.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5"/>
              </w:rPr>
              <w:t>Per</w:t>
            </w:r>
          </w:p>
        </w:tc>
        <w:tc>
          <w:tcPr>
            <w:tcW w:w="180" w:type="dxa"/>
            <w:vAlign w:val="bottom"/>
          </w:tcPr>
          <w:p>
            <w:pPr>
              <w:spacing w:after="0"/>
              <w:rPr>
                <w:sz w:val="13"/>
                <w:szCs w:val="13"/>
                <w:color w:val="auto"/>
              </w:rPr>
            </w:pPr>
          </w:p>
        </w:tc>
        <w:tc>
          <w:tcPr>
            <w:tcW w:w="14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With Full</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18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1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80" w:type="dxa"/>
            <w:vAlign w:val="bottom"/>
          </w:tcPr>
          <w:p>
            <w:pPr>
              <w:spacing w:after="0"/>
              <w:rPr>
                <w:sz w:val="15"/>
                <w:szCs w:val="15"/>
                <w:color w:val="auto"/>
              </w:rPr>
            </w:pPr>
          </w:p>
        </w:tc>
        <w:tc>
          <w:tcPr>
            <w:tcW w:w="14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18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74,999,925.36</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86,249,925.36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0.599994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4,499,995.52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5,174,995.52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9.399906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70,499,929.84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81,074,929.84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be offered at the public offering price set forth on the cover of this prospectus. Any shares sold by the underwriters to securities dealers may be sold at a discount of up to $0.36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 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also agreed to pay certain of the underwriters’ expenses relating to the Offering, including the fees of outside counsel to the Underwriters up to an aggregate of $75,000, the costs and expenses of the Company relating to investor presentations on any “road show” undertaken in connection with the marketing of the Offering, and all other third-party costs and expenses incident to the Offering or the performance of the obligations of the Company under the Underwriting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$1.7 million.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agreed to indemnify the several underwriters against certain liabilities, including liabilities under the Securities Act of 1933, as amended.</w:t>
      </w:r>
    </w:p>
    <w:p>
      <w:pPr>
        <w:spacing w:after="0" w:line="3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to any legal entity which is a qualified investor as defined under Article 2 of the Prospectus Regulation;</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Prospectus Regulation), subject to obtaining the prior consent of the underwriter for any such offer; or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 any other circumstances falling within Article 1(4) of the Prospectus Regulation,</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w:t>
      </w:r>
    </w:p>
    <w:p>
      <w:pPr>
        <w:spacing w:after="0" w:line="17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to any legal entity which is a qualified investor as defined under Article 2 of the UK Prospectus Regulation;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UK Prospectus Regulation), subject to obtaining the prior consent of the underwriter for any such offer; or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 any other circumstances falling within Section 86 of the Financial Services and Markets Act 2000 (the “FMSA”),</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the underwriter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6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under Section 275 of the SFA except: (1) to an institutional investor under Section 274 of the SFA or to a relevant person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that is made on terms that such rights or interest are acquired at a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not less than S$200,000 (or its equivalent in a foreign currency) for each transaction (whether such amount is to be paid for in cash or by exchange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or 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Dubai</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w:t>
      </w:r>
    </w:p>
    <w:p>
      <w:pPr>
        <w:spacing w:after="0" w:line="11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During the period commencing on and including the date hereof and ending on and including the (60th) day following the date of this Agreement (the “Company Lock-Up Period”)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shares of Class A Common Stock or Class V Common Stock, options, rights or warrants to acquire Class A Common Stock or Class V Common Stock or securities exchangeable or exercisable for or convertible into shares of Class A Common Stock or Class V Common Stock (collectively, “Covered Securities”) (other than is contemplated by this Agreement with respect to the Securities) or publicly announce any intention to do any of the foregoing;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may</w:t>
      </w:r>
    </w:p>
    <w:p>
      <w:pPr>
        <w:ind w:left="120" w:right="20" w:hanging="4"/>
        <w:spacing w:after="0" w:line="251" w:lineRule="auto"/>
        <w:tabs>
          <w:tab w:leader="none" w:pos="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Covered Securities pursuant to any director or employee stock option or incentive plan, stock ownership plan or dividend reinvestment plan of the Company in effect on the date hereof and described in the General Disclosure Package; (b) issue shares of Class A Common Stock or Class V Common Stock pursuant to the conversion, exercise or exchange of any other Covered Securities, which Covered Securities are outstanding on the date hereof and described in the General Disclosure Package (including any such securities issued pursuant to an Exempt Plan); (c) file a registration statement on Form S-8 or any successor form thereto; (d) issue Covered Securities, or enter into an agreement to issue Covered Securities, in connection with any merger, joint venture, strategic alliance, commercial or other collaborative transaction or the acquisition or license of the business, property, technology or other assets of another individual or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Covered Securities (or the aggregate number of Class A Common Stock or Class V Common Stock issuable pursuant to such Covered Securities) that the Company may issue or agree to issue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pursuant to this clause (d) shall not exceed 5% of the total outstanding share capital and voting power of the Company immediately following the issuance of such Covered Securities (or full exercise or conversion thereof, as applicable);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recipients thereof execute and deliver to the Representatives a Lock-up Agreement; and (e) upon exercise of the Options (as defined and described in the Pricing Prospectus and the Prospectus). The Company will direct its transfer agent to place stop transfer restrictions upon any securities of the Company that are bound by any Lock-Up Agreement. If any persons shall become directors or executive officers of the Company prior to the end of the Company Lock-Up Period, the Company shall cause each such person, prior to or contemporaneously with their appointment or election as a director or executive officer of the Company, to execute and deliver to the Representatives a Lock-Up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Officers and Intercontinental Exchange Holdings, Inc.</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Each of our directors and executive officers and Intercontinental Exchange Holdings, Inc. (such persons, the “Lock-up Parties”), have agreed that, without the prior written consent of Clear Street LLC and Cohen &amp; Company Capital Markets, the Lock-up Parties will not, during the period ending 90 days after the date of this prospectus supplement (such period, the “Lock-up Period”), subject to certain exceptions, (i) offer for sale, sell, assign, transfer, pledge, contract to sell, lend or otherwise dispose of (or enter into any transaction or agreement that is designed to, or would reasonably be expected to, result in the disposition by any person at any time in the future of) any shares of Common Stock (including, without limitation, shares of Common Stock that may be deemed to be beneficially owned or subsequently acquired, or with respect to which the Lock-up Parties have or subsequently acquire the power of disposition, in accordance with the rules and regulations of the SEC and shares of Common Stock that may be issued upon exercise of any options or warrants) or securities convertible into or exercisable or exchangeable for shares of Common Stock (“Related Securities”), (ii) enter into any swap, hedge or similar agreement or arrangement (including, without limitation, the purchase or sale of, or entry into, any put or call option, or combination thereof, forward, swap or any other derivatives transaction or instrument, however described or defined) that transfers, is designed to transfer or reasonably could be expect to transfer (whether by the undersigned or someone other than the undersigned) in whole or in part, directly or indirectly, any of the economic benefits or risks of ownership of shares of Common Stock or any Related Securities, whether any such transaction described in clause (i) or (ii) above is to be settled by delivery of shares of Common Stock or other securities of the Company, in cash or otherwise, (iii) make any demand for or exercise any right or cause to be confidentially submitted or filed a registration statement, including any amendments thereto, with respect to the registration of any shares of Common Stock or Related Securities, provided that, to the extent any Lock-up Parties have demand and/or piggyback registration rights under any registration rights agreement, investor rights agreement or similar agreement, such Lock-up Parties may notify the Company privately that such Lock-up Party is or will be exercising its demand and/or piggyback registration rights under any such agreement following the expiration of the Lock-Up Period and undertake preparations related thereto, or (iv) publicly disclose the intention to do any of the foregoing.</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foregoing restrictions do not apply to (i)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charitable gifts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sales or other dispositions made exclusively between and among the members of the applicable Lock-up Parties’ family or affiliates, (ii) the exercise or settlement of stock options or other equity awards granted pursuant to the Company’s stock option/incentive plans or awards, (iii) any transfers by will or intestacy, (iv) any transfers pursuant to a court order or settlement agreement related to the distribution of assets in connection with the dissolution of a marriage or civil union, (v) transfers or dispositions to any trust for the direct or indirect benefit of the Lock-up Party or the immediate family of the Lock-up Party in a transaction not involving a disposition for value, or, if the Lock-up Party is a trust, to a trustor or beneficiary of the trust, or, if the undersigned is a corporation, partnership, limited liability company or other business entity, to another corporation, partnership, limited liability company or other business entity that controls, is controlled by or is under common control with the Lock-up Party or as part of a disposition, transfer or distribution by the Lock-up Party to partners, limited partners, stockholders, members or equityholders of the Lock-up Party, (vi) the exchange of the Company’s paired interests (each of which is a combination of one share of Class V common stock of the Company and one common unit of Bakkt Opco Holdings, LLC exchangeable into Common Stock) (the “Paired Interests”) into</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Common Stock, or the exercise of the Company’s outstanding public warrants to purchase shares of Common Stock (the “Public Warrants”),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Class 1 warrants to purchase shares of Common Stock (the “Class 1 Warrants”) and the Company’s Class 2 warrants to purchase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Common Stock (the “Class 2 Warrants”), (vii) any transfers or commitments to transfer Paired Interests, Public Warrants, Class 1 Warrants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2 Warrants, (viii) any transfers or commitments to transfer pursuant to a merger, consolidation, tender offer or other similar transaction involving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or reverse merger, (ix) the transfer by a Lock-up Party of shares of Common Stock or any securities convertible into, exercisable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exchangeable for, shares of Common Stock to the Company upon a vesting or settlement event of the Company’s securities or upon the exercise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or warrants to purchase the Company’s securities on a “cashless” or “net exercise” basis, or in a “sell-to-cover” transaction, in each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any equity incentive plan or award of the Company and to the extent permitted by the instruments representing such options or warrants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as of the date of this prospectus supplement, (x) the transfer of shares of Common Stock or securities convertible into, or exercisable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exchangeable for, shares of Common Stock to the Company in connection with the termination of a Lock-up Party’s employment with the Company,</w:t>
      </w:r>
    </w:p>
    <w:p>
      <w:pPr>
        <w:spacing w:after="0" w:line="9" w:lineRule="exact"/>
        <w:rPr>
          <w:sz w:val="20"/>
          <w:szCs w:val="20"/>
          <w:color w:val="auto"/>
        </w:rPr>
      </w:pPr>
    </w:p>
    <w:p>
      <w:pPr>
        <w:ind w:left="120" w:right="80" w:hanging="4"/>
        <w:spacing w:after="0" w:line="251" w:lineRule="auto"/>
        <w:tabs>
          <w:tab w:leader="none" w:pos="4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that are approved by the prior written consent of Clear Street LLC and Cohen &amp; Company Capital Markets and (xii) sales of shares of Common Stock purchased by a Lock-up Party on the open market following the date of this prospectus supplement; provided that (A) in the case of clauses (i) and (v), the transferee/donee agrees to be bound by the terms of a lock-up agreement, (B) in the case of clauses (ii), (vi), (vii), (viii) and (x), the Common Stock or other securities issued upon exercise or exchange thereof remain subject to the terms of a lock-up agreement, (C) in the case of clauses (i) and (v), the transfer or distribution does not involve a disposition for value, (D) in the case of clauses (iii), (iv), (v), (ix), (x) and (xii), that no filing under the Securities and Exchange Act of 1934, as amended (the “Exchange Act”), or other public filing, report or announcement will be voluntarily made, and any required filing under the Exchange Act made during the Lock-Up Period will clearly indicate in the footnotes thereto that the filing relates to the circumstances described in such clause.</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Lock-up Parties may (i) establish or enter into a trading plan pursuant to Rule 10b5-1 (“10b5-1 Trading Plan”) under the Exchange Act for the transfer of shares of Common Stock, provided, that such plan does not provide for any transfers of shares of Common Stock, and no filing under the Exchange Act or other public announcement will be required or voluntarily made by the undersigned or any other person in connection therewith, in each case during the Lock-Up Period, and (ii) transfer or sell shares of Common Stock pursuant to a 10b5-1 Trading Plan that was established on or prior to the date of this Lock-Up Letter Agreement and exists as of the date hereof, provided further, that, if the undersigned is required to file a report under Section 16(a) of the Exchange Act during the Lock-Up Period, such filing will state that such transaction has been executed under a 10b5-1 Trading Plan and will also state the date such 10b5-1 Trading Plan was established.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NYSE under the symbol “BKKT”. We do not intend to list the Pre-Funded Warrants on NYSE,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Sales and Stabilizing Transactions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them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NYSE, in the over-the-counter market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 of Participation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Joint Book-Running Managers shall have a right (the “Right of Participation”), from the date of this prospectus supplement through the 12-month anniversary of the closing date of the Offering (the “Participation Period”), to act as an underwriter, for every registered Common Stock offering or offering of stock convertible into Common Stock, excluding any at-the-market offerings (each, a “Covered Transaction”), of the Company, or any successor to the Company, on customary terms and conditions for such Covered Transactions. The Company shall have the right to determine the role of the Joint Book-Running Managers and the economic terms of such participation (which the Joint Book-Running Managers can accept or reject in their sole discretion). The Company shall notify the Joint Book-Running Managers of their intention to pursue a Covered Transaction, including the material terms thereof, by providing written notice thereof by email to the Joint Book-Running Managers. Each Joint Book-Running Manager may elect, in its sole and absolute discretion, not to exercise its Right of Participation with respect to any Covered Transaction; provided that any such election by a Joint Book-Running Manager shall not adversely affect such Joint Book-Running Manager’s Right of Participation with respect to any other Covered Transaction during the Participation Period. The terms and conditions of any engagement with respect to a Covered Transaction shall be set forth in one or more separate agreements and may be subject to, among other things, satisfactory completion of due diligence by the Joint Book-Running Managers, market conditions, the absence of a material adverse change to the Company’s business, financial condition and prospects, approval of the Representatives’ internal committees and any other conditions that the Representatives may deem appropriate for transactions of such nature.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Its mailing address is 28 Liberty Street, 53rd Floor, New York, NY 10005 and its telephone number is (800) 937-5449.</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by this prospectus supplement has been passed upon for us by Sullivan &amp; Cromwell LLP, New York, New York. Reed Smith LLP, New York, New York, is acting as counsel for the underwriters in connection with this Offering.</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0920"/>
          </w:cols>
          <w:pgMar w:left="320" w:top="455" w:right="6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documents listed below are incorporated by reference into this prospectus:</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 (our “Annual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12, 2025;</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50">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28, 2025, that are incorporated by reference into our Annual Report;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7"/>
        </w:numPr>
        <w:rPr>
          <w:rFonts w:ascii="Times New Roman" w:cs="Times New Roman" w:eastAsia="Times New Roman" w:hAnsi="Times New Roman"/>
          <w:sz w:val="18"/>
          <w:szCs w:val="18"/>
          <w:color w:val="000000"/>
        </w:rPr>
      </w:pPr>
      <w:hyperlink r:id="rId5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June 10, 2025</w:t>
        </w:r>
      </w:hyperlink>
      <w:hyperlink r:id="rId5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June 13, 2025</w:t>
        </w:r>
      </w:hyperlink>
      <w:hyperlink r:id="rId5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 xml:space="preserve">June 20, 2025 </w:t>
        </w:r>
      </w:hyperlink>
      <w:hyperlink r:id="rId5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July 28, 2025 </w:t>
        </w:r>
      </w:hyperlink>
      <w:hyperlink r:id="rId51">
        <w:r>
          <w:rPr>
            <w:rFonts w:ascii="Times New Roman" w:cs="Times New Roman" w:eastAsia="Times New Roman" w:hAnsi="Times New Roman"/>
            <w:sz w:val="18"/>
            <w:szCs w:val="18"/>
            <w:color w:val="000000"/>
          </w:rPr>
          <w:t>and our Current Report on Form 8-K/A filed with the Commission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on </w:t>
      </w:r>
      <w:hyperlink r:id="rId56">
        <w:r>
          <w:rPr>
            <w:rFonts w:ascii="Times New Roman" w:cs="Times New Roman" w:eastAsia="Times New Roman" w:hAnsi="Times New Roman"/>
            <w:sz w:val="18"/>
            <w:szCs w:val="18"/>
            <w:u w:val="single" w:color="auto"/>
            <w:color w:val="0000EE"/>
          </w:rPr>
          <w:t>March 20, 2025</w:t>
        </w:r>
      </w:hyperlink>
      <w:r>
        <w:rPr>
          <w:rFonts w:ascii="Times New Roman" w:cs="Times New Roman" w:eastAsia="Times New Roman" w:hAnsi="Times New Roman"/>
          <w:sz w:val="18"/>
          <w:szCs w:val="18"/>
          <w:color w:val="000000"/>
        </w:rPr>
        <w:t>; and</w:t>
      </w:r>
    </w:p>
    <w:p>
      <w:pPr>
        <w:spacing w:after="0" w:line="81" w:lineRule="exact"/>
        <w:rPr>
          <w:rFonts w:ascii="Times New Roman" w:cs="Times New Roman" w:eastAsia="Times New Roman" w:hAnsi="Times New Roman"/>
          <w:sz w:val="18"/>
          <w:szCs w:val="18"/>
          <w:color w:val="000000"/>
        </w:rPr>
      </w:pPr>
    </w:p>
    <w:p>
      <w:pPr>
        <w:ind w:left="1080" w:right="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a copy of any or all of the information that has been incorporated by reference in this prospectus but not delivered with the prospectus.</w:t>
      </w:r>
    </w:p>
    <w:p>
      <w:pPr>
        <w:spacing w:after="0" w:line="162" w:lineRule="exact"/>
        <w:rPr>
          <w:rFonts w:ascii="Times New Roman" w:cs="Times New Roman" w:eastAsia="Times New Roman" w:hAnsi="Times New Roman"/>
          <w:sz w:val="18"/>
          <w:szCs w:val="18"/>
          <w:color w:val="0000EE"/>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Bakkt Holdings, Inc. at www.sec.gov/EDGAR. You may also access our reports and proxy statements free of charge at our website, www.bakkt.com, which website is not incorporated into this prospectus supplement.</w:t>
      </w:r>
    </w:p>
    <w:p>
      <w:pPr>
        <w:spacing w:after="0" w:line="180"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obtain a copy of any of our filings, at no cost, by contacting us at:</w:t>
      </w:r>
    </w:p>
    <w:p>
      <w:pPr>
        <w:spacing w:after="0" w:line="200" w:lineRule="exact"/>
        <w:rPr>
          <w:rFonts w:ascii="Times New Roman" w:cs="Times New Roman" w:eastAsia="Times New Roman" w:hAnsi="Times New Roman"/>
          <w:sz w:val="18"/>
          <w:szCs w:val="18"/>
          <w:color w:val="0000EE"/>
        </w:rPr>
      </w:pPr>
    </w:p>
    <w:p>
      <w:pPr>
        <w:spacing w:after="0" w:line="23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13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173990</wp:posOffset>
            </wp:positionV>
            <wp:extent cx="908685" cy="3340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90868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$1,000,000,000.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firstLine="440"/>
        <w:spacing w:after="0" w:line="250"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risks. Please carefully read the information under the headings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beginning on page 6 of this prospectus and “</w:t>
      </w:r>
      <w:r>
        <w:rPr>
          <w:rFonts w:ascii="Times New Roman" w:cs="Times New Roman" w:eastAsia="Times New Roman" w:hAnsi="Times New Roman"/>
          <w:sz w:val="21"/>
          <w:szCs w:val="21"/>
          <w:b w:val="1"/>
          <w:bCs w:val="1"/>
          <w:i w:val="1"/>
          <w:iCs w:val="1"/>
          <w:color w:val="auto"/>
        </w:rPr>
        <w:t>Item 1A – Risk Factors</w:t>
      </w:r>
      <w:r>
        <w:rPr>
          <w:rFonts w:ascii="Times New Roman" w:cs="Times New Roman" w:eastAsia="Times New Roman" w:hAnsi="Times New Roman"/>
          <w:sz w:val="21"/>
          <w:szCs w:val="21"/>
          <w:b w:val="1"/>
          <w:bCs w:val="1"/>
          <w:color w:val="auto"/>
        </w:rPr>
        <w:t>”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3, 2025.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58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6"/>
          </w:tcPr>
          <w:p>
            <w:pPr>
              <w:spacing w:after="0"/>
              <w:rPr>
                <w:sz w:val="16"/>
                <w:szCs w:val="16"/>
                <w:color w:val="auto"/>
              </w:rPr>
            </w:pPr>
          </w:p>
        </w:tc>
        <w:tc>
          <w:tcPr>
            <w:tcW w:w="7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2"/>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7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980" w:type="dxa"/>
            <w:vAlign w:val="bottom"/>
            <w:gridSpan w:val="5"/>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8"/>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gridSpan w:val="9"/>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0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992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5" w:lineRule="exact"/>
        <w:rPr>
          <w:sz w:val="20"/>
          <w:szCs w:val="20"/>
          <w:color w:val="auto"/>
        </w:rPr>
      </w:pPr>
    </w:p>
    <w:p>
      <w:pPr>
        <w:ind w:left="1240" w:right="160" w:hanging="415"/>
        <w:spacing w:after="0" w:line="266"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58"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Updated Investment Policy</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June 2025 we updated our investment policy (“Investment Policy”) to enable us to allocate capital into Bitcoin and other digital assets as part of our broader treasury and corporate strategy, subject to market conditions and the anticipated liquidity needs of the business. We may acquire Bitcoin or other digital assets using excess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21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00"/>
        <w:spacing w:after="0" w:line="270" w:lineRule="auto"/>
        <w:rPr>
          <w:sz w:val="20"/>
          <w:szCs w:val="20"/>
          <w:color w:val="auto"/>
        </w:rPr>
      </w:pPr>
      <w:r>
        <w:rPr>
          <w:rFonts w:ascii="Times New Roman" w:cs="Times New Roman" w:eastAsia="Times New Roman" w:hAnsi="Times New Roman"/>
          <w:sz w:val="17"/>
          <w:szCs w:val="17"/>
          <w:color w:val="auto"/>
        </w:rPr>
        <w:t>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w:t>
      </w:r>
    </w:p>
    <w:p>
      <w:pPr>
        <w:spacing w:after="0" w:line="3" w:lineRule="exact"/>
        <w:rPr>
          <w:sz w:val="20"/>
          <w:szCs w:val="20"/>
          <w:color w:val="auto"/>
        </w:rPr>
      </w:pPr>
    </w:p>
    <w:p>
      <w:pPr>
        <w:ind w:left="300" w:right="220"/>
        <w:spacing w:after="0" w:line="260" w:lineRule="auto"/>
        <w:rPr>
          <w:sz w:val="20"/>
          <w:szCs w:val="20"/>
          <w:color w:val="auto"/>
        </w:rPr>
      </w:pPr>
      <w:r>
        <w:rPr>
          <w:rFonts w:ascii="Times New Roman" w:cs="Times New Roman" w:eastAsia="Times New Roman" w:hAnsi="Times New Roman"/>
          <w:sz w:val="18"/>
          <w:szCs w:val="18"/>
          <w:color w:val="auto"/>
        </w:rPr>
        <w:t>The timing and magnitude of any such transactions will depend on market conditions, capital market receptivity, business performance and other strategic considerations.</w:t>
      </w:r>
    </w:p>
    <w:p>
      <w:pPr>
        <w:spacing w:after="0" w:line="18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 Factors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Update of our Investment Policy,</w:t>
      </w:r>
      <w:r>
        <w:rPr>
          <w:rFonts w:ascii="Times New Roman" w:cs="Times New Roman" w:eastAsia="Times New Roman" w:hAnsi="Times New Roman"/>
          <w:sz w:val="18"/>
          <w:szCs w:val="18"/>
          <w:color w:val="auto"/>
        </w:rPr>
        <w:t>” which is attached as Exhibit 99.1 to our Current Report on Form 8-K filed with the SEC on June 10,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has been designed to meet the needs of our clients and customers, and as such we must continually invest in our platform to meet their evolving needs as we look to grow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8"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and integration of these acquisitions may disrupt our business and management.</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Crypto and Our Investment Policy</w:t>
      </w:r>
    </w:p>
    <w:p>
      <w:pPr>
        <w:spacing w:after="0" w:line="133" w:lineRule="exact"/>
        <w:rPr>
          <w:sz w:val="20"/>
          <w:szCs w:val="20"/>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81"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and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the market price of our securities are expected to be affected by fluctuations in the price of digital assets we may acquire in accordance with our Investment Policy, including Bitcoin, which are highly volatile assets.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financial results may fluctuate significantly, including because we account for digital assets we hold at fair value, which may subject us to the corporate alternative minimum tax under the Inflation Reduction Act of 2022.</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any purchases of Bitcoin and other digital assets we may acquire in accordance with our Investment Policy will be limited.</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value of any digital assets we may acquire in accordance with our Investment Policy could adversely affect our ability to satisfy financial obligations, including any debt financings.</w:t>
      </w:r>
    </w:p>
    <w:p>
      <w:pPr>
        <w:spacing w:after="0" w:line="67" w:lineRule="exact"/>
        <w:rPr>
          <w:rFonts w:ascii="Times New Roman" w:cs="Times New Roman" w:eastAsia="Times New Roman" w:hAnsi="Times New Roman"/>
          <w:sz w:val="18"/>
          <w:szCs w:val="18"/>
          <w:color w:val="auto"/>
        </w:rPr>
      </w:pPr>
    </w:p>
    <w:p>
      <w:pPr>
        <w:jc w:val="both"/>
        <w:ind w:left="1240" w:right="20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implementation of our Investment Policy, competition by other digital asset companies and the availability of spot exchange-traded products for Bitcoin and other digital assets may adversely affect our business, financial condition, results of operations and future prospects.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digital assets we may acquire in accordance with our Investment Policy may not be able to serve as a source of liquidity for us to the same extent as cash and cash equivalents.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4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99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8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12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40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$1,000,000,000.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473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98970" cy="3047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adoption of our updated Investment Policy.</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DTR;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our adoption of the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updated Investment Policy;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2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4.9 to our Annual Report on Form 10-K for the fiscal year ended December 31, 2024, filed with the SEC on March 20, 2025.</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Each debt security will be represented by either one or more global securities registered in the name of a clearing agency registered under the Securities Exchange Act of 1934, as amended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7"/>
          <w:szCs w:val="17"/>
          <w:i w:val="1"/>
          <w:iCs w:val="1"/>
          <w:color w:val="auto"/>
        </w:rPr>
        <w:t>Global Debt Securities and Book-Entry System</w:t>
      </w:r>
      <w:r>
        <w:rPr>
          <w:rFonts w:ascii="Times New Roman" w:cs="Times New Roman" w:eastAsia="Times New Roman" w:hAnsi="Times New Roman"/>
          <w:sz w:val="17"/>
          <w:szCs w:val="17"/>
          <w:color w:val="auto"/>
        </w:rPr>
        <w:t>” below, book-entry debt securities will not be issuable in certificated form.</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320" w:firstLine="96"/>
        <w:spacing w:after="0" w:line="578" w:lineRule="auto"/>
        <w:tabs>
          <w:tab w:leader="none" w:pos="109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15</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i w:val="1"/>
          <w:iCs w:val="1"/>
          <w:color w:val="auto"/>
        </w:rPr>
        <w:t>Legal Defeasance</w:t>
      </w: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5" w:lineRule="exact"/>
        <w:rPr>
          <w:sz w:val="20"/>
          <w:szCs w:val="20"/>
          <w:color w:val="auto"/>
        </w:rPr>
      </w:pPr>
    </w:p>
    <w:p>
      <w:pPr>
        <w:ind w:left="1080" w:right="160" w:hanging="424"/>
        <w:spacing w:after="0" w:line="26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Class A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Class A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Class A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before the original issue date for your securities, you may be required to make alternative settlement arrangements to prevent a failed settlement.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320" w:top="455" w:right="8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320" w:top="455" w:right="5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 (our “Annual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12, 2025;</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50">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filed with the SEC on April 28, 2025, that are incorporated by reference into our Annual Report;</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48"/>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5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Current Report on Form 8-K/A filed with the Commission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20,</w:t>
        </w:r>
      </w:hyperlink>
      <w:r>
        <w:rPr>
          <w:rFonts w:ascii="Times New Roman" w:cs="Times New Roman" w:eastAsia="Times New Roman" w:hAnsi="Times New Roman"/>
          <w:sz w:val="18"/>
          <w:szCs w:val="18"/>
          <w:color w:val="0000EE"/>
        </w:rPr>
        <w:t xml:space="preserve"> </w:t>
      </w:r>
      <w:hyperlink r:id="rId56">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0000EE"/>
        </w:rPr>
      </w:pPr>
    </w:p>
    <w:p>
      <w:pPr>
        <w:spacing w:after="0" w:line="237"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0000EE"/>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368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95160" cy="36830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6,753,627 Shares of Class A Common Stock</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Pre-Funded Warrants to Purchase 746,373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705485</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86"/>
        </w:trPr>
        <w:tc>
          <w:tcPr>
            <w:tcW w:w="3700" w:type="dxa"/>
            <w:vAlign w:val="bottom"/>
          </w:tcPr>
          <w:p>
            <w:pPr>
              <w:spacing w:after="0"/>
              <w:rPr>
                <w:sz w:val="24"/>
                <w:szCs w:val="24"/>
                <w:color w:val="auto"/>
              </w:rPr>
            </w:pPr>
          </w:p>
        </w:tc>
        <w:tc>
          <w:tcPr>
            <w:tcW w:w="7320" w:type="dxa"/>
            <w:vAlign w:val="bottom"/>
          </w:tcPr>
          <w:p>
            <w:pPr>
              <w:jc w:val="center"/>
              <w:ind w:right="3586"/>
              <w:spacing w:after="0"/>
              <w:rPr>
                <w:sz w:val="20"/>
                <w:szCs w:val="20"/>
                <w:color w:val="auto"/>
              </w:rPr>
            </w:pPr>
            <w:r>
              <w:rPr>
                <w:rFonts w:ascii="Times New Roman" w:cs="Times New Roman" w:eastAsia="Times New Roman" w:hAnsi="Times New Roman"/>
                <w:sz w:val="22"/>
                <w:szCs w:val="22"/>
                <w:i w:val="1"/>
                <w:iCs w:val="1"/>
                <w:color w:val="auto"/>
                <w:w w:val="98"/>
              </w:rPr>
              <w:t>Joint Book-Running Managers</w:t>
            </w:r>
          </w:p>
        </w:tc>
      </w:tr>
      <w:tr>
        <w:trPr>
          <w:trHeight w:val="575"/>
        </w:trPr>
        <w:tc>
          <w:tcPr>
            <w:tcW w:w="3700" w:type="dxa"/>
            <w:vAlign w:val="bottom"/>
          </w:tcPr>
          <w:p>
            <w:pPr>
              <w:ind w:left="1740"/>
              <w:spacing w:after="0"/>
              <w:rPr>
                <w:sz w:val="20"/>
                <w:szCs w:val="20"/>
                <w:color w:val="auto"/>
              </w:rPr>
            </w:pPr>
            <w:r>
              <w:rPr>
                <w:rFonts w:ascii="Times New Roman" w:cs="Times New Roman" w:eastAsia="Times New Roman" w:hAnsi="Times New Roman"/>
                <w:sz w:val="29"/>
                <w:szCs w:val="29"/>
                <w:b w:val="1"/>
                <w:bCs w:val="1"/>
                <w:color w:val="auto"/>
              </w:rPr>
              <w:t>Clear Street</w:t>
            </w:r>
          </w:p>
        </w:tc>
        <w:tc>
          <w:tcPr>
            <w:tcW w:w="7320" w:type="dxa"/>
            <w:vAlign w:val="bottom"/>
          </w:tcPr>
          <w:p>
            <w:pPr>
              <w:ind w:left="2100"/>
              <w:spacing w:after="0"/>
              <w:rPr>
                <w:sz w:val="20"/>
                <w:szCs w:val="20"/>
                <w:color w:val="auto"/>
              </w:rPr>
            </w:pPr>
            <w:r>
              <w:rPr>
                <w:rFonts w:ascii="Times New Roman" w:cs="Times New Roman" w:eastAsia="Times New Roman" w:hAnsi="Times New Roman"/>
                <w:sz w:val="29"/>
                <w:szCs w:val="29"/>
                <w:b w:val="1"/>
                <w:bCs w:val="1"/>
                <w:color w:val="auto"/>
              </w:rPr>
              <w:t>Cohen &amp; Company Capital Markets</w:t>
            </w:r>
          </w:p>
        </w:tc>
      </w:tr>
      <w:tr>
        <w:trPr>
          <w:trHeight w:val="641"/>
        </w:trPr>
        <w:tc>
          <w:tcPr>
            <w:tcW w:w="3700" w:type="dxa"/>
            <w:vAlign w:val="bottom"/>
          </w:tcPr>
          <w:p>
            <w:pPr>
              <w:spacing w:after="0"/>
              <w:rPr>
                <w:sz w:val="24"/>
                <w:szCs w:val="24"/>
                <w:color w:val="auto"/>
              </w:rPr>
            </w:pPr>
          </w:p>
        </w:tc>
        <w:tc>
          <w:tcPr>
            <w:tcW w:w="7320" w:type="dxa"/>
            <w:vAlign w:val="bottom"/>
          </w:tcPr>
          <w:p>
            <w:pPr>
              <w:jc w:val="center"/>
              <w:ind w:right="3606"/>
              <w:spacing w:after="0"/>
              <w:rPr>
                <w:sz w:val="20"/>
                <w:szCs w:val="20"/>
                <w:color w:val="auto"/>
              </w:rPr>
            </w:pPr>
            <w:r>
              <w:rPr>
                <w:rFonts w:ascii="Times New Roman" w:cs="Times New Roman" w:eastAsia="Times New Roman" w:hAnsi="Times New Roman"/>
                <w:sz w:val="18"/>
                <w:szCs w:val="18"/>
                <w:b w:val="1"/>
                <w:bCs w:val="1"/>
                <w:color w:val="auto"/>
                <w:w w:val="99"/>
              </w:rPr>
              <w:t>July 28, 2025</w:t>
            </w:r>
          </w:p>
        </w:tc>
      </w:tr>
      <w:tr>
        <w:trPr>
          <w:trHeight w:val="648"/>
        </w:trPr>
        <w:tc>
          <w:tcPr>
            <w:tcW w:w="370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r>
        <w:trPr>
          <w:trHeight w:val="95"/>
        </w:trPr>
        <w:tc>
          <w:tcPr>
            <w:tcW w:w="3700" w:type="dxa"/>
            <w:vAlign w:val="bottom"/>
            <w:tcBorders>
              <w:bottom w:val="single" w:sz="8" w:color="auto"/>
            </w:tcBorders>
          </w:tcPr>
          <w:p>
            <w:pPr>
              <w:spacing w:after="0"/>
              <w:rPr>
                <w:sz w:val="8"/>
                <w:szCs w:val="8"/>
                <w:color w:val="auto"/>
              </w:rPr>
            </w:pPr>
          </w:p>
        </w:tc>
        <w:tc>
          <w:tcPr>
            <w:tcW w:w="7320" w:type="dxa"/>
            <w:vAlign w:val="bottom"/>
            <w:tcBorders>
              <w:bottom w:val="single" w:sz="8" w:color="auto"/>
            </w:tcBorders>
          </w:tcPr>
          <w:p>
            <w:pPr>
              <w:spacing w:after="0"/>
              <w:rPr>
                <w:sz w:val="8"/>
                <w:szCs w:val="8"/>
                <w:color w:val="auto"/>
              </w:rPr>
            </w:pPr>
          </w:p>
        </w:tc>
      </w:tr>
    </w:tbl>
    <w:p>
      <w:pPr>
        <w:sectPr>
          <w:pgSz w:w="11900" w:h="16838" w:orient="portrait"/>
          <w:cols w:equalWidth="0" w:num="1">
            <w:col w:w="11140"/>
          </w:cols>
          <w:pgMar w:left="320" w:top="455" w:right="439" w:bottom="1440" w:gutter="0" w:footer="0" w:header="0"/>
          <w:type w:val="continuous"/>
        </w:sectPr>
      </w:pPr>
    </w:p>
    <w:bookmarkStart w:id="62" w:name="page63"/>
    <w:bookmarkEnd w:id="62"/>
    <w:p>
      <w:pPr>
        <w:ind w:left="101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prospectus supplement to which this Exhibit is attached is a final prospectus for the related offering. The maximum aggregate offering price of that offering is $74,999,925.36 (or up to $86,249,925.36 aggregate offering price if the underwriters’ overallotment option to purchase additional shares of Common Stock is exercised in full).</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bullet"/>
      <w:start w:val="1"/>
    </w:lvl>
  </w:abstractNum>
  <w:abstractNum w:abstractNumId="7">
    <w:nsid w:val="2CA88611"/>
    <w:multiLevelType w:val="hybridMultilevel"/>
    <w:lvl w:ilvl="0">
      <w:lvlJc w:val="left"/>
      <w:lvlText w:val="%1."/>
      <w:numFmt w:val="decimal"/>
      <w:start w:val="1"/>
    </w:lvl>
    <w:lvl w:ilvl="1">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678"/>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decimal"/>
      <w:start w:val="1"/>
    </w:lvl>
    <w:lvl w:ilvl="1">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Roman"/>
      <w:start w:val="1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decimal"/>
      <w:start w:val="678"/>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jpe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48" Type="http://schemas.openxmlformats.org/officeDocument/2006/relationships/hyperlink" Target="http://www.sec.gov/ix?doc=/Archives/edgar/data/1820302/000162828025013959/bakkt-20241231.htm" TargetMode="External"/><Relationship Id="rId49" Type="http://schemas.openxmlformats.org/officeDocument/2006/relationships/hyperlink" Target="http://www.sec.gov/ix?doc=/Archives/edgar/data/1820302/000162828025024743/bakkt-20250331.htm" TargetMode="External"/><Relationship Id="rId50" Type="http://schemas.openxmlformats.org/officeDocument/2006/relationships/hyperlink" Target="http://www.sec.gov/ix?doc=/Archives/edgar/data/1820302/000162828025020274/bakkt-20250428.htm" TargetMode="External"/><Relationship Id="rId51" Type="http://schemas.openxmlformats.org/officeDocument/2006/relationships/hyperlink" Target="http://www.sec.gov/ix?doc=/Archives/edgar/data/1820302/000119312525138191/d76438d8k.htm" TargetMode="External"/><Relationship Id="rId52" Type="http://schemas.openxmlformats.org/officeDocument/2006/relationships/hyperlink" Target="http://www.sec.gov/ix?doc=/Archives/edgar/data/1820302/000162828025030475/bakkt-20250610.htm" TargetMode="External"/><Relationship Id="rId53" Type="http://schemas.openxmlformats.org/officeDocument/2006/relationships/hyperlink" Target="http://www.sec.gov/ix?doc=/Archives/edgar/data/1820302/000162828025031314/bakkt-20250609.htm" TargetMode="External"/><Relationship Id="rId54" Type="http://schemas.openxmlformats.org/officeDocument/2006/relationships/hyperlink" Target="http://www.sec.gov/ix?doc=/Archives/edgar/data/1820302/000119312525142918/d80998d8k.htm" TargetMode="External"/><Relationship Id="rId55" Type="http://schemas.openxmlformats.org/officeDocument/2006/relationships/hyperlink" Target="http://www.sec.gov/ix?doc=/Archives/edgar/data/1820302/000162828025036239/bakkt-20250723.htm" TargetMode="External"/><Relationship Id="rId56" Type="http://schemas.openxmlformats.org/officeDocument/2006/relationships/hyperlink" Target="http://www.sec.gov/ix?doc=/Archives/edgar/data/1820302/000162828025013995/bakkt-20250319.htm" TargetMode="External"/><Relationship Id="rId57" Type="http://schemas.openxmlformats.org/officeDocument/2006/relationships/hyperlink" Target="http://www.sec.gov/Archives/edgar/data/1820302/000119312521299620/d2113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2025-07-30T05:12:07Z</dcterms:created>
  <dcterms:modified xsi:type="dcterms:W3CDTF">2025-07-30T05:12:07Z</dcterms:modified>
</cp:coreProperties>
</file>