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Goodroe Charles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6"/>
              </w:rPr>
              <w:t>10000 AVALON BLVD., SUITE 1000</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 No securities beneficially owned.</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/s/ Marc D'Annunzio</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09/12/2022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Charles Goodroe</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William Costello, and each of them, as the undersigned's true and lawful attorney-in-fact to:</w:t>
      </w:r>
    </w:p>
    <w:p>
      <w:pPr>
        <w:spacing w:after="0" w:line="87" w:lineRule="exact"/>
        <w:rPr>
          <w:sz w:val="20"/>
          <w:szCs w:val="20"/>
          <w:color w:val="auto"/>
        </w:rPr>
      </w:pPr>
    </w:p>
    <w:p>
      <w:pPr>
        <w:ind w:right="619"/>
        <w:spacing w:after="0" w:line="29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30th day of August, 2022.</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Charles Goodroe</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Charles Goodroe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4926"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2022-09-12T17:02:18Z</dcterms:created>
  <dcterms:modified xsi:type="dcterms:W3CDTF">2022-09-12T17:02:18Z</dcterms:modified>
</cp:coreProperties>
</file>