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ans-serif" w:hAnsi="Times New Roman;sans-serif"/>
          <w:b/>
          <w:color w:val="000000"/>
          <w:sz w:val="36"/>
        </w:rPr>
      </w:pPr>
      <w:r>
        <w:rPr>
          <w:rFonts w:ascii="Times New Roman;sans-serif" w:hAnsi="Times New Roman;sans-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June 9, 2025</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ans-serif" w:hAnsi="Times New Roman;sans-serif"/>
          <w:b/>
          <w:color w:val="000000"/>
          <w:sz w:val="40"/>
        </w:rPr>
      </w:pPr>
      <w:r>
        <w:rPr>
          <w:rFonts w:ascii="Times New Roman;sans-serif" w:hAnsi="Times New Roman;sans-serif"/>
          <w:b/>
          <w:color w:val="000000"/>
          <w:sz w:val="40"/>
        </w:rPr>
        <w:t>Bakkt Holdings, Inc.</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98-1550750</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tbl>
      <w:tblPr>
        <w:tblW w:w="4525" w:type="dxa"/>
        <w:jc w:val="center"/>
        <w:tblInd w:w="0" w:type="dxa"/>
        <w:tblLayout w:type="fixed"/>
        <w:tblCellMar>
          <w:top w:w="28" w:type="dxa"/>
          <w:left w:w="28" w:type="dxa"/>
          <w:bottom w:w="28" w:type="dxa"/>
          <w:right w:w="28" w:type="dxa"/>
        </w:tblCellMar>
      </w:tblPr>
      <w:tblGrid>
        <w:gridCol w:w="1183"/>
        <w:gridCol w:w="1040"/>
        <w:gridCol w:w="1046"/>
        <w:gridCol w:w="109"/>
        <w:gridCol w:w="109"/>
        <w:gridCol w:w="109"/>
        <w:gridCol w:w="272"/>
        <w:gridCol w:w="272"/>
        <w:gridCol w:w="385"/>
      </w:tblGrid>
      <w:tr>
        <w:trPr/>
        <w:tc>
          <w:tcPr>
            <w:tcW w:w="11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10000 Avalon Boulevard, Suite 1000,</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Alpharetta,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30009</w:t>
            </w:r>
          </w:p>
        </w:tc>
      </w:tr>
      <w:tr>
        <w:trPr/>
        <w:tc>
          <w:tcPr>
            <w:tcW w:w="32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(678) 534-5849</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92"/>
        <w:gridCol w:w="516"/>
        <w:gridCol w:w="516"/>
        <w:gridCol w:w="545"/>
        <w:gridCol w:w="516"/>
        <w:gridCol w:w="516"/>
        <w:gridCol w:w="516"/>
        <w:gridCol w:w="516"/>
        <w:gridCol w:w="516"/>
        <w:gridCol w:w="707"/>
        <w:gridCol w:w="516"/>
        <w:gridCol w:w="516"/>
        <w:gridCol w:w="516"/>
        <w:gridCol w:w="516"/>
        <w:gridCol w:w="516"/>
        <w:gridCol w:w="818"/>
        <w:gridCol w:w="516"/>
        <w:gridCol w:w="735"/>
      </w:tblGrid>
      <w:tr>
        <w:trPr/>
        <w:tc>
          <w:tcPr>
            <w:tcW w:w="69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 pursuant to Rule 425 under the Securities Act (17 CFR 230.425)</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ind w:left="0" w:right="0" w:hanging="1530"/>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120"/>
              <w:ind w:left="0" w:right="0" w:firstLine="14"/>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Name of each exchange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330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$0.0001 per share</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BKKT</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New York Stock Exchange</w:t>
            </w:r>
          </w:p>
        </w:tc>
      </w:tr>
      <w:tr>
        <w:trPr/>
        <w:tc>
          <w:tcPr>
            <w:tcW w:w="330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Warrants to purchase Class A Common Stock</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BKKT WS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New York Stock Exchange</w:t>
            </w:r>
          </w:p>
        </w:tc>
      </w:tr>
    </w:tbl>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4.01 Changes in Registrant’s Certifying Accountant</w:t>
      </w:r>
    </w:p>
    <w:p>
      <w:pPr>
        <w:pStyle w:val="TextBody"/>
        <w:bidi w:val="0"/>
        <w:spacing w:lineRule="auto" w:line="288" w:before="0" w:after="240"/>
        <w:ind w:left="0" w:right="0" w:hanging="360"/>
        <w:jc w:val="both"/>
        <w:rPr>
          <w:rFonts w:ascii="Times New Roman;sans-serif" w:hAnsi="Times New Roman;sans-serif"/>
          <w:b w:val="false"/>
          <w:i/>
          <w:color w:val="000000"/>
          <w:sz w:val="20"/>
        </w:rPr>
      </w:pPr>
      <w:r>
        <w:rPr>
          <w:rFonts w:ascii="Times New Roman;sans-serif" w:hAnsi="Times New Roman;sans-serif"/>
          <w:b w:val="false"/>
          <w:i/>
          <w:color w:val="000000"/>
          <w:sz w:val="20"/>
        </w:rPr>
        <w:t>(a)Dismissal of Previous Independent Registered Public Accounting Firm</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as of June 9, 2025, the Audit Committee dismissed KPMG LLP (“KPMG”) as its independent registered public accounting firm. The audit report of KPMG on the Company’s consolidated financial statements for the fiscal year ended December 31, 2024 did not contain an adverse opinion or disclaimer of opinion and was not qualified or modified as to uncertainty, audit scope or accounting principles, or other similar opinion as defined in Item 304(a)(1)(ii) of Regulation S-K. In connection with the audit of the Company’s consolidated financial statements for the fiscal year ended December 31, 2024, and in the subsequent interim period through June 9, 2025 (the “Interim Period”), there were no “disagreements” (as that term is defined in Item 304(a)(1)(iv) of Regulation S-K) with KPMG on any matter of accounting principles or practices, financial statement disclosure or auditing scope and procedures which, if not resolved to the satisfaction of KPMG, would have caused KPMG to make reference to the matter in their report for such year. Except for the disclosure of the material weakness of the Company’s internal control over financial reporting as disclosed in Part I, Item 4 of the Company’s Quarterly Report on Form 10-Q for the quarter ended March 31, 2024, there were no reportable events (as that term is defined in Item 304(a)(1)(v) of Regulation S-K) during the fiscal year ended December 31, 2024 or in the Interim Period.</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Item 304(a)(3) of Regulation S-K, the Company provided KPMG with a copy of the disclosures in this Current Report prior to filing this Current Report with the SEC. The Company requested that KPMG furnish a letter addressed to the SEC stating whether or not KPMG agrees with the statements above. A copy of KPMG’s letter dated June 13, 2025 is filed as Exhibit 16.1 to this Current Report.</w:t>
      </w:r>
    </w:p>
    <w:p>
      <w:pPr>
        <w:pStyle w:val="TextBody"/>
        <w:bidi w:val="0"/>
        <w:spacing w:lineRule="auto" w:line="288" w:before="0" w:after="240"/>
        <w:ind w:left="0" w:right="0" w:hanging="360"/>
        <w:jc w:val="both"/>
        <w:rPr/>
      </w:pPr>
      <w:r>
        <w:rPr>
          <w:rFonts w:ascii="Times New Roman;sans-serif" w:hAnsi="Times New Roman;sans-serif"/>
          <w:b w:val="false"/>
          <w:color w:val="000000"/>
          <w:sz w:val="20"/>
        </w:rPr>
        <w:t>(b)</w:t>
      </w:r>
      <w:r>
        <w:rPr>
          <w:rFonts w:ascii="Times New Roman;sans-serif" w:hAnsi="Times New Roman;sans-serif"/>
          <w:b w:val="false"/>
          <w:i/>
          <w:color w:val="000000"/>
          <w:sz w:val="20"/>
        </w:rPr>
        <w:t>Appointment of New Independent Registered Public Accounting Firm</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on and effective as of June 9, 2025, appointed Grant Thornton LLP (“Grant Thornton”) as the Company’s independent registered public accounting firm for the Company’s fiscal year ending December 31, 2025.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has authorized KPMG to respond fully to the inquiries of Grant Thornton, as the successor independent registered accounting firm.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Company’s most recent fiscal year ending December 31, 2024, and during the Interim Period, neither the Company nor anyone acting on its behalf has consulted with Grant Thornton, regarding either: (i) the application of accounting principles to a specific transaction, either completed or proposed, or the type of audit opinion that might be rendered on the Company’s consolidated financial statements, and neither a written report nor oral advice was provided to the Company that Grant Thornton concluded was an important factor considered by the Company in reaching a decision as to any accounting, auditing, or financial reporting issue, or (ii) any matter that was either the subject of a “disagreement” (as defined in Item 304(a)(1)(iv) of Regulation S-K) or a “reportable event” (as described in Item 304(a)(1)(v) of Regulation S-K).</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40" w:before="24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(d) Exhibits The following exhibits are filed with this Current Report:</w:t>
      </w:r>
    </w:p>
    <w:p>
      <w:pPr>
        <w:pStyle w:val="TextBody"/>
        <w:bidi w:val="0"/>
        <w:spacing w:before="0" w:after="0"/>
        <w:jc w:val="left"/>
        <w:rPr/>
      </w:pPr>
      <w:r>
        <w:rPr/>
      </w:r>
    </w:p>
    <w:p>
      <w:pPr>
        <w:pStyle w:val="TextBody"/>
        <w:bidi w:val="0"/>
        <w:spacing w:before="0" w:after="0"/>
        <w:ind w:left="0" w:right="0" w:firstLine="720"/>
        <w:jc w:val="left"/>
        <w:rPr/>
      </w:pPr>
      <w:r>
        <w:rPr/>
      </w:r>
    </w:p>
    <w:tbl>
      <w:tblPr>
        <w:tblW w:w="7679" w:type="dxa"/>
        <w:jc w:val="left"/>
        <w:tblInd w:w="0" w:type="dxa"/>
        <w:tblLayout w:type="fixed"/>
        <w:tblCellMar>
          <w:top w:w="28" w:type="dxa"/>
          <w:left w:w="28" w:type="dxa"/>
          <w:bottom w:w="28" w:type="dxa"/>
          <w:right w:w="28" w:type="dxa"/>
        </w:tblCellMar>
      </w:tblPr>
      <w:tblGrid>
        <w:gridCol w:w="391"/>
        <w:gridCol w:w="344"/>
        <w:gridCol w:w="345"/>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a61325exhibit.htm">
              <w:r>
                <w:rPr>
                  <w:rStyle w:val="InternetLink"/>
                  <w:rFonts w:ascii="Times New Roman;sans-serif" w:hAnsi="Times New Roman;sans-serif"/>
                  <w:b w:val="false"/>
                  <w:strike w:val="false"/>
                  <w:dstrike w:val="false"/>
                  <w:color w:val="000000"/>
                  <w:sz w:val="20"/>
                  <w:u w:val="none"/>
                  <w:effect w:val="none"/>
                </w:rPr>
                <w:t>16.1</w:t>
              </w:r>
            </w:hyperlink>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Letter from KPMG LLP to the SEC dated June 13, 2025</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4485" w:type="dxa"/>
        <w:jc w:val="left"/>
        <w:tblInd w:w="0" w:type="dxa"/>
        <w:tblLayout w:type="fixed"/>
        <w:tblCellMar>
          <w:top w:w="28" w:type="dxa"/>
          <w:left w:w="28" w:type="dxa"/>
          <w:bottom w:w="28" w:type="dxa"/>
          <w:right w:w="28" w:type="dxa"/>
        </w:tblCellMar>
      </w:tblPr>
      <w:tblGrid>
        <w:gridCol w:w="667"/>
        <w:gridCol w:w="586"/>
        <w:gridCol w:w="592"/>
        <w:gridCol w:w="772"/>
        <w:gridCol w:w="772"/>
        <w:gridCol w:w="1096"/>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BAKKT HOLDINGS, INC.</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June 13, 2025</w:t>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Marc D’Annunzio    </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Marc D’Annunzio</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6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400"/>
        <w:jc w:val="left"/>
        <w:rPr>
          <w:rFonts w:ascii="Arial;sans-serif" w:hAnsi="Arial;sans-serif"/>
          <w:b w:val="false"/>
          <w:color w:val="000000"/>
          <w:sz w:val="20"/>
        </w:rPr>
      </w:pPr>
      <w:r>
        <w:rPr>
          <w:rFonts w:ascii="Arial;sans-serif" w:hAnsi="Arial;sans-serif"/>
          <w:b w:val="false"/>
          <w:color w:val="000000"/>
          <w:sz w:val="20"/>
        </w:rPr>
        <w:t>June 13, 2025</w:t>
      </w:r>
    </w:p>
    <w:p>
      <w:pPr>
        <w:pStyle w:val="TextBody"/>
        <w:bidi w:val="0"/>
        <w:spacing w:lineRule="auto" w:line="333" w:before="0" w:after="200"/>
        <w:jc w:val="left"/>
        <w:rPr>
          <w:rFonts w:ascii="Arial;sans-serif" w:hAnsi="Arial;sans-serif"/>
          <w:b w:val="false"/>
          <w:color w:val="000000"/>
          <w:sz w:val="20"/>
        </w:rPr>
      </w:pPr>
      <w:r>
        <w:rPr>
          <w:rFonts w:ascii="Arial;sans-serif" w:hAnsi="Arial;sans-serif"/>
          <w:b w:val="false"/>
          <w:color w:val="000000"/>
          <w:sz w:val="20"/>
        </w:rPr>
        <w:t>Securities and Exchange Commission</w:t>
        <w:br/>
        <w:t>Washington, D.C. 20549</w:t>
      </w:r>
    </w:p>
    <w:p>
      <w:pPr>
        <w:pStyle w:val="TextBody"/>
        <w:bidi w:val="0"/>
        <w:spacing w:lineRule="auto" w:line="333" w:before="0" w:after="200"/>
        <w:jc w:val="left"/>
        <w:rPr>
          <w:rFonts w:ascii="Arial;sans-serif" w:hAnsi="Arial;sans-serif"/>
          <w:b w:val="false"/>
          <w:color w:val="000000"/>
          <w:sz w:val="20"/>
        </w:rPr>
      </w:pPr>
      <w:r>
        <w:rPr>
          <w:rFonts w:ascii="Arial;sans-serif" w:hAnsi="Arial;sans-serif"/>
          <w:b w:val="false"/>
          <w:color w:val="000000"/>
          <w:sz w:val="20"/>
        </w:rPr>
        <w:t>Ladies and Gentlemen:</w:t>
      </w:r>
    </w:p>
    <w:p>
      <w:pPr>
        <w:pStyle w:val="TextBody"/>
        <w:bidi w:val="0"/>
        <w:spacing w:lineRule="auto" w:line="333" w:before="0" w:after="200"/>
        <w:jc w:val="left"/>
        <w:rPr>
          <w:rFonts w:ascii="Arial;sans-serif" w:hAnsi="Arial;sans-serif"/>
          <w:b w:val="false"/>
          <w:color w:val="000000"/>
          <w:sz w:val="20"/>
        </w:rPr>
      </w:pPr>
      <w:r>
        <w:rPr>
          <w:rFonts w:ascii="Arial;sans-serif" w:hAnsi="Arial;sans-serif"/>
          <w:b w:val="false"/>
          <w:color w:val="000000"/>
          <w:sz w:val="20"/>
        </w:rPr>
        <w:t>We were previously principal accountants for Bakkt Holdings, Inc. (the Company) and, under the date of March 19, 2025, we reported on the consolidated financial statements of the Company as of and for the year ended December 31, 2024 and the effectiveness of internal control over financial reporting as of December 31, 2024. On June 9, 2025, we were dismissed.</w:t>
      </w:r>
    </w:p>
    <w:p>
      <w:pPr>
        <w:pStyle w:val="TextBody"/>
        <w:bidi w:val="0"/>
        <w:spacing w:lineRule="auto" w:line="333" w:before="0" w:after="200"/>
        <w:jc w:val="left"/>
        <w:rPr>
          <w:rFonts w:ascii="Arial;sans-serif" w:hAnsi="Arial;sans-serif"/>
          <w:b w:val="false"/>
          <w:color w:val="000000"/>
          <w:sz w:val="20"/>
        </w:rPr>
      </w:pPr>
      <w:r>
        <w:rPr>
          <w:rFonts w:ascii="Arial;sans-serif" w:hAnsi="Arial;sans-serif"/>
          <w:b w:val="false"/>
          <w:color w:val="000000"/>
          <w:sz w:val="20"/>
        </w:rPr>
        <w:t>We have read the Company’s statements included under Item 4.01 of its Form 8-K dated June 13, 2025, and we agree with such statements except we are not in a position to agree or disagree with the Company‘s statements in Item 4.01(b).</w:t>
      </w:r>
    </w:p>
    <w:p>
      <w:pPr>
        <w:pStyle w:val="TextBody"/>
        <w:bidi w:val="0"/>
        <w:spacing w:lineRule="auto" w:line="333" w:before="0" w:after="200"/>
        <w:jc w:val="left"/>
        <w:rPr>
          <w:rFonts w:ascii="Arial;sans-serif" w:hAnsi="Arial;sans-serif"/>
          <w:b w:val="false"/>
          <w:color w:val="000000"/>
          <w:sz w:val="20"/>
        </w:rPr>
      </w:pPr>
      <w:r>
        <w:rPr>
          <w:rFonts w:ascii="Arial;sans-serif" w:hAnsi="Arial;sans-serif"/>
          <w:b w:val="false"/>
          <w:color w:val="000000"/>
          <w:sz w:val="20"/>
        </w:rPr>
        <w:t>Very truly yours,</w:t>
      </w:r>
    </w:p>
    <w:p>
      <w:pPr>
        <w:pStyle w:val="TextBody"/>
        <w:bidi w:val="0"/>
        <w:spacing w:lineRule="auto" w:line="333" w:before="0" w:after="200"/>
        <w:jc w:val="left"/>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before="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1039</Words>
  <Characters>5568</Characters>
  <CharactersWithSpaces>6546</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