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Alexander Karen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335" w:lineRule="auto"/>
        <w:rPr>
          <w:sz w:val="20"/>
          <w:szCs w:val="20"/>
          <w:color w:val="auto"/>
        </w:rPr>
      </w:pPr>
      <w:r>
        <w:rPr>
          <w:rFonts w:ascii="Arial" w:cs="Arial" w:eastAsia="Arial" w:hAnsi="Arial"/>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Bakkt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36,455</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111,455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111,455 shares of Class A Common Stock subject to RSUs that remain subject to vesting.</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Karen</w:t>
      </w:r>
      <w:r>
        <w:rPr>
          <w:sz w:val="20"/>
          <w:szCs w:val="20"/>
          <w:color w:val="auto"/>
        </w:rPr>
        <w:tab/>
      </w:r>
      <w:r>
        <w:rPr>
          <w:rFonts w:ascii="Arial" w:cs="Arial" w:eastAsia="Arial" w:hAnsi="Arial"/>
          <w:sz w:val="15"/>
          <w:szCs w:val="15"/>
          <w:color w:val="0000FF"/>
        </w:rPr>
        <w:t>02/17/2022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2022-02-17T18:00:37Z</dcterms:created>
  <dcterms:modified xsi:type="dcterms:W3CDTF">2022-02-17T18:00:37Z</dcterms:modified>
</cp:coreProperties>
</file>