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333-261034</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 NO. 13</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April 13, 2022)</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190,726,638 Shares of Class A Common Stock Issuable Upon the Exchange of Paired Interests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32,500,000 Shares of Class A Common Stock issued in the PIPE Financing</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5,184,300 Shares of Class A Common Stock Issued in Respect of Founder Shares</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3,151,890 shares of Class A Common Stock Issued Upon the Exchange of a Portion of the Private Placement Warrants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768985</wp:posOffset>
            </wp:positionV>
            <wp:extent cx="14744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2980690</wp:posOffset>
            </wp:positionH>
            <wp:positionV relativeFrom="paragraph">
              <wp:posOffset>160020</wp:posOffset>
            </wp:positionV>
            <wp:extent cx="1036955" cy="386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36955" cy="3860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This prospectus supplement is being filed to update and supplement the information contained in the prospectus dated April 13, 2022 (as amended and supplemented from time to time, the “Prospectus”) with the information contained in our Current Report on Form 8-K, filed with the Securities and Exchange Commission on October 13, 2022 (the “Form 8-K”). Accordingly, we have attached the Form 8-K to this prospectus supplement.</w:t>
      </w:r>
    </w:p>
    <w:p>
      <w:pPr>
        <w:spacing w:after="0" w:line="176" w:lineRule="exact"/>
        <w:rPr>
          <w:sz w:val="24"/>
          <w:szCs w:val="24"/>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The Prospectus relates to the issuance by us, and the resale by the Selling Securityholders (as defined in “Selling Securityholders” below), of up to 190,726,638 shares of Class A common stock, par value $0.0001 per share (“Class A Common Stock”), issuable upon the exchange of an equal number of Paired Interests (the “Legacy Opco Shares”). The prospectus also relates to the resale by the Selling Securityholders of (i) 32,500,000 shares of Class A Common Stock (the “PIPE Shares”) issued in the PIPE Financing; (ii) 5,184,300 shares of Class A Common Stock issued to VPC Impact Acquisition Holdings Sponsor, LLC (the “Sponsor”) and certain of its affiliates that relate to securities acquired by them prior to the IPO (the “Founder Shares”); and (iii) 3,151,890 shares of Class A Common Stock issued to the Sponsor upon the exercise of a portion of the Private Placement Warrants (the “Private Warrant Shares”). Unless otherwise defined, capitalized terms have the meanings ascribed to them in the section entitled “</w:t>
      </w:r>
      <w:r>
        <w:rPr>
          <w:rFonts w:ascii="Times New Roman" w:cs="Times New Roman" w:eastAsia="Times New Roman" w:hAnsi="Times New Roman"/>
          <w:sz w:val="18"/>
          <w:szCs w:val="18"/>
          <w:i w:val="1"/>
          <w:iCs w:val="1"/>
          <w:color w:val="auto"/>
        </w:rPr>
        <w:t>About this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Prospectus</w:t>
      </w:r>
      <w:r>
        <w:rPr>
          <w:rFonts w:ascii="Times New Roman" w:cs="Times New Roman" w:eastAsia="Times New Roman" w:hAnsi="Times New Roman"/>
          <w:sz w:val="18"/>
          <w:szCs w:val="18"/>
          <w:color w:val="auto"/>
        </w:rPr>
        <w:t>”.</w:t>
      </w:r>
    </w:p>
    <w:p>
      <w:pPr>
        <w:spacing w:after="0" w:line="192" w:lineRule="exact"/>
        <w:rPr>
          <w:sz w:val="24"/>
          <w:szCs w:val="24"/>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This prospectus supplement updates and supplements the information in the Prospectus and is not complete without, and may not be delivered or utilized except in combination with, the Prospectus, including any amendments or supplements thereto. This prospectus supplement should be read in conjunction with the Prospectus and if there is any inconsistency between the information in the Prospectus and this prospectus supplement, you should rely on the information in this prospectus supplement.</w:t>
      </w:r>
    </w:p>
    <w:p>
      <w:pPr>
        <w:spacing w:after="0" w:line="18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Our Class A Common Stock is listed on The New York Stock Exchange (“NYSE”) under the symbol “BKKT” and our warrants to purchase Class A</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Common Stock (the “Warrants”) are listed on NYSE under the symbol “BKKT WS.” On October 11, 2022, the last quoted sale price for our Class A</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Common Stock as reported on NYSE was $2.11 per share and the last quoted sale price for our Warrants as reported on NYSE was $0.47 per warrant.</w:t>
      </w:r>
    </w:p>
    <w:p>
      <w:pPr>
        <w:spacing w:after="0" w:line="207" w:lineRule="exact"/>
        <w:rPr>
          <w:sz w:val="24"/>
          <w:szCs w:val="24"/>
          <w:color w:val="auto"/>
        </w:rPr>
      </w:pPr>
    </w:p>
    <w:p>
      <w:pPr>
        <w:jc w:val="both"/>
        <w:ind w:right="220"/>
        <w:spacing w:after="0" w:line="282" w:lineRule="auto"/>
        <w:rPr>
          <w:sz w:val="20"/>
          <w:szCs w:val="20"/>
          <w:color w:val="auto"/>
        </w:rPr>
      </w:pPr>
      <w:r>
        <w:rPr>
          <w:rFonts w:ascii="Times New Roman" w:cs="Times New Roman" w:eastAsia="Times New Roman" w:hAnsi="Times New Roman"/>
          <w:sz w:val="18"/>
          <w:szCs w:val="18"/>
          <w:color w:val="auto"/>
        </w:rPr>
        <w:t>We are an “emerging growth company,” as defined under the federal securities laws, and have elected to comply with certain reduced public company reporting requirements for the Prospectus and for future filings.</w:t>
      </w:r>
    </w:p>
    <w:p>
      <w:pPr>
        <w:spacing w:after="0" w:line="148" w:lineRule="exact"/>
        <w:rPr>
          <w:sz w:val="24"/>
          <w:szCs w:val="24"/>
          <w:color w:val="auto"/>
        </w:rPr>
      </w:pPr>
    </w:p>
    <w:p>
      <w:pPr>
        <w:ind w:right="300" w:firstLine="440"/>
        <w:spacing w:after="0" w:line="262" w:lineRule="auto"/>
        <w:rPr>
          <w:sz w:val="20"/>
          <w:szCs w:val="20"/>
          <w:color w:val="auto"/>
        </w:rPr>
      </w:pPr>
      <w:r>
        <w:rPr>
          <w:rFonts w:ascii="Times New Roman" w:cs="Times New Roman" w:eastAsia="Times New Roman" w:hAnsi="Times New Roman"/>
          <w:sz w:val="22"/>
          <w:szCs w:val="22"/>
          <w:b w:val="1"/>
          <w:bCs w:val="1"/>
          <w:color w:val="auto"/>
        </w:rPr>
        <w:t>Investing in our securities involves a high degree of risk. Before buying any securities, you should carefully read the discussion of the risks of investing in our securities in “</w:t>
      </w:r>
      <w:r>
        <w:rPr>
          <w:rFonts w:ascii="Times New Roman" w:cs="Times New Roman" w:eastAsia="Times New Roman" w:hAnsi="Times New Roman"/>
          <w:sz w:val="22"/>
          <w:szCs w:val="22"/>
          <w:b w:val="1"/>
          <w:bCs w:val="1"/>
          <w:i w:val="1"/>
          <w:iCs w:val="1"/>
          <w:color w:val="auto"/>
        </w:rPr>
        <w:t>Risk Factors</w:t>
      </w:r>
      <w:r>
        <w:rPr>
          <w:rFonts w:ascii="Times New Roman" w:cs="Times New Roman" w:eastAsia="Times New Roman" w:hAnsi="Times New Roman"/>
          <w:sz w:val="22"/>
          <w:szCs w:val="22"/>
          <w:b w:val="1"/>
          <w:bCs w:val="1"/>
          <w:color w:val="auto"/>
        </w:rPr>
        <w:t>” of the Prospectus.</w:t>
      </w:r>
    </w:p>
    <w:p>
      <w:pPr>
        <w:spacing w:after="0" w:line="159" w:lineRule="exact"/>
        <w:rPr>
          <w:sz w:val="24"/>
          <w:szCs w:val="24"/>
          <w:color w:val="auto"/>
        </w:rPr>
      </w:pPr>
    </w:p>
    <w:p>
      <w:pPr>
        <w:ind w:right="720"/>
        <w:spacing w:after="0" w:line="286" w:lineRule="auto"/>
        <w:rPr>
          <w:sz w:val="20"/>
          <w:szCs w:val="20"/>
          <w:color w:val="auto"/>
        </w:rPr>
      </w:pPr>
      <w:r>
        <w:rPr>
          <w:rFonts w:ascii="Times New Roman" w:cs="Times New Roman" w:eastAsia="Times New Roman" w:hAnsi="Times New Roman"/>
          <w:sz w:val="18"/>
          <w:szCs w:val="18"/>
          <w:b w:val="1"/>
          <w:bCs w:val="1"/>
          <w:color w:val="auto"/>
        </w:rPr>
        <w:t>You should rely only on the information contained in the Prospectus or any prospectus supplement or amendment hereto. We have not authorized anyone to provide you with different information.</w:t>
      </w:r>
    </w:p>
    <w:p>
      <w:pPr>
        <w:spacing w:after="0" w:line="155" w:lineRule="exact"/>
        <w:rPr>
          <w:sz w:val="24"/>
          <w:szCs w:val="24"/>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the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207010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October 13, 2022</w:t>
      </w:r>
    </w:p>
    <w:p>
      <w:pPr>
        <w:sectPr>
          <w:pgSz w:w="11900" w:h="16838" w:orient="portrait"/>
          <w:cols w:equalWidth="0" w:num="1">
            <w:col w:w="11020"/>
          </w:cols>
          <w:pgMar w:left="440" w:top="225" w:right="439" w:bottom="1440" w:gutter="0" w:footer="0" w:header="0"/>
        </w:sectPr>
      </w:pPr>
    </w:p>
    <w:bookmarkStart w:id="1" w:name="page2"/>
    <w:bookmarkEnd w:id="1"/>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191770</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234950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193040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224790</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October 12,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Bakkt Holdings, Inc.</w:t>
      </w:r>
    </w:p>
    <w:p>
      <w:pPr>
        <w:spacing w:after="0" w:line="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416" w:right="439" w:bottom="1440" w:gutter="0" w:footer="0" w:header="0"/>
        </w:sectPr>
      </w:pPr>
    </w:p>
    <w:p>
      <w:pPr>
        <w:spacing w:after="0" w:line="200" w:lineRule="exact"/>
        <w:rPr>
          <w:sz w:val="20"/>
          <w:szCs w:val="20"/>
          <w:color w:val="auto"/>
        </w:rPr>
      </w:pPr>
    </w:p>
    <w:p>
      <w:pPr>
        <w:spacing w:after="0" w:line="352" w:lineRule="exact"/>
        <w:rPr>
          <w:sz w:val="20"/>
          <w:szCs w:val="20"/>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2" w:lineRule="exact"/>
        <w:rPr>
          <w:sz w:val="20"/>
          <w:szCs w:val="20"/>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001-39544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98-1550750</w:t>
      </w:r>
    </w:p>
    <w:p>
      <w:pPr>
        <w:spacing w:after="0" w:line="24" w:lineRule="exact"/>
        <w:rPr>
          <w:sz w:val="20"/>
          <w:szCs w:val="20"/>
          <w:color w:val="auto"/>
        </w:rPr>
      </w:pPr>
    </w:p>
    <w:p>
      <w:pPr>
        <w:sectPr>
          <w:pgSz w:w="11900" w:h="16838" w:orient="portrait"/>
          <w:cols w:equalWidth="0" w:num="3">
            <w:col w:w="4504" w:space="720"/>
            <w:col w:w="2880" w:space="720"/>
            <w:col w:w="2200"/>
          </w:cols>
          <w:pgMar w:left="436" w:top="41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0"/>
          <w:szCs w:val="20"/>
          <w:color w:val="auto"/>
        </w:rPr>
      </w:pPr>
      <w:r>
        <w:rPr>
          <w:sz w:val="20"/>
          <w:szCs w:val="20"/>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0"/>
          <w:szCs w:val="20"/>
          <w:color w:val="auto"/>
        </w:rPr>
      </w:pPr>
      <w:r>
        <w:rPr>
          <w:sz w:val="20"/>
          <w:szCs w:val="20"/>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88" w:lineRule="exact"/>
        <w:rPr>
          <w:sz w:val="20"/>
          <w:szCs w:val="20"/>
          <w:color w:val="auto"/>
        </w:rPr>
      </w:pPr>
    </w:p>
    <w:p>
      <w:pPr>
        <w:sectPr>
          <w:pgSz w:w="11900" w:h="16838" w:orient="portrait"/>
          <w:cols w:equalWidth="0" w:num="3">
            <w:col w:w="4484" w:space="720"/>
            <w:col w:w="2760" w:space="720"/>
            <w:col w:w="2340"/>
          </w:cols>
          <w:pgMar w:left="436" w:top="416" w:right="439" w:bottom="1440" w:gutter="0" w:footer="0" w:header="0"/>
          <w:type w:val="continuous"/>
        </w:sectPr>
      </w:pPr>
    </w:p>
    <w:p>
      <w:pPr>
        <w:jc w:val="center"/>
        <w:ind w:right="1836"/>
        <w:spacing w:after="0"/>
        <w:rPr>
          <w:sz w:val="20"/>
          <w:szCs w:val="20"/>
          <w:color w:val="auto"/>
        </w:rPr>
      </w:pPr>
      <w:r>
        <w:rPr>
          <w:rFonts w:ascii="Times New Roman" w:cs="Times New Roman" w:eastAsia="Times New Roman" w:hAnsi="Times New Roman"/>
          <w:sz w:val="17"/>
          <w:szCs w:val="17"/>
          <w:b w:val="1"/>
          <w:bCs w:val="1"/>
          <w:color w:val="auto"/>
        </w:rPr>
        <w:t>10000 Avalon Boulevard, Suite 1000, Alpharetta,</w:t>
      </w:r>
    </w:p>
    <w:p>
      <w:pPr>
        <w:spacing w:after="0" w:line="43" w:lineRule="exact"/>
        <w:rPr>
          <w:sz w:val="20"/>
          <w:szCs w:val="20"/>
          <w:color w:val="auto"/>
        </w:rPr>
      </w:pPr>
    </w:p>
    <w:p>
      <w:pPr>
        <w:jc w:val="center"/>
        <w:ind w:right="1836"/>
        <w:spacing w:after="0"/>
        <w:rPr>
          <w:sz w:val="20"/>
          <w:szCs w:val="20"/>
          <w:color w:val="auto"/>
        </w:rPr>
      </w:pPr>
      <w:r>
        <w:rPr>
          <w:rFonts w:ascii="Times New Roman" w:cs="Times New Roman" w:eastAsia="Times New Roman" w:hAnsi="Times New Roman"/>
          <w:sz w:val="18"/>
          <w:szCs w:val="18"/>
          <w:b w:val="1"/>
          <w:bCs w:val="1"/>
          <w:color w:val="auto"/>
        </w:rPr>
        <w:t>Georgia</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30009</w:t>
      </w:r>
    </w:p>
    <w:p>
      <w:pPr>
        <w:spacing w:after="0" w:line="43" w:lineRule="exact"/>
        <w:rPr>
          <w:sz w:val="20"/>
          <w:szCs w:val="20"/>
          <w:color w:val="auto"/>
        </w:rPr>
      </w:pPr>
    </w:p>
    <w:p>
      <w:pPr>
        <w:sectPr>
          <w:pgSz w:w="11900" w:h="16838" w:orient="portrait"/>
          <w:cols w:equalWidth="0" w:num="2">
            <w:col w:w="7404" w:space="720"/>
            <w:col w:w="2900"/>
          </w:cols>
          <w:pgMar w:left="436" w:top="416" w:right="439" w:bottom="1440" w:gutter="0" w:footer="0" w:header="0"/>
          <w:type w:val="continuous"/>
        </w:sectPr>
      </w:pPr>
    </w:p>
    <w:p>
      <w:pPr>
        <w:ind w:left="158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27" w:lineRule="exact"/>
        <w:rPr>
          <w:sz w:val="20"/>
          <w:szCs w:val="20"/>
          <w:color w:val="auto"/>
        </w:rPr>
      </w:pPr>
    </w:p>
    <w:p>
      <w:pPr>
        <w:sectPr>
          <w:pgSz w:w="11900" w:h="16838" w:orient="portrait"/>
          <w:cols w:equalWidth="0" w:num="2">
            <w:col w:w="7284" w:space="720"/>
            <w:col w:w="3020"/>
          </w:cols>
          <w:pgMar w:left="436" w:top="41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(678) 534-5849</w:t>
      </w:r>
    </w:p>
    <w:p>
      <w:pPr>
        <w:spacing w:after="0" w:line="371"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205105</wp:posOffset>
            </wp:positionV>
            <wp:extent cx="14744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u w:val="single" w:color="auto"/>
          <w:color w:val="auto"/>
        </w:rPr>
        <w:t>see</w:t>
      </w:r>
      <w:r>
        <w:rPr>
          <w:rFonts w:ascii="Times New Roman" w:cs="Times New Roman" w:eastAsia="Times New Roman" w:hAnsi="Times New Roman"/>
          <w:sz w:val="18"/>
          <w:szCs w:val="18"/>
          <w:color w:val="auto"/>
        </w:rPr>
        <w:t xml:space="preserve"> General Instruction A.2. below):</w:t>
      </w:r>
    </w:p>
    <w:p>
      <w:pPr>
        <w:spacing w:after="0" w:line="67" w:lineRule="exact"/>
        <w:rPr>
          <w:sz w:val="20"/>
          <w:szCs w:val="20"/>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560" w:hanging="4"/>
        <w:spacing w:after="0" w:line="458" w:lineRule="auto"/>
        <w:tabs>
          <w:tab w:leader="none" w:pos="43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49"/>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87"/>
        </w:trPr>
        <w:tc>
          <w:tcPr>
            <w:tcW w:w="37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Class A Common Stock, par value $0.0001 per</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BKKT</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The New York Stock Exchange</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share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Warrants to purchase Class A Common Stock</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BKKT WS</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New York Stock Exchange</w:t>
            </w: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79" w:lineRule="exact"/>
        <w:rPr>
          <w:sz w:val="20"/>
          <w:szCs w:val="20"/>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00" w:lineRule="exact"/>
        <w:rPr>
          <w:sz w:val="20"/>
          <w:szCs w:val="20"/>
          <w:color w:val="auto"/>
        </w:rPr>
      </w:pPr>
    </w:p>
    <w:p>
      <w:pPr>
        <w:ind w:left="4"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9951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416" w:right="439" w:bottom="1440" w:gutter="0" w:footer="0" w:header="0"/>
          <w:type w:val="continuous"/>
        </w:sectPr>
      </w:pPr>
    </w:p>
    <w:bookmarkStart w:id="2" w:name="page3"/>
    <w:bookmarkEnd w:id="2"/>
    <w:p>
      <w:pPr>
        <w:ind w:left="1200" w:right="960" w:hanging="1200"/>
        <w:spacing w:after="0" w:line="286" w:lineRule="auto"/>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Item 5.02.</w:t>
      </w:r>
      <w:r>
        <w:rPr>
          <w:sz w:val="20"/>
          <w:szCs w:val="20"/>
          <w:color w:val="auto"/>
        </w:rPr>
        <w:tab/>
      </w: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51" w:lineRule="exact"/>
        <w:rPr>
          <w:sz w:val="20"/>
          <w:szCs w:val="20"/>
          <w:color w:val="auto"/>
        </w:rPr>
      </w:pPr>
    </w:p>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t>On October 13, 2022, Bakkt Holdings, Inc. (the “Company”) entered into an Employment Agreement with Karen Alexander, the Company’s Chief Financial Officer and Principal Financial Officer (the “Employment Agreement”), which replaces and supersedes any prior agreements between Ms. Alexander and the Company.</w:t>
      </w:r>
    </w:p>
    <w:p>
      <w:pPr>
        <w:spacing w:after="0" w:line="176"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The Employment Agreement sets forth Ms. Alexander’s title, annual base salary of $400,000 per year, annual target bonus of 100% of base salary, the terms of an initial equity grant, the terms of which are described in the Company’s current report on Form 8-K/A filed with the U.S. Securities and Exchange Commission on October 13, 2022 and are incorporated by reference herein, and eligibility to be granted future discretionary equity awards, employee benefit plan eligibility and vacation accrual. The Employment Agreement provides a one (1) year term with automatic one (1) year extensions unless either party provides notice of non-renewal. If Ms. Alexander’s employment is terminated by the Company other than for Cause or Disability or due to the Company’s non-renewal of the Employment Agreement, or Ms. Alexander resigns for Good Reason and such termination is unrelated to a Change in Control (as such terms are defined in the Employment Agreement) Ms. Alexander is entitled to (i) a lump sum payment equal to two times base salary; (ii) a lump sum payment equal to one (1) times the greater of (a) the average of the last three annual bonus payments or (b) the last annual bonus payment; (iii) with respect to awards granted under the Company’s 2021 Omnibus Employee Incentive Plan (the “2021 Plan”) or any succesor plan, full vesting acceleration of time-vested Company options and equity-based grants and vesting of performance-based equity grants based on actual performance achieved and a one-year post-termination exercise period for Company options; and (iv) a lump sum cash payment equal to one year of COBRA coverage premiums.</w:t>
      </w:r>
    </w:p>
    <w:p>
      <w:pPr>
        <w:spacing w:after="0" w:line="190"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If Ms. Alexander’s employment is terminated by the Company other than for Cause or Disability or due to the Company’s non-renewal of the Employment Agreement, or Ms. Alexander resigns for Good Reason, in each case within two (2) years following a Change in Control, Ms. Alexander is entitled to (i) a lump sum payment equal to two times base salary; (ii) a lump sum payment equal to one (1) times the greatest of (a) the average of the last three annual bonus payments, (b) the last annual bonus payment, or (c) the last bonus prior to the Change in Control; (iii) with respect to awards granted under the 2021 Plan or any successor plan, full vesting acceleration of outstanding Company options and equity-based grants with vesting of performance-based equity grants based on greater of target level or actual performance through the Change in Control and of a one-year post-termination exercise period for Company options, and (iv) a lump sum cash payment equal to one year of COBRA coverage premiums. Payment of the severance is conditioned on execution of a release of claims agreement by Ms. Alexander. The Employment Agreement includes a confidential information agreement and one (1) year post-termination non-solicit and non-competition covenants.</w:t>
      </w:r>
    </w:p>
    <w:p>
      <w:pPr>
        <w:spacing w:after="0" w:line="188" w:lineRule="exact"/>
        <w:rPr>
          <w:sz w:val="20"/>
          <w:szCs w:val="20"/>
          <w:color w:val="auto"/>
        </w:rPr>
      </w:pPr>
    </w:p>
    <w:p>
      <w:pPr>
        <w:ind w:right="360" w:firstLine="440"/>
        <w:spacing w:after="0" w:line="282" w:lineRule="auto"/>
        <w:rPr>
          <w:sz w:val="20"/>
          <w:szCs w:val="20"/>
          <w:color w:val="auto"/>
        </w:rPr>
      </w:pPr>
      <w:r>
        <w:rPr>
          <w:rFonts w:ascii="Times New Roman" w:cs="Times New Roman" w:eastAsia="Times New Roman" w:hAnsi="Times New Roman"/>
          <w:sz w:val="18"/>
          <w:szCs w:val="18"/>
          <w:color w:val="auto"/>
        </w:rPr>
        <w:t>The foregoing description is qualified in its entirety by reference to the Employment Agreement, which is filed as Exhibit 10.1 to this current report on Form 8-K.</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7560" w:type="dxa"/>
            <w:vAlign w:val="bottom"/>
            <w:gridSpan w:val="4"/>
          </w:tcPr>
          <w:p>
            <w:pPr>
              <w:ind w:left="16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c>
          <w:tcPr>
            <w:tcW w:w="0" w:type="dxa"/>
            <w:vAlign w:val="bottom"/>
          </w:tcPr>
          <w:p>
            <w:pPr>
              <w:spacing w:after="0"/>
              <w:rPr>
                <w:sz w:val="1"/>
                <w:szCs w:val="1"/>
                <w:color w:val="auto"/>
              </w:rPr>
            </w:pPr>
          </w:p>
        </w:tc>
      </w:tr>
      <w:tr>
        <w:trPr>
          <w:trHeight w:val="324"/>
        </w:trPr>
        <w:tc>
          <w:tcPr>
            <w:tcW w:w="1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 Exhibits.</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220" w:type="dxa"/>
            <w:vAlign w:val="bottom"/>
          </w:tcPr>
          <w:p>
            <w:pPr>
              <w:spacing w:after="0"/>
              <w:rPr>
                <w:sz w:val="24"/>
                <w:szCs w:val="24"/>
                <w:color w:val="auto"/>
              </w:rPr>
            </w:pPr>
          </w:p>
        </w:tc>
        <w:tc>
          <w:tcPr>
            <w:tcW w:w="8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0" w:type="dxa"/>
            <w:vAlign w:val="bottom"/>
          </w:tcPr>
          <w:p>
            <w:pPr>
              <w:spacing w:after="0"/>
              <w:rPr>
                <w:sz w:val="24"/>
                <w:szCs w:val="24"/>
                <w:color w:val="auto"/>
              </w:rPr>
            </w:pPr>
          </w:p>
        </w:tc>
        <w:tc>
          <w:tcPr>
            <w:tcW w:w="73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220" w:type="dxa"/>
            <w:vAlign w:val="bottom"/>
          </w:tcPr>
          <w:p>
            <w:pPr>
              <w:spacing w:after="0"/>
              <w:rPr>
                <w:sz w:val="15"/>
                <w:szCs w:val="15"/>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36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7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10.1</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36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9"/>
              </w:rPr>
            </w:pPr>
            <w:hyperlink r:id="rId22">
              <w:r>
                <w:rPr>
                  <w:rFonts w:ascii="Times New Roman" w:cs="Times New Roman" w:eastAsia="Times New Roman" w:hAnsi="Times New Roman"/>
                  <w:sz w:val="18"/>
                  <w:szCs w:val="18"/>
                  <w:color w:val="0000EE"/>
                  <w:w w:val="99"/>
                </w:rPr>
                <w:t>Employment Agreement, dated October 12, 2022, by and between Karen Alexander and the Company</w:t>
              </w:r>
            </w:hyperlink>
          </w:p>
        </w:tc>
        <w:tc>
          <w:tcPr>
            <w:tcW w:w="0" w:type="dxa"/>
            <w:vAlign w:val="bottom"/>
          </w:tcPr>
          <w:p>
            <w:pPr>
              <w:spacing w:after="0"/>
              <w:rPr>
                <w:sz w:val="1"/>
                <w:szCs w:val="1"/>
                <w:color w:val="auto"/>
              </w:rPr>
            </w:pPr>
          </w:p>
        </w:tc>
      </w:tr>
      <w:tr>
        <w:trPr>
          <w:trHeight w:val="345"/>
        </w:trPr>
        <w:tc>
          <w:tcPr>
            <w:tcW w:w="7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104</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ectPr>
          <w:pgSz w:w="11900" w:h="16838" w:orient="portrait"/>
          <w:cols w:equalWidth="0" w:num="1">
            <w:col w:w="10960"/>
          </w:cols>
          <w:pgMar w:left="440" w:top="266" w:right="499" w:bottom="1440" w:gutter="0" w:footer="0" w:header="0"/>
        </w:sectPr>
      </w:pPr>
    </w:p>
    <w:bookmarkStart w:id="3" w:name="page4"/>
    <w:bookmarkEnd w:id="3"/>
    <w:p>
      <w:pPr>
        <w:ind w:left="49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October 13, 2022</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BAKKT HOLDINGS, INC.</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Marc D’Annunzio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Marc D’Annunzio</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General Counsel and Secretary</w:t>
      </w:r>
    </w:p>
    <w:sectPr>
      <w:pgSz w:w="11900" w:h="16838" w:orient="portrait"/>
      <w:cols w:equalWidth="0" w:num="1">
        <w:col w:w="10260"/>
      </w:cols>
      <w:pgMar w:left="440" w:top="266" w:right="1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2" Type="http://schemas.openxmlformats.org/officeDocument/2006/relationships/hyperlink" Target="http://www.sec.gov/Archives/edgar/data/1820302/000119312522261792/d391874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2022-10-13T05:25:35Z</dcterms:created>
  <dcterms:modified xsi:type="dcterms:W3CDTF">2022-10-13T05:25:35Z</dcterms:modified>
</cp:coreProperties>
</file>