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31,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Gavin Michael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Holdings,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10000 Avalon Boulevard, Suite 1000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Alpharetta, GA 30009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Bakkt Holdings,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April 21,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Dated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19, 2024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333-271362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Gavin Michael: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1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January 19, 2024 response to our comment letter and have the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comments. In some of our comments, we may ask you to provide us with information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 we may better understand your 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a comment applies to your facts and circumstances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do not believe an amendment is appropriate,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this letter, we may have additional comments.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Unless we note otherwise,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any references to prior comments are to comments in our January 11, 2024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letter.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Dated January 19,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1819" w:firstLine="316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 We reissue comment 3 of our letter dated June 12, 2023, in part. Please revise to disclose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and how the</w:t>
      </w:r>
    </w:p>
    <w:p>
      <w:pPr>
        <w:spacing w:after="0"/>
        <w:tabs>
          <w:tab w:leader="none" w:pos="3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recent completion of Ethereum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transition to Proof-of-Stake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consensus has impacted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analysis, if any, of whether a particular crypto asset that you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make available on your</w:t>
      </w:r>
    </w:p>
    <w:p>
      <w:pPr>
        <w:spacing w:after="0"/>
        <w:tabs>
          <w:tab w:leader="none" w:pos="1780" w:val="left"/>
          <w:tab w:leader="none" w:pos="3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platform is 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security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within the meaning of Section 2(a)(1) of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Securities Act.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Gavin Michael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LastNameGavin Michael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Holdings,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31,NameBakkt</w:t>
      </w:r>
    </w:p>
    <w:p>
      <w:pPr>
        <w:ind w:left="1280"/>
        <w:spacing w:after="0" w:line="238" w:lineRule="auto"/>
        <w:tabs>
          <w:tab w:leader="none" w:pos="2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Holdings,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31, 2024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Annex A</w:t>
      </w:r>
    </w:p>
    <w:p>
      <w:pPr>
        <w:ind w:right="20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crypto asset's status as a "security" in any relevant jurisdiction..., page 11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13. Please revise your disclosure to identify the risk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you could be subject to judicial or administrative sanctions for acting as a clearing</w:t>
      </w:r>
    </w:p>
    <w:p>
      <w:pPr>
        <w:ind w:right="497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agency without appropriate registration. Liquidity Providers, page 22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346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your proposed disclosures on page 22 of Annex A. At the bottom of page 22, you</w:t>
      </w:r>
    </w:p>
    <w:p>
      <w:pPr>
        <w:sectPr>
          <w:pgSz w:w="11900" w:h="1700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daily or</w:t>
            </w:r>
          </w:p>
        </w:tc>
        <w:tc>
          <w:tcPr>
            <w:tcW w:w="6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state that Bakkt Crypto settles with its liquidity providers on 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other post-trade,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non-real- time basis...." Please revise to clarify the frequency that,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the circumstances</w:t>
      </w: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which, Bakkt Crypto settles with its liquidity providers at a frequency other than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daily or intra-day, and discuss any risks associated with settling less frequently than daily.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Custody Services for the Crypto Assets Supported for Trading, page 23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response to comment 11 indicates, among others, that all of the keys for the cold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wallets BitGo has established to hold Bakkt Crypto assets are held by BitGo and stored in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cold storage. However, we also note your proposed disclosure on page</w:t>
      </w:r>
    </w:p>
    <w:p>
      <w:pPr>
        <w:ind w:left="320" w:hanging="312"/>
        <w:spacing w:after="0" w:line="238" w:lineRule="auto"/>
        <w:tabs>
          <w:tab w:leader="none" w:pos="3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Annex A that</w:t>
      </w:r>
    </w:p>
    <w:p>
      <w:pPr>
        <w:ind w:left="960"/>
        <w:spacing w:after="0" w:line="238" w:lineRule="auto"/>
        <w:tabs>
          <w:tab w:leader="none" w:pos="7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"[u]nder the BitGo Custody Agreement, BitGo, at Bakkt Crypto</w:t>
        <w:tab/>
        <w:t>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direction, establishes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maintains wallets for the storage of crypto assets, including cold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wallets where BitGo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holds a majority of the keys and a majority of those keys are stored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offline..." (emphasis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added). Please explain this apparent inconsistency and revise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as necessary.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contact David Lin at 202-551-3552 or Sandra Hunter Berkheimer at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202-551-3758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Crypto Assets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Matt Lyons</w:t>
      </w:r>
    </w:p>
    <w:sectPr>
      <w:pgSz w:w="11900" w:h="16838" w:orient="portrait"/>
      <w:cols w:equalWidth="0" w:num="1">
        <w:col w:w="10139"/>
      </w:cols>
      <w:pgMar w:left="320" w:top="10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19495CFF"/>
    <w:multiLevelType w:val="hybridMultilevel"/>
    <w:lvl w:ilvl="0">
      <w:lvlJc w:val="left"/>
      <w:lvlText w:val="%1"/>
      <w:numFmt w:val="decimal"/>
      <w:start w:val="23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2024-03-14T23:11:22Z</dcterms:created>
  <dcterms:modified xsi:type="dcterms:W3CDTF">2024-03-14T23:11:22Z</dcterms:modified>
</cp:coreProperties>
</file>