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February 14, 2024</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333-271438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39370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94615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AMENDMENT NO. 2</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TO</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REGISTRATION STATEMENT</w:t>
      </w:r>
    </w:p>
    <w:tbl>
      <w:tblPr>
        <w:tblLayout w:type="fixed"/>
        <w:tblInd w:w="208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20" w:type="dxa"/>
            <w:vAlign w:val="bottom"/>
            <w:gridSpan w:val="2"/>
          </w:tcPr>
          <w:p>
            <w:pPr>
              <w:jc w:val="center"/>
              <w:ind w:right="2172"/>
              <w:spacing w:after="0" w:line="207" w:lineRule="exact"/>
              <w:rPr>
                <w:sz w:val="20"/>
                <w:szCs w:val="20"/>
                <w:color w:val="auto"/>
              </w:rPr>
            </w:pPr>
            <w:r>
              <w:rPr>
                <w:rFonts w:ascii="Times New Roman" w:cs="Times New Roman" w:eastAsia="Times New Roman" w:hAnsi="Times New Roman"/>
                <w:sz w:val="20"/>
                <w:szCs w:val="20"/>
                <w:b w:val="1"/>
                <w:bCs w:val="1"/>
                <w:i w:val="1"/>
                <w:iCs w:val="1"/>
                <w:color w:val="auto"/>
                <w:w w:val="99"/>
              </w:rPr>
              <w:t>UNDER</w:t>
            </w:r>
          </w:p>
        </w:tc>
      </w:tr>
      <w:tr>
        <w:trPr>
          <w:trHeight w:val="262"/>
        </w:trPr>
        <w:tc>
          <w:tcPr>
            <w:tcW w:w="1720" w:type="dxa"/>
            <w:vAlign w:val="bottom"/>
          </w:tcPr>
          <w:p>
            <w:pPr>
              <w:spacing w:after="0"/>
              <w:rPr>
                <w:sz w:val="22"/>
                <w:szCs w:val="22"/>
                <w:color w:val="auto"/>
              </w:rPr>
            </w:pPr>
          </w:p>
        </w:tc>
        <w:tc>
          <w:tcPr>
            <w:tcW w:w="5280" w:type="dxa"/>
            <w:vAlign w:val="bottom"/>
            <w:gridSpan w:val="3"/>
          </w:tcPr>
          <w:p>
            <w:pPr>
              <w:jc w:val="center"/>
              <w:ind w:right="1512"/>
              <w:spacing w:after="0"/>
              <w:rPr>
                <w:sz w:val="20"/>
                <w:szCs w:val="20"/>
                <w:color w:val="auto"/>
              </w:rPr>
            </w:pPr>
            <w:r>
              <w:rPr>
                <w:rFonts w:ascii="Times New Roman" w:cs="Times New Roman" w:eastAsia="Times New Roman" w:hAnsi="Times New Roman"/>
                <w:sz w:val="20"/>
                <w:szCs w:val="20"/>
                <w:b w:val="1"/>
                <w:bCs w:val="1"/>
                <w:i w:val="1"/>
                <w:iCs w:val="1"/>
                <w:color w:val="auto"/>
                <w:w w:val="98"/>
              </w:rPr>
              <w:t>THE SECURITIES ACT OF 1933</w:t>
            </w:r>
          </w:p>
        </w:tc>
      </w:tr>
      <w:tr>
        <w:trPr>
          <w:trHeight w:val="143"/>
        </w:trPr>
        <w:tc>
          <w:tcPr>
            <w:tcW w:w="1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r>
      <w:tr>
        <w:trPr>
          <w:trHeight w:val="455"/>
        </w:trPr>
        <w:tc>
          <w:tcPr>
            <w:tcW w:w="1720" w:type="dxa"/>
            <w:vAlign w:val="bottom"/>
          </w:tcPr>
          <w:p>
            <w:pPr>
              <w:spacing w:after="0"/>
              <w:rPr>
                <w:sz w:val="24"/>
                <w:szCs w:val="24"/>
                <w:color w:val="auto"/>
              </w:rPr>
            </w:pPr>
          </w:p>
        </w:tc>
        <w:tc>
          <w:tcPr>
            <w:tcW w:w="2980" w:type="dxa"/>
            <w:vAlign w:val="bottom"/>
            <w:gridSpan w:val="2"/>
          </w:tcPr>
          <w:p>
            <w:pPr>
              <w:ind w:left="80"/>
              <w:spacing w:after="0" w:line="455" w:lineRule="exact"/>
              <w:rPr>
                <w:sz w:val="20"/>
                <w:szCs w:val="20"/>
                <w:color w:val="auto"/>
              </w:rPr>
            </w:pPr>
            <w:r>
              <w:rPr>
                <w:rFonts w:ascii="Times New Roman" w:cs="Times New Roman" w:eastAsia="Times New Roman" w:hAnsi="Times New Roman"/>
                <w:sz w:val="40"/>
                <w:szCs w:val="40"/>
                <w:b w:val="1"/>
                <w:bCs w:val="1"/>
                <w:color w:val="auto"/>
              </w:rPr>
              <w:t>Bakkt Holdings,</w:t>
            </w:r>
          </w:p>
        </w:tc>
        <w:tc>
          <w:tcPr>
            <w:tcW w:w="2300" w:type="dxa"/>
            <w:vAlign w:val="bottom"/>
          </w:tcPr>
          <w:p>
            <w:pPr>
              <w:spacing w:after="0" w:line="455" w:lineRule="exact"/>
              <w:rPr>
                <w:sz w:val="20"/>
                <w:szCs w:val="20"/>
                <w:color w:val="auto"/>
              </w:rPr>
            </w:pPr>
            <w:r>
              <w:rPr>
                <w:rFonts w:ascii="Times New Roman" w:cs="Times New Roman" w:eastAsia="Times New Roman" w:hAnsi="Times New Roman"/>
                <w:sz w:val="40"/>
                <w:szCs w:val="40"/>
                <w:b w:val="1"/>
                <w:bCs w:val="1"/>
                <w:color w:val="auto"/>
              </w:rPr>
              <w:t>Inc.</w:t>
            </w:r>
          </w:p>
        </w:tc>
      </w:tr>
      <w:tr>
        <w:trPr>
          <w:trHeight w:val="190"/>
        </w:trPr>
        <w:tc>
          <w:tcPr>
            <w:tcW w:w="1720" w:type="dxa"/>
            <w:vAlign w:val="bottom"/>
          </w:tcPr>
          <w:p>
            <w:pPr>
              <w:spacing w:after="0"/>
              <w:rPr>
                <w:sz w:val="16"/>
                <w:szCs w:val="16"/>
                <w:color w:val="auto"/>
              </w:rPr>
            </w:pPr>
          </w:p>
        </w:tc>
        <w:tc>
          <w:tcPr>
            <w:tcW w:w="5280" w:type="dxa"/>
            <w:vAlign w:val="bottom"/>
            <w:gridSpan w:val="3"/>
          </w:tcPr>
          <w:p>
            <w:pPr>
              <w:jc w:val="center"/>
              <w:ind w:right="1512"/>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132"/>
        </w:trPr>
        <w:tc>
          <w:tcPr>
            <w:tcW w:w="1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r>
      <w:tr>
        <w:trPr>
          <w:trHeight w:val="203"/>
        </w:trPr>
        <w:tc>
          <w:tcPr>
            <w:tcW w:w="17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280" w:type="dxa"/>
            <w:vAlign w:val="bottom"/>
            <w:gridSpan w:val="3"/>
          </w:tcPr>
          <w:p>
            <w:pPr>
              <w:jc w:val="center"/>
              <w:ind w:left="3930"/>
              <w:spacing w:after="0"/>
              <w:rPr>
                <w:sz w:val="20"/>
                <w:szCs w:val="20"/>
                <w:color w:val="auto"/>
              </w:rPr>
            </w:pPr>
            <w:r>
              <w:rPr>
                <w:rFonts w:ascii="Times New Roman" w:cs="Times New Roman" w:eastAsia="Times New Roman" w:hAnsi="Times New Roman"/>
                <w:sz w:val="14"/>
                <w:szCs w:val="14"/>
                <w:b w:val="1"/>
                <w:bCs w:val="1"/>
                <w:color w:val="auto"/>
              </w:rPr>
              <w:t>98-1550750</w:t>
            </w:r>
          </w:p>
        </w:tc>
      </w:tr>
      <w:tr>
        <w:trPr>
          <w:trHeight w:val="135"/>
        </w:trPr>
        <w:tc>
          <w:tcPr>
            <w:tcW w:w="17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6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300" w:type="dxa"/>
            <w:vAlign w:val="bottom"/>
          </w:tcPr>
          <w:p>
            <w:pPr>
              <w:jc w:val="center"/>
              <w:ind w:left="952"/>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17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300" w:type="dxa"/>
            <w:vAlign w:val="bottom"/>
          </w:tcPr>
          <w:p>
            <w:pPr>
              <w:jc w:val="center"/>
              <w:ind w:left="952"/>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bl>
    <w:p>
      <w:pPr>
        <w:spacing w:after="0" w:line="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10000 Avalon Boulevard, Suite 1000</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Alpharetta, Georgia 30009</w:t>
      </w:r>
    </w:p>
    <w:p>
      <w:pPr>
        <w:jc w:val="center"/>
        <w:ind w:right="-119"/>
        <w:spacing w:after="0" w:line="225" w:lineRule="auto"/>
        <w:rPr>
          <w:sz w:val="20"/>
          <w:szCs w:val="20"/>
          <w:color w:val="auto"/>
        </w:rPr>
      </w:pPr>
      <w:r>
        <w:rPr>
          <w:rFonts w:ascii="Times New Roman" w:cs="Times New Roman" w:eastAsia="Times New Roman" w:hAnsi="Times New Roman"/>
          <w:sz w:val="14"/>
          <w:szCs w:val="14"/>
          <w:b w:val="1"/>
          <w:bCs w:val="1"/>
          <w:color w:val="auto"/>
        </w:rPr>
        <w:t>(678) 534-5849</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Gavin Michael</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10000 Avalon Boulevard, Suite 1000</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Alpharetta, Georgia 30009</w:t>
      </w:r>
    </w:p>
    <w:p>
      <w:pPr>
        <w:jc w:val="center"/>
        <w:ind w:right="-119"/>
        <w:spacing w:after="0" w:line="225" w:lineRule="auto"/>
        <w:rPr>
          <w:sz w:val="20"/>
          <w:szCs w:val="20"/>
          <w:color w:val="auto"/>
        </w:rPr>
      </w:pPr>
      <w:r>
        <w:rPr>
          <w:rFonts w:ascii="Times New Roman" w:cs="Times New Roman" w:eastAsia="Times New Roman" w:hAnsi="Times New Roman"/>
          <w:sz w:val="14"/>
          <w:szCs w:val="14"/>
          <w:b w:val="1"/>
          <w:bCs w:val="1"/>
          <w:color w:val="auto"/>
        </w:rPr>
        <w:t>(678) 534-5849</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7" w:lineRule="exact"/>
        <w:rPr>
          <w:sz w:val="24"/>
          <w:szCs w:val="24"/>
          <w:color w:val="auto"/>
        </w:rPr>
      </w:pPr>
    </w:p>
    <w:tbl>
      <w:tblPr>
        <w:tblLayout w:type="fixed"/>
        <w:tblInd w:w="1820" w:type="dxa"/>
        <w:tblCellMar>
          <w:top w:w="0" w:type="dxa"/>
          <w:left w:w="0" w:type="dxa"/>
          <w:bottom w:w="0" w:type="dxa"/>
          <w:right w:w="0" w:type="dxa"/>
        </w:tblCellMar>
      </w:tblPr>
      <w:tr>
        <w:trPr>
          <w:trHeight w:val="161"/>
        </w:trPr>
        <w:tc>
          <w:tcPr>
            <w:tcW w:w="3840" w:type="dxa"/>
            <w:vAlign w:val="bottom"/>
          </w:tcPr>
          <w:p>
            <w:pPr>
              <w:jc w:val="center"/>
              <w:ind w:right="1628"/>
              <w:spacing w:after="0"/>
              <w:rPr>
                <w:sz w:val="20"/>
                <w:szCs w:val="20"/>
                <w:color w:val="auto"/>
              </w:rPr>
            </w:pPr>
            <w:r>
              <w:rPr>
                <w:rFonts w:ascii="Times New Roman" w:cs="Times New Roman" w:eastAsia="Times New Roman" w:hAnsi="Times New Roman"/>
                <w:sz w:val="14"/>
                <w:szCs w:val="14"/>
                <w:b w:val="1"/>
                <w:bCs w:val="1"/>
                <w:color w:val="auto"/>
              </w:rPr>
              <w:t>J. Matthew Lyons</w:t>
            </w:r>
          </w:p>
        </w:tc>
        <w:tc>
          <w:tcPr>
            <w:tcW w:w="3900" w:type="dxa"/>
            <w:vAlign w:val="bottom"/>
          </w:tcPr>
          <w:p>
            <w:pPr>
              <w:jc w:val="center"/>
              <w:ind w:left="1628"/>
              <w:spacing w:after="0"/>
              <w:rPr>
                <w:sz w:val="20"/>
                <w:szCs w:val="20"/>
                <w:color w:val="auto"/>
              </w:rPr>
            </w:pPr>
            <w:r>
              <w:rPr>
                <w:rFonts w:ascii="Times New Roman" w:cs="Times New Roman" w:eastAsia="Times New Roman" w:hAnsi="Times New Roman"/>
                <w:sz w:val="14"/>
                <w:szCs w:val="14"/>
                <w:b w:val="1"/>
                <w:bCs w:val="1"/>
                <w:color w:val="auto"/>
              </w:rPr>
              <w:t>Marc D’Annunzio</w:t>
            </w:r>
          </w:p>
        </w:tc>
      </w:tr>
      <w:tr>
        <w:trPr>
          <w:trHeight w:val="148"/>
        </w:trPr>
        <w:tc>
          <w:tcPr>
            <w:tcW w:w="3840" w:type="dxa"/>
            <w:vAlign w:val="bottom"/>
          </w:tcPr>
          <w:p>
            <w:pPr>
              <w:jc w:val="center"/>
              <w:ind w:right="1608"/>
              <w:spacing w:after="0" w:line="149" w:lineRule="exact"/>
              <w:rPr>
                <w:sz w:val="20"/>
                <w:szCs w:val="20"/>
                <w:color w:val="auto"/>
              </w:rPr>
            </w:pPr>
            <w:r>
              <w:rPr>
                <w:rFonts w:ascii="Times New Roman" w:cs="Times New Roman" w:eastAsia="Times New Roman" w:hAnsi="Times New Roman"/>
                <w:sz w:val="14"/>
                <w:szCs w:val="14"/>
                <w:b w:val="1"/>
                <w:bCs w:val="1"/>
                <w:color w:val="auto"/>
              </w:rPr>
              <w:t>Austin D. March</w:t>
            </w:r>
          </w:p>
        </w:tc>
        <w:tc>
          <w:tcPr>
            <w:tcW w:w="3900" w:type="dxa"/>
            <w:vAlign w:val="bottom"/>
          </w:tcPr>
          <w:p>
            <w:pPr>
              <w:jc w:val="center"/>
              <w:ind w:left="1628"/>
              <w:spacing w:after="0" w:line="149" w:lineRule="exact"/>
              <w:rPr>
                <w:sz w:val="20"/>
                <w:szCs w:val="20"/>
                <w:color w:val="auto"/>
              </w:rPr>
            </w:pPr>
            <w:r>
              <w:rPr>
                <w:rFonts w:ascii="Times New Roman" w:cs="Times New Roman" w:eastAsia="Times New Roman" w:hAnsi="Times New Roman"/>
                <w:sz w:val="14"/>
                <w:szCs w:val="14"/>
                <w:b w:val="1"/>
                <w:bCs w:val="1"/>
                <w:color w:val="auto"/>
              </w:rPr>
              <w:t>General Counsel</w:t>
            </w:r>
          </w:p>
        </w:tc>
      </w:tr>
      <w:tr>
        <w:trPr>
          <w:trHeight w:val="148"/>
        </w:trPr>
        <w:tc>
          <w:tcPr>
            <w:tcW w:w="3840" w:type="dxa"/>
            <w:vAlign w:val="bottom"/>
          </w:tcPr>
          <w:p>
            <w:pPr>
              <w:jc w:val="center"/>
              <w:ind w:right="1608"/>
              <w:spacing w:after="0" w:line="149" w:lineRule="exact"/>
              <w:rPr>
                <w:sz w:val="20"/>
                <w:szCs w:val="20"/>
                <w:color w:val="auto"/>
              </w:rPr>
            </w:pPr>
            <w:r>
              <w:rPr>
                <w:rFonts w:ascii="Times New Roman" w:cs="Times New Roman" w:eastAsia="Times New Roman" w:hAnsi="Times New Roman"/>
                <w:sz w:val="14"/>
                <w:szCs w:val="14"/>
                <w:b w:val="1"/>
                <w:bCs w:val="1"/>
                <w:color w:val="auto"/>
              </w:rPr>
              <w:t>Wilson Sonsini Goodrich &amp; Rosati,</w:t>
            </w:r>
          </w:p>
        </w:tc>
        <w:tc>
          <w:tcPr>
            <w:tcW w:w="3900" w:type="dxa"/>
            <w:vAlign w:val="bottom"/>
          </w:tcPr>
          <w:p>
            <w:pPr>
              <w:jc w:val="center"/>
              <w:ind w:left="1628"/>
              <w:spacing w:after="0" w:line="149" w:lineRule="exact"/>
              <w:rPr>
                <w:sz w:val="20"/>
                <w:szCs w:val="20"/>
                <w:color w:val="auto"/>
              </w:rPr>
            </w:pPr>
            <w:r>
              <w:rPr>
                <w:rFonts w:ascii="Times New Roman" w:cs="Times New Roman" w:eastAsia="Times New Roman" w:hAnsi="Times New Roman"/>
                <w:sz w:val="14"/>
                <w:szCs w:val="14"/>
                <w:b w:val="1"/>
                <w:bCs w:val="1"/>
                <w:color w:val="auto"/>
              </w:rPr>
              <w:t>10000 Avalon Boulevard, Suite 1000</w:t>
            </w:r>
          </w:p>
        </w:tc>
      </w:tr>
      <w:tr>
        <w:trPr>
          <w:trHeight w:val="149"/>
        </w:trPr>
        <w:tc>
          <w:tcPr>
            <w:tcW w:w="3840" w:type="dxa"/>
            <w:vAlign w:val="bottom"/>
          </w:tcPr>
          <w:p>
            <w:pPr>
              <w:jc w:val="center"/>
              <w:ind w:right="1608"/>
              <w:spacing w:after="0" w:line="149" w:lineRule="exact"/>
              <w:rPr>
                <w:sz w:val="20"/>
                <w:szCs w:val="20"/>
                <w:color w:val="auto"/>
              </w:rPr>
            </w:pPr>
            <w:r>
              <w:rPr>
                <w:rFonts w:ascii="Times New Roman" w:cs="Times New Roman" w:eastAsia="Times New Roman" w:hAnsi="Times New Roman"/>
                <w:sz w:val="14"/>
                <w:szCs w:val="14"/>
                <w:b w:val="1"/>
                <w:bCs w:val="1"/>
                <w:color w:val="auto"/>
              </w:rPr>
              <w:t>Professional Corporation</w:t>
            </w:r>
          </w:p>
        </w:tc>
        <w:tc>
          <w:tcPr>
            <w:tcW w:w="3900" w:type="dxa"/>
            <w:vAlign w:val="bottom"/>
          </w:tcPr>
          <w:p>
            <w:pPr>
              <w:jc w:val="center"/>
              <w:ind w:left="1628"/>
              <w:spacing w:after="0" w:line="149" w:lineRule="exact"/>
              <w:rPr>
                <w:sz w:val="20"/>
                <w:szCs w:val="20"/>
                <w:color w:val="auto"/>
              </w:rPr>
            </w:pPr>
            <w:r>
              <w:rPr>
                <w:rFonts w:ascii="Times New Roman" w:cs="Times New Roman" w:eastAsia="Times New Roman" w:hAnsi="Times New Roman"/>
                <w:sz w:val="14"/>
                <w:szCs w:val="14"/>
                <w:b w:val="1"/>
                <w:bCs w:val="1"/>
                <w:color w:val="auto"/>
              </w:rPr>
              <w:t>Alpharetta, Georgia 30009</w:t>
            </w:r>
          </w:p>
        </w:tc>
      </w:tr>
      <w:tr>
        <w:trPr>
          <w:trHeight w:val="148"/>
        </w:trPr>
        <w:tc>
          <w:tcPr>
            <w:tcW w:w="3840" w:type="dxa"/>
            <w:vAlign w:val="bottom"/>
          </w:tcPr>
          <w:p>
            <w:pPr>
              <w:jc w:val="center"/>
              <w:ind w:right="1628"/>
              <w:spacing w:after="0" w:line="149" w:lineRule="exact"/>
              <w:rPr>
                <w:sz w:val="20"/>
                <w:szCs w:val="20"/>
                <w:color w:val="auto"/>
              </w:rPr>
            </w:pPr>
            <w:r>
              <w:rPr>
                <w:rFonts w:ascii="Times New Roman" w:cs="Times New Roman" w:eastAsia="Times New Roman" w:hAnsi="Times New Roman"/>
                <w:sz w:val="14"/>
                <w:szCs w:val="14"/>
                <w:b w:val="1"/>
                <w:bCs w:val="1"/>
                <w:color w:val="auto"/>
              </w:rPr>
              <w:t>900 S. Capital of Texas Highway</w:t>
            </w:r>
          </w:p>
        </w:tc>
        <w:tc>
          <w:tcPr>
            <w:tcW w:w="3900" w:type="dxa"/>
            <w:vAlign w:val="bottom"/>
          </w:tcPr>
          <w:p>
            <w:pPr>
              <w:jc w:val="center"/>
              <w:ind w:left="1608"/>
              <w:spacing w:after="0" w:line="149" w:lineRule="exact"/>
              <w:rPr>
                <w:sz w:val="20"/>
                <w:szCs w:val="20"/>
                <w:color w:val="auto"/>
              </w:rPr>
            </w:pPr>
            <w:r>
              <w:rPr>
                <w:rFonts w:ascii="Times New Roman" w:cs="Times New Roman" w:eastAsia="Times New Roman" w:hAnsi="Times New Roman"/>
                <w:sz w:val="14"/>
                <w:szCs w:val="14"/>
                <w:b w:val="1"/>
                <w:bCs w:val="1"/>
                <w:color w:val="auto"/>
              </w:rPr>
              <w:t>(678) 534-5849</w:t>
            </w:r>
          </w:p>
        </w:tc>
      </w:tr>
      <w:tr>
        <w:trPr>
          <w:trHeight w:val="148"/>
        </w:trPr>
        <w:tc>
          <w:tcPr>
            <w:tcW w:w="3840" w:type="dxa"/>
            <w:vAlign w:val="bottom"/>
          </w:tcPr>
          <w:p>
            <w:pPr>
              <w:jc w:val="center"/>
              <w:ind w:right="1608"/>
              <w:spacing w:after="0" w:line="149" w:lineRule="exact"/>
              <w:rPr>
                <w:sz w:val="20"/>
                <w:szCs w:val="20"/>
                <w:color w:val="auto"/>
              </w:rPr>
            </w:pPr>
            <w:r>
              <w:rPr>
                <w:rFonts w:ascii="Times New Roman" w:cs="Times New Roman" w:eastAsia="Times New Roman" w:hAnsi="Times New Roman"/>
                <w:sz w:val="14"/>
                <w:szCs w:val="14"/>
                <w:b w:val="1"/>
                <w:bCs w:val="1"/>
                <w:color w:val="auto"/>
              </w:rPr>
              <w:t>Las Cimas IV, 5th Floor</w:t>
            </w:r>
          </w:p>
        </w:tc>
        <w:tc>
          <w:tcPr>
            <w:tcW w:w="3900" w:type="dxa"/>
            <w:vAlign w:val="bottom"/>
          </w:tcPr>
          <w:p>
            <w:pPr>
              <w:spacing w:after="0"/>
              <w:rPr>
                <w:sz w:val="12"/>
                <w:szCs w:val="12"/>
                <w:color w:val="auto"/>
              </w:rPr>
            </w:pPr>
          </w:p>
        </w:tc>
      </w:tr>
      <w:tr>
        <w:trPr>
          <w:trHeight w:val="149"/>
        </w:trPr>
        <w:tc>
          <w:tcPr>
            <w:tcW w:w="3840" w:type="dxa"/>
            <w:vAlign w:val="bottom"/>
          </w:tcPr>
          <w:p>
            <w:pPr>
              <w:jc w:val="center"/>
              <w:ind w:right="1608"/>
              <w:spacing w:after="0" w:line="149" w:lineRule="exact"/>
              <w:rPr>
                <w:sz w:val="20"/>
                <w:szCs w:val="20"/>
                <w:color w:val="auto"/>
              </w:rPr>
            </w:pPr>
            <w:r>
              <w:rPr>
                <w:rFonts w:ascii="Times New Roman" w:cs="Times New Roman" w:eastAsia="Times New Roman" w:hAnsi="Times New Roman"/>
                <w:sz w:val="14"/>
                <w:szCs w:val="14"/>
                <w:b w:val="1"/>
                <w:bCs w:val="1"/>
                <w:color w:val="auto"/>
              </w:rPr>
              <w:t>Austin, TX 78746</w:t>
            </w:r>
          </w:p>
        </w:tc>
        <w:tc>
          <w:tcPr>
            <w:tcW w:w="3900" w:type="dxa"/>
            <w:vAlign w:val="bottom"/>
          </w:tcPr>
          <w:p>
            <w:pPr>
              <w:spacing w:after="0"/>
              <w:rPr>
                <w:sz w:val="12"/>
                <w:szCs w:val="12"/>
                <w:color w:val="auto"/>
              </w:rPr>
            </w:pPr>
          </w:p>
        </w:tc>
      </w:tr>
      <w:tr>
        <w:trPr>
          <w:trHeight w:val="190"/>
        </w:trPr>
        <w:tc>
          <w:tcPr>
            <w:tcW w:w="3840" w:type="dxa"/>
            <w:vAlign w:val="bottom"/>
          </w:tcPr>
          <w:p>
            <w:pPr>
              <w:jc w:val="center"/>
              <w:ind w:right="1628"/>
              <w:spacing w:after="0"/>
              <w:rPr>
                <w:sz w:val="20"/>
                <w:szCs w:val="20"/>
                <w:color w:val="auto"/>
              </w:rPr>
            </w:pPr>
            <w:r>
              <w:rPr>
                <w:rFonts w:ascii="Times New Roman" w:cs="Times New Roman" w:eastAsia="Times New Roman" w:hAnsi="Times New Roman"/>
                <w:sz w:val="14"/>
                <w:szCs w:val="14"/>
                <w:b w:val="1"/>
                <w:bCs w:val="1"/>
                <w:color w:val="auto"/>
              </w:rPr>
              <w:t>(512) 338-5400</w:t>
            </w:r>
          </w:p>
        </w:tc>
        <w:tc>
          <w:tcPr>
            <w:tcW w:w="39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From time to time after the effective date of this registration statement.</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(Approximate date of commencement of proposed sale to the public)</w:t>
      </w:r>
    </w:p>
    <w:p>
      <w:pPr>
        <w:spacing w:after="0" w:line="156" w:lineRule="exact"/>
        <w:rPr>
          <w:sz w:val="24"/>
          <w:szCs w:val="24"/>
          <w:color w:val="auto"/>
        </w:rPr>
      </w:pPr>
    </w:p>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-101600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61" w:lineRule="exact"/>
        <w:rPr>
          <w:sz w:val="24"/>
          <w:szCs w:val="24"/>
          <w:color w:val="auto"/>
        </w:rPr>
      </w:pPr>
    </w:p>
    <w:p>
      <w:pPr>
        <w:ind w:left="120" w:right="300"/>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40"/>
        <w:spacing w:after="0" w:line="180"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60"/>
        <w:spacing w:after="0" w:line="178"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2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80"/>
        <w:spacing w:after="0" w:line="180"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22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20" w:type="dxa"/>
        <w:tblCellMar>
          <w:top w:w="0" w:type="dxa"/>
          <w:left w:w="0" w:type="dxa"/>
          <w:bottom w:w="0" w:type="dxa"/>
          <w:right w:w="0" w:type="dxa"/>
        </w:tblCellMar>
      </w:tblPr>
      <w:tr>
        <w:trPr>
          <w:trHeight w:val="172"/>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20"/>
              <w:spacing w:after="0"/>
              <w:rPr>
                <w:sz w:val="20"/>
                <w:szCs w:val="20"/>
                <w:color w:val="auto"/>
              </w:rPr>
            </w:pPr>
            <w:r>
              <w:rPr>
                <w:rFonts w:ascii="Times New Roman" w:cs="Times New Roman" w:eastAsia="Times New Roman" w:hAnsi="Times New Roman"/>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58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5160" w:type="dxa"/>
            <w:vAlign w:val="bottom"/>
          </w:tcPr>
          <w:p>
            <w:pPr>
              <w:ind w:left="3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bl>
    <w:p>
      <w:pPr>
        <w:ind w:left="120" w:right="3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78740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3" w:lineRule="exact"/>
        <w:rPr>
          <w:sz w:val="24"/>
          <w:szCs w:val="24"/>
          <w:color w:val="auto"/>
        </w:rPr>
      </w:pPr>
    </w:p>
    <w:p>
      <w:pPr>
        <w:ind w:left="120" w:right="28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65405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February 14, 2024</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173990</wp:posOffset>
            </wp:positionV>
            <wp:extent cx="899795" cy="342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9979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46,402,403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This prospectus relates to the potential resale from time to time of up to 46,402,403 shares (“Resale Shares” or “Contingent Shares”) of Class A common stock, par value $0.0001 per share (“Class A Common Stock”) of Bakkt Holdings, Inc. (“Company” or “Bakkt”) by the selling stockholder named in this prospectus that may be issuable as earnout payments under the Purchase Agreement (as defined below).</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actual number of Contingent Shares issuable to the selling stockholder as earnout payments, if any, could be materially less than 46,402,403 shares of Class A common stock, depending on (a) the performance of certain crypto facilitation clients and non-fungible token facilitation business of the Company, as described below, and (b) the actual closing prices of our Class A Common Stock over the relevant evaluation periods. As such, we may not issue all of the Contingent Shares registered for resale in the registration statement of which this prospectus forms a part. This presentation is not intended to constitute an indication or prediction of whether any of the future milestones will be achieved.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pay the expenses of registering the Resale Shares; however, we will not receive any of the proceeds from the sale of the Resale Shares.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 identified in this prospectus may offer the shares from time to time through public or private transactions at fixed prices, at prevailing market prices at the time of sale, at prices related to the prevailing market price, at varying prices determined at the time of sale, or at negotiated prices. The registration of the Resale Shares on behalf of the selling stockholder, however, does not necessarily mean that the selling stockholder will offer or sell its Resale Shares under this registration statement at all or at any time in the future.</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Class A Common Stock and our public warrants to purchase Class A Common Stock are listed on the New York Stock Exchange (“NYSE”) under the symbols “BKKT” and “BKKT WS,” respectively. On February 5, 2024, the last reported sale price for our Class A Common Stock was $1.29 per share.</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as such, may elect to comply with certain reduced public company reporting requirements for this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risks. Please carefully read the information under the headings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beginning on page 7 of this prospectus and “</w:t>
      </w:r>
      <w:r>
        <w:rPr>
          <w:rFonts w:ascii="Times New Roman" w:cs="Times New Roman" w:eastAsia="Times New Roman" w:hAnsi="Times New Roman"/>
          <w:sz w:val="22"/>
          <w:szCs w:val="22"/>
          <w:b w:val="1"/>
          <w:bCs w:val="1"/>
          <w:i w:val="1"/>
          <w:iCs w:val="1"/>
          <w:color w:val="auto"/>
        </w:rPr>
        <w:t>Item 1A – Risk Factors</w:t>
      </w:r>
      <w:r>
        <w:rPr>
          <w:rFonts w:ascii="Times New Roman" w:cs="Times New Roman" w:eastAsia="Times New Roman" w:hAnsi="Times New Roman"/>
          <w:sz w:val="22"/>
          <w:szCs w:val="22"/>
          <w:b w:val="1"/>
          <w:bCs w:val="1"/>
          <w:color w:val="auto"/>
        </w:rPr>
        <w:t>” of our most recent Annual Report on Form 10-K and any Quarterly Report on Form 10-Q filed subsequently to such Form 10-K that is incorporated by reference in this prospectus before you invest in our securities.</w:t>
      </w:r>
    </w:p>
    <w:p>
      <w:pPr>
        <w:spacing w:after="0" w:line="183"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6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060" w:type="dxa"/>
            <w:vAlign w:val="bottom"/>
            <w:gridSpan w:val="5"/>
            <w:vMerge w:val="restart"/>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1640" w:type="dxa"/>
            <w:vAlign w:val="bottom"/>
            <w:tcBorders>
              <w:bottom w:val="single" w:sz="8" w:color="0000EE"/>
            </w:tcBorders>
            <w:gridSpan w:val="8"/>
            <w:vMerge w:val="continue"/>
          </w:tcPr>
          <w:p>
            <w:pPr>
              <w:spacing w:after="0"/>
              <w:rPr>
                <w:sz w:val="14"/>
                <w:szCs w:val="14"/>
                <w:color w:val="auto"/>
              </w:rPr>
            </w:pPr>
          </w:p>
        </w:tc>
        <w:tc>
          <w:tcPr>
            <w:tcW w:w="2060" w:type="dxa"/>
            <w:vAlign w:val="bottom"/>
            <w:gridSpan w:val="5"/>
            <w:vMerge w:val="continue"/>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9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Offering</w:t>
            </w:r>
          </w:p>
        </w:tc>
        <w:tc>
          <w:tcPr>
            <w:tcW w:w="580" w:type="dxa"/>
            <w:vAlign w:val="bottom"/>
            <w:tcBorders>
              <w:top w:val="single" w:sz="8" w:color="0000EE"/>
            </w:tcBorders>
            <w:gridSpan w:val="4"/>
          </w:tcPr>
          <w:p>
            <w:pPr>
              <w:spacing w:after="0"/>
              <w:rPr>
                <w:sz w:val="17"/>
                <w:szCs w:val="17"/>
                <w:color w:val="auto"/>
              </w:rPr>
            </w:pPr>
          </w:p>
        </w:tc>
        <w:tc>
          <w:tcPr>
            <w:tcW w:w="2180" w:type="dxa"/>
            <w:vAlign w:val="bottom"/>
            <w:gridSpan w:val="6"/>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60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w:t>
            </w:r>
          </w:p>
        </w:tc>
        <w:tc>
          <w:tcPr>
            <w:tcW w:w="166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280" w:type="dxa"/>
            <w:vAlign w:val="bottom"/>
            <w:gridSpan w:val="7"/>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700" w:type="dxa"/>
            <w:vAlign w:val="bottom"/>
            <w:gridSpan w:val="9"/>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9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880" w:type="dxa"/>
            <w:vAlign w:val="bottom"/>
            <w:tcBorders>
              <w:top w:val="single" w:sz="8" w:color="0000EE"/>
            </w:tcBorders>
            <w:gridSpan w:val="3"/>
          </w:tcPr>
          <w:p>
            <w:pPr>
              <w:spacing w:after="0"/>
              <w:rPr>
                <w:sz w:val="17"/>
                <w:szCs w:val="17"/>
                <w:color w:val="auto"/>
              </w:rPr>
            </w:pPr>
          </w:p>
        </w:tc>
        <w:tc>
          <w:tcPr>
            <w:tcW w:w="84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shelf registration process, the selling stockholder and its permitted transferees may, from time to time, sell the securities offered by them described in this prospectus in one or more offerings through any means described in the section entitled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We will not receive any proceeds from the sale by the selling stockholder of the securities offered by it described in this prospectus.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To the extent necessary, each time that the selling stockholder offers and sells securities, we or the selling stockholder may provide a prospectus supplement to this prospectus that contains specific information about the securities being offered and sold and the specific terms of that offering. To the extent permitted by law, we may also authorize one or more free writing prospectuses that may contain material information relating to these offerings. Each such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any applicable prospectus supplement (and any applicable free writing prospectuses), together with the additional information described under the heading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Neither we nor the selling stockholder have authorized anyone to provide you with any information or to make any representations other than those contained, or incorporated by reference, in this prospectus, any applicable prospectus supplement or in any related free writing prospectus. Neither we nor the selling stockholder take any responsibility for, nor provide any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and any applicable prospectus supplement to this prospectus is accurate only as of the date on the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otherwise. Our business, financial condition, results of operations and prospects may have changed materially since those dates.</w:t>
      </w:r>
    </w:p>
    <w:p>
      <w:pPr>
        <w:spacing w:after="0" w:line="225"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This prospectus, any prospectus supplement or free writing prospectus, and the documents incorporated by reference therein, contain summaries of certain provisions contained in some of the documents described or incorporated by reference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t>
      </w:r>
      <w:r>
        <w:rPr>
          <w:rFonts w:ascii="Times New Roman" w:cs="Times New Roman" w:eastAsia="Times New Roman" w:hAnsi="Times New Roman"/>
          <w:sz w:val="17"/>
          <w:szCs w:val="17"/>
          <w:i w:val="1"/>
          <w:iCs w:val="1"/>
          <w:color w:val="auto"/>
        </w:rPr>
        <w:t>Where You Can Find Additional Information</w:t>
      </w:r>
      <w:r>
        <w:rPr>
          <w:rFonts w:ascii="Times New Roman" w:cs="Times New Roman" w:eastAsia="Times New Roman" w:hAnsi="Times New Roman"/>
          <w:sz w:val="17"/>
          <w:szCs w:val="17"/>
          <w:color w:val="auto"/>
        </w:rPr>
        <w:t>.”</w:t>
      </w:r>
    </w:p>
    <w:p>
      <w:pPr>
        <w:spacing w:after="0" w:line="1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67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w:t>
      </w:r>
    </w:p>
    <w:p>
      <w:pPr>
        <w:spacing w:after="0" w:line="1"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i w:val="1"/>
          <w:iCs w:val="1"/>
          <w:color w:val="auto"/>
        </w:rPr>
        <w:t>Form 10-K and our Quarterly Reports on Form 10-Q filed subsequently to such Form 10-K. Unless the context indicates otherwise, references in this prospectus to “Bakkt Holdings, Inc.,” “Bakkt,” the “Company,” “we,” “our” and “us” refer, collectively, to Bakkt Holdings, Inc., a Delaware corporation, and its consolidated subsidiaries taken as a whole.</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color w:val="auto"/>
        </w:rPr>
        <w:t>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provide, or are working to provide, simplified solutions focused in the following areas:</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Crypto</w:t>
      </w:r>
    </w:p>
    <w:p>
      <w:pPr>
        <w:spacing w:after="0" w:line="133" w:lineRule="exact"/>
        <w:rPr>
          <w:sz w:val="20"/>
          <w:szCs w:val="20"/>
          <w:color w:val="auto"/>
        </w:rPr>
      </w:pPr>
    </w:p>
    <w:p>
      <w:pPr>
        <w:ind w:left="1240" w:right="240" w:hanging="415"/>
        <w:spacing w:after="0" w:line="284"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Custody</w:t>
      </w:r>
      <w:r>
        <w:rPr>
          <w:rFonts w:ascii="Times New Roman" w:cs="Times New Roman" w:eastAsia="Times New Roman" w:hAnsi="Times New Roman"/>
          <w:sz w:val="18"/>
          <w:szCs w:val="18"/>
          <w:color w:val="auto"/>
        </w:rPr>
        <w:t>. Our institutional-grade qualified custody solution caters to more experienced market participants, offering a highly secure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compliance-focused infrastructure. It also supports our consumer crypto infrastructure.</w:t>
      </w:r>
    </w:p>
    <w:p>
      <w:pPr>
        <w:spacing w:after="0" w:line="63" w:lineRule="exact"/>
        <w:rPr>
          <w:rFonts w:ascii="Times New Roman" w:cs="Times New Roman" w:eastAsia="Times New Roman" w:hAnsi="Times New Roman"/>
          <w:sz w:val="18"/>
          <w:szCs w:val="18"/>
          <w:color w:val="auto"/>
        </w:rPr>
      </w:pPr>
    </w:p>
    <w:p>
      <w:pPr>
        <w:ind w:left="1240" w:right="20" w:hanging="415"/>
        <w:spacing w:after="0" w:line="284"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Crypto Trading</w:t>
      </w:r>
      <w:r>
        <w:rPr>
          <w:rFonts w:ascii="Times New Roman" w:cs="Times New Roman" w:eastAsia="Times New Roman" w:hAnsi="Times New Roman"/>
          <w:sz w:val="18"/>
          <w:szCs w:val="18"/>
          <w:color w:val="auto"/>
        </w:rPr>
        <w:t>. Our platform provides consumers, businesses and institutions with the ability to buy, sell and store crypto in a simple,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intuitive digital experience accessed via APIs or embedded web experience.</w:t>
      </w:r>
    </w:p>
    <w:p>
      <w:pPr>
        <w:spacing w:after="0" w:line="63" w:lineRule="exact"/>
        <w:rPr>
          <w:rFonts w:ascii="Times New Roman" w:cs="Times New Roman" w:eastAsia="Times New Roman" w:hAnsi="Times New Roman"/>
          <w:sz w:val="18"/>
          <w:szCs w:val="18"/>
          <w:color w:val="auto"/>
        </w:rPr>
      </w:pPr>
    </w:p>
    <w:p>
      <w:pPr>
        <w:ind w:left="1240" w:right="300" w:hanging="415"/>
        <w:spacing w:after="0" w:line="284"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Crypto Rewards</w:t>
      </w:r>
      <w:r>
        <w:rPr>
          <w:rFonts w:ascii="Times New Roman" w:cs="Times New Roman" w:eastAsia="Times New Roman" w:hAnsi="Times New Roman"/>
          <w:sz w:val="18"/>
          <w:szCs w:val="18"/>
          <w:color w:val="auto"/>
        </w:rPr>
        <w:t>. We are in the process of enabling clients of all sizes to offer loyalty and rewards to their customers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crypto – either by earning crypto rewards, or by redeeming existing reward currencies, such as points or miles, into crypto.</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Loyalty</w:t>
      </w:r>
    </w:p>
    <w:p>
      <w:pPr>
        <w:spacing w:after="0" w:line="135" w:lineRule="exact"/>
        <w:rPr>
          <w:sz w:val="20"/>
          <w:szCs w:val="20"/>
          <w:color w:val="auto"/>
        </w:rPr>
      </w:pPr>
    </w:p>
    <w:p>
      <w:pPr>
        <w:ind w:left="1240" w:right="6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Acquisition of Bakkt Crypto</w:t>
      </w:r>
    </w:p>
    <w:p>
      <w:pPr>
        <w:spacing w:after="0" w:line="121"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On April 1, 2023, we completed the previously announced acquisition (the “Acquisition”) by Bakkt Marketplace, LLC, an indirect wholly owned subsidiary of the Company (“Bakkt Marketplace” and, together with Bakkt, the “Bakkt Parties”), of all of the membership interests in Apex Crypto LLC, a Delaware limited liability company (“Apex Crypto”), from Apex Fintech Solutions Inc., a Delaware corporation (“Seller” and, together with Apex Crypto, the “Seller Parties”), pursuant to the terms of a Membership Interest Purchase Agreement (as amended, the “Purchase Agreement”), dated as of November 2, 2022, by and among the Bakkt</w:t>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8"/>
          <w:szCs w:val="18"/>
          <w:color w:val="auto"/>
        </w:rPr>
        <w:t>Parties and the Seller Parties. Additionally, effective as of April 1, 2023, the Company and the Seller entered into a Registration Rights Agreement, pursuant to which the Company is required to file with the SEC a registration statement for the resale of shares of Bakkt’s Class A common stock that may be issued as contingent consideration under the Purchase Agreement. The Registration Rights Agreement also provides holders of Registrable Securities (as defined therein) with certain customary piggyback registration rights.</w:t>
      </w:r>
    </w:p>
    <w:p>
      <w:pPr>
        <w:spacing w:after="0" w:line="180"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Effective June 12, 2023, we changed the name of Apex Crypto to Bakkt Crypto Solutions, LLC (“Bakkt Crypto”). We expect to leverage Bakkt Crypto’s proprietary trading platform and existing relationships with liquidity providers to provide a wider range of crypto assets and competitive pricing to our customers. Bakkt Crypto complements our B2B2C growth strategy by broadening our business partnerships to broker-dealers, registered investment advisors, fintechs and neo-banks. Specifically, Bakkt Crypto offers customers the ability to purchase, sell, store and, in approved jurisdictions, deposit and withdraw approved crypto assets, all from within the applications of our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w:t>
      </w:r>
    </w:p>
    <w:p>
      <w:pPr>
        <w:spacing w:after="0" w:line="192"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As part of our acquisition of Bakkt Crypto, we also acquired its agreements with more than 30 third-party partners pursuant to which the partners made Bakkt Crypto’s crypto asset trading service available to their customer base. The agreements with these third-party fintech partners (referred to as clients) provide for licensing of their front-end trading platforms by Bakkt Crypto and cooperation between the parties in facilitating customers’ transactions in crypto assets. Additionally, Bakkt Crypto is regularly exploring additional ways to innovate and provide additional products and services to its clients. We are actively pursuing opportunities to provide crypto asset trading services in jurisdictions outside of the United States, including the United Kingdom, Hong Kong, Spain and throughout Latin America, subject to applicable local regulatory approvals. Bakkt Crypto is currently live with customers in Spain, Mexico, Argentina, and Brazil through a partnership with a local client. Subject to applicable regulatory approvals, Bakkt Crypto intends to expand the provision of trading services for institutional clients.</w:t>
      </w:r>
    </w:p>
    <w:p>
      <w:pPr>
        <w:spacing w:after="0" w:line="192"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For additional information, please see our Amended Form 10-Q, filed on February 14, 2024, that (i) amends and restates the disclosure in Part II, Item 1A “Risk Factors” to, among other things, add a description of certain risks resulting from changes to the Company’s business following the Acquisition, and (ii) amends and restates Part II, Item 5 to describe certain updates to the Company’s business activities following the Acquisition.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In the unaudited financial statements included in our quarterly report on Form 10-Q for the quarterly period ended September 30, 2023 (the “Original Form 10-Q”) filed on November 14, 2023 (the “Original 10-Q Filing Date”), we disclosed that subsequent to the filing of the Original Form 10-Q, and in connection with the filing of Amendment No. 3 to the Original Form 10-Q (the “Amended Form 10-Q”), we made the following determination regarding our ability to continue as a going concern using the information available to us as of the date of the filing of the Amended Form 10-Q.</w:t>
      </w:r>
    </w:p>
    <w:p>
      <w:pPr>
        <w:spacing w:after="0" w:line="183" w:lineRule="exact"/>
        <w:rPr>
          <w:sz w:val="20"/>
          <w:szCs w:val="20"/>
          <w:color w:val="auto"/>
        </w:rPr>
      </w:pPr>
    </w:p>
    <w:p>
      <w:pPr>
        <w:ind w:left="300" w:right="180" w:firstLine="426"/>
        <w:spacing w:after="0" w:line="258" w:lineRule="auto"/>
        <w:rPr>
          <w:sz w:val="20"/>
          <w:szCs w:val="20"/>
          <w:color w:val="auto"/>
        </w:rPr>
      </w:pPr>
      <w:r>
        <w:rPr>
          <w:rFonts w:ascii="Times New Roman" w:cs="Times New Roman" w:eastAsia="Times New Roman" w:hAnsi="Times New Roman"/>
          <w:sz w:val="18"/>
          <w:szCs w:val="18"/>
          <w:color w:val="auto"/>
        </w:rPr>
        <w:t>We have incurred net losses and consumed cashflow from operations since our inception and continue to incur losses and consume cash through the date of the Amended Form 10-Q filing. We have historically relied on our existing cash and available-for-sale securities portfolio to fund operations. We do not have any long-term debt to service but have commitments under long-term cloud computing, lease and marketing contracts. We expect to continue to incur losses and consume cash for the foreseeable future, which, as of the date of filing of the Amended Form 10-Q, raised substantial doubt about our ability to continue as a going concern.</w:t>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474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347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firstLine="426"/>
        <w:spacing w:after="0" w:line="253" w:lineRule="auto"/>
        <w:rPr>
          <w:sz w:val="20"/>
          <w:szCs w:val="20"/>
          <w:color w:val="auto"/>
        </w:rPr>
      </w:pPr>
      <w:r>
        <w:rPr>
          <w:rFonts w:ascii="Times New Roman" w:cs="Times New Roman" w:eastAsia="Times New Roman" w:hAnsi="Times New Roman"/>
          <w:sz w:val="18"/>
          <w:szCs w:val="18"/>
          <w:color w:val="auto"/>
        </w:rPr>
        <w:t>As of the date of the Amended Form 10-Q, we did not believe that our cash, short-term securities, and restricted cash were sufficient to fund our operations for the next 12 months, without raising additional capital in the near future. We have been executing a strategic plan to optimize our capital allocation and expense base since the fourth quarter of 2022, which has reduced our annual cash expenses year over year and which we expect will continue to reduce our cash expenses in 2024. We are also planning to integrate our regulated entities to reduce regulatory capital and insurance requirements. However, it is critical to our plan to mitigate our cash burn that we significantly expand our revenue base to be able to generate a sustainable operating profit. There is significant uncertainty associated with our expansion to new markets and the growth of our revenue base given the uncertain and rapidly evolving environment associated with crypto assets. Accordingly, we could not conclude, as of the date of the filing of the Amended Form 10-Q, that it was probable that we would be able to increase revenues substantially beyond levels that we have attained in the past in order to generate sustainable operating profit to continue doing business, and, as a result, we concluded these plans did not alleviate substantial doubt about our ability to continue as a going concern. We are seeking additional financing and evaluating financing alternatives in order to meet our cash requirements for the next 12 months. We cannot be certain that raising additional capital, whether through selling additional equity or debt securities or obtaining a line of credit or other loan, will be available to us or, if available, will be on terms acceptable to us. If we cannot continue as a viable entity, our stockholders would likely lose most or all of their investment in us.</w:t>
      </w:r>
    </w:p>
    <w:p>
      <w:pPr>
        <w:spacing w:after="0" w:line="187" w:lineRule="exact"/>
        <w:rPr>
          <w:sz w:val="20"/>
          <w:szCs w:val="20"/>
          <w:color w:val="auto"/>
        </w:rPr>
      </w:pPr>
    </w:p>
    <w:p>
      <w:pPr>
        <w:ind w:left="300" w:right="240" w:firstLine="426"/>
        <w:spacing w:after="0" w:line="312" w:lineRule="auto"/>
        <w:rPr>
          <w:sz w:val="20"/>
          <w:szCs w:val="20"/>
          <w:color w:val="auto"/>
        </w:rPr>
      </w:pPr>
      <w:r>
        <w:rPr>
          <w:rFonts w:ascii="Times New Roman" w:cs="Times New Roman" w:eastAsia="Times New Roman" w:hAnsi="Times New Roman"/>
          <w:sz w:val="17"/>
          <w:szCs w:val="17"/>
          <w:color w:val="auto"/>
        </w:rPr>
        <w:t>For additional information, please see our other filings with the SEC that are incorporated by reference into this prospectus, including the Amended Form 10-Q and the risk factor entitled “We might not be able to continue as a going concern.” included under Part II, Item 1A therein.</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Investing in our Class A common stock involves numerous risks and uncertainties, including the risks and uncertainties described in the section titled “Risk Factors” and elsewhere in this prospectus. You should carefully consider these risks and uncertainties before investing in our securities. Below are some of these risks, any one of which could materially adversely affect our business, financial condition, results of operations, and prospects.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Risks Related to Our Business, Finances and Operations</w:t>
      </w:r>
    </w:p>
    <w:p>
      <w:pPr>
        <w:spacing w:after="0" w:line="133" w:lineRule="exact"/>
        <w:rPr>
          <w:sz w:val="20"/>
          <w:szCs w:val="20"/>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is newly developed and may encounter additional risks and challenges as it grows.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still in the early stages of its release and is largely untested.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additional functionalities and crypto assets to our platform may adversely affect future growth.</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a history of operating losses.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continue as a going concern.</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retain or grow our relationships with our existing clients and third-party custodians, our business, financial condition, results of operations and future prospects would be materially and adversely affected.</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redemptions or withdrawals, or a suspension of redemptions or withdrawals, of crypto assets could adversely impact our business.</w:t>
      </w:r>
    </w:p>
    <w:p>
      <w:pPr>
        <w:spacing w:after="0" w:line="67" w:lineRule="exact"/>
        <w:rPr>
          <w:rFonts w:ascii="Times New Roman" w:cs="Times New Roman" w:eastAsia="Times New Roman" w:hAnsi="Times New Roman"/>
          <w:sz w:val="18"/>
          <w:szCs w:val="18"/>
          <w:color w:val="auto"/>
        </w:rPr>
      </w:pPr>
    </w:p>
    <w:p>
      <w:pPr>
        <w:jc w:val="both"/>
        <w:ind w:left="1240" w:right="26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current and prospective clients require the approval of their own regulators in order to deploy our solutions, especially our crypto solutions, and if they are unable to obtain those approvals on a timely basis, or at all, our results of operations and future prospects would be materially and adversely affected.</w:t>
      </w:r>
    </w:p>
    <w:p>
      <w:pPr>
        <w:spacing w:after="0" w:line="81"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percentage of our revenue is concentrated with a small number of clients; the loss of any such client would materially and adversely affect our business, financial condition, results of operations and</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50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spacing w:after="0" w:line="266" w:lineRule="auto"/>
        <w:rPr>
          <w:sz w:val="20"/>
          <w:szCs w:val="20"/>
          <w:color w:val="auto"/>
        </w:rPr>
      </w:pPr>
      <w:r>
        <w:rPr>
          <w:rFonts w:ascii="Times New Roman" w:cs="Times New Roman" w:eastAsia="Times New Roman" w:hAnsi="Times New Roman"/>
          <w:sz w:val="18"/>
          <w:szCs w:val="18"/>
          <w:color w:val="auto"/>
        </w:rPr>
        <w:t>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w:t>
      </w:r>
    </w:p>
    <w:p>
      <w:pPr>
        <w:spacing w:after="0" w:line="81" w:lineRule="exact"/>
        <w:rPr>
          <w:sz w:val="20"/>
          <w:szCs w:val="20"/>
          <w:color w:val="auto"/>
        </w:rPr>
      </w:pPr>
    </w:p>
    <w:p>
      <w:pPr>
        <w:ind w:left="1240" w:right="5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past or future investments, strategic transactions, or acquisitions – including our acquisition of Bakkt Crypto – and integration of these acquisitions may disrupt our business and management.</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Risks Related to Crypto</w:t>
      </w:r>
    </w:p>
    <w:p>
      <w:pPr>
        <w:spacing w:after="0" w:line="133" w:lineRule="exact"/>
        <w:rPr>
          <w:sz w:val="20"/>
          <w:szCs w:val="20"/>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subject us to additional risks, including the risk that banks may not provide banking services to us.</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general perception among regulators and others that crypto is used to facilitate illegal activity such as fraud, money laundering, tax evasion and ransomware scams.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crypto custodial solutions and related technology, which may experience theft, employee or vendor sabotage, security and cybersecurity risks, system failures and other operational issues which could damage our reputation and brand.</w:t>
      </w:r>
    </w:p>
    <w:p>
      <w:pPr>
        <w:spacing w:after="0" w:line="67" w:lineRule="exact"/>
        <w:rPr>
          <w:rFonts w:ascii="Times New Roman" w:cs="Times New Roman" w:eastAsia="Times New Roman" w:hAnsi="Times New Roman"/>
          <w:sz w:val="18"/>
          <w:szCs w:val="18"/>
          <w:color w:val="auto"/>
        </w:rPr>
      </w:pPr>
    </w:p>
    <w:p>
      <w:pPr>
        <w:ind w:left="1240" w:right="40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safeguard and manage our customers’ crypto could adversely impact our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does not have extensive historical precedent and distributed ledger technology continues to rapidly evolve.</w:t>
      </w:r>
    </w:p>
    <w:p>
      <w:pPr>
        <w:spacing w:after="0" w:line="130"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technical issues in connection with the integration of supported crypto assets and changes and upgrades to their underlying networks, which could adversely affect our business.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Risks Related to Regulation, Taxation and Laws</w:t>
      </w:r>
    </w:p>
    <w:p>
      <w:pPr>
        <w:spacing w:after="0" w:line="133" w:lineRule="exact"/>
        <w:rPr>
          <w:sz w:val="20"/>
          <w:szCs w:val="20"/>
          <w:color w:val="auto"/>
        </w:rPr>
      </w:pPr>
    </w:p>
    <w:p>
      <w:pPr>
        <w:ind w:left="1240" w:right="30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 oversight, licensure and appraisals and our failure to comply could materially harm our business.</w:t>
      </w:r>
    </w:p>
    <w:p>
      <w:pPr>
        <w:spacing w:after="0" w:line="67" w:lineRule="exact"/>
        <w:rPr>
          <w:rFonts w:ascii="Times New Roman" w:cs="Times New Roman" w:eastAsia="Times New Roman" w:hAnsi="Times New Roman"/>
          <w:sz w:val="18"/>
          <w:szCs w:val="18"/>
          <w:color w:val="auto"/>
        </w:rPr>
      </w:pPr>
    </w:p>
    <w:p>
      <w:pPr>
        <w:ind w:left="1240" w:right="440" w:hanging="415"/>
        <w:spacing w:after="0" w:line="312"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regimes governing blockchain technologies and crypto are evolving and uncertain, and new legislation, regulations, guidance and enforcement actions have in the past required, and may in the future require us to alter our business practices.</w:t>
      </w:r>
    </w:p>
    <w:p>
      <w:pPr>
        <w:spacing w:after="0" w:line="45" w:lineRule="exact"/>
        <w:rPr>
          <w:rFonts w:ascii="Times New Roman" w:cs="Times New Roman" w:eastAsia="Times New Roman" w:hAnsi="Times New Roman"/>
          <w:sz w:val="17"/>
          <w:szCs w:val="17"/>
          <w:color w:val="auto"/>
        </w:rPr>
      </w:pPr>
    </w:p>
    <w:p>
      <w:pPr>
        <w:ind w:left="124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81"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litigation risk and risk of regulatory liability and penalties. Any current or future litigation against us could be costly and time-consuming to defend.</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Risks Related to Information Technology and Data</w:t>
      </w:r>
    </w:p>
    <w:p>
      <w:pPr>
        <w:spacing w:after="0" w:line="133" w:lineRule="exact"/>
        <w:rPr>
          <w:sz w:val="20"/>
          <w:szCs w:val="20"/>
          <w:color w:val="auto"/>
        </w:rPr>
      </w:pPr>
    </w:p>
    <w:p>
      <w:pPr>
        <w:ind w:left="1240" w:right="2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cyberattacks, security incidents, or breaches could result in serious harm to our reputation, business and financial condition.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Risks Related to Risk Management and Financial Reporting</w:t>
      </w:r>
    </w:p>
    <w:p>
      <w:pPr>
        <w:spacing w:after="0" w:line="133" w:lineRule="exact"/>
        <w:rPr>
          <w:sz w:val="20"/>
          <w:szCs w:val="20"/>
          <w:color w:val="auto"/>
        </w:rPr>
      </w:pPr>
    </w:p>
    <w:p>
      <w:pPr>
        <w:ind w:left="1240" w:right="30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internal controls over financial reporting, we may be unable to produce timely and accurate financial statements, which could have a material effect on our business.</w:t>
      </w:r>
    </w:p>
    <w:p>
      <w:pPr>
        <w:spacing w:after="0" w:line="27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320" w:top="455" w:right="7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684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168402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33" w:lineRule="exact"/>
        <w:rPr>
          <w:sz w:val="20"/>
          <w:szCs w:val="20"/>
          <w:color w:val="auto"/>
        </w:rPr>
      </w:pPr>
    </w:p>
    <w:p>
      <w:pPr>
        <w:ind w:left="1240" w:right="14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market for our securities has in the past been and could in the future be impacted by market volatility. Stock run-ups, divergences in valuation ratios relative to those seen during traditional markets, high short interest or short squeezes, and strong and atypical retail investor interest in the markets may impact the demand for our securities.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10000 Avalon Boulevard, Suite 1000, Alpharetta, Georgia 30009. Our telephone number is</w:t>
      </w:r>
    </w:p>
    <w:p>
      <w:pPr>
        <w:spacing w:after="0" w:line="27" w:lineRule="exact"/>
        <w:rPr>
          <w:sz w:val="20"/>
          <w:szCs w:val="20"/>
          <w:color w:val="auto"/>
        </w:rPr>
      </w:pPr>
    </w:p>
    <w:p>
      <w:pPr>
        <w:ind w:left="300" w:hanging="2"/>
        <w:spacing w:after="0" w:line="260"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534-5849. Our website is </w:t>
      </w:r>
      <w:r>
        <w:rPr>
          <w:rFonts w:ascii="Times New Roman" w:cs="Times New Roman" w:eastAsia="Times New Roman" w:hAnsi="Times New Roman"/>
          <w:sz w:val="18"/>
          <w:szCs w:val="18"/>
          <w:i w:val="1"/>
          <w:iCs w:val="1"/>
          <w:color w:val="auto"/>
        </w:rPr>
        <w:t>https://www.bakkt.com</w:t>
      </w:r>
      <w:r>
        <w:rPr>
          <w:rFonts w:ascii="Times New Roman" w:cs="Times New Roman" w:eastAsia="Times New Roman" w:hAnsi="Times New Roman"/>
          <w:sz w:val="18"/>
          <w:szCs w:val="18"/>
          <w:color w:val="auto"/>
        </w:rPr>
        <w:t>. Information contained on, or that can be accessed through, our website is not a part of, and is not incorporated into, this prospectus, and the inclusion of our website address in this prospectus is an inactive textual reference only.</w:t>
      </w:r>
    </w:p>
    <w:p>
      <w:pPr>
        <w:spacing w:after="0" w:line="2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320" w:top="455" w:right="7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2224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2224405"/>
                    </a:xfrm>
                    <a:prstGeom prst="rect">
                      <a:avLst/>
                    </a:prstGeom>
                    <a:noFill/>
                  </pic:spPr>
                </pic:pic>
              </a:graphicData>
            </a:graphic>
          </wp:anchor>
        </w:drawing>
      </w:r>
    </w:p>
    <w:p>
      <w:pPr>
        <w:sectPr>
          <w:pgSz w:w="11900" w:h="16838" w:orient="portrait"/>
          <w:cols w:equalWidth="0" w:num="1">
            <w:col w:w="10860"/>
          </w:cols>
          <w:pgMar w:left="320" w:top="455"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Offered by Selling Stockholder</w:t>
      </w:r>
    </w:p>
    <w:p>
      <w:pPr>
        <w:spacing w:after="0" w:line="3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Offering Price</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3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NYSE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Up to 46,402,403 shares of Class A Common Stock that may be issued to the selling stockholder as earnout payments under the Purchase Agreement.</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Class A Common Stock by the selling stockholder.</w:t>
      </w:r>
    </w:p>
    <w:p>
      <w:pPr>
        <w:spacing w:after="0" w:line="6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selling stockholder may sell all or a portion of its shares through public or private transactions at prevailing market prices or at privately negotiated prices.</w:t>
      </w:r>
    </w:p>
    <w:p>
      <w:pPr>
        <w:spacing w:after="0" w:line="79"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You should read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included in, and the risk factors incorporated by reference in this prospectus for a discussion of factors to consider carefully before deciding to invest in shares of our Class A Common Stock.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“BKKT” for our Class A Common Stock.</w:t>
      </w:r>
    </w:p>
    <w:p>
      <w:pPr>
        <w:spacing w:after="0" w:line="200" w:lineRule="exact"/>
        <w:rPr>
          <w:sz w:val="20"/>
          <w:szCs w:val="20"/>
          <w:color w:val="auto"/>
        </w:rPr>
      </w:pPr>
    </w:p>
    <w:p>
      <w:pPr>
        <w:sectPr>
          <w:pgSz w:w="11900" w:h="16838" w:orient="portrait"/>
          <w:cols w:equalWidth="0" w:num="2">
            <w:col w:w="3720" w:space="620"/>
            <w:col w:w="6520"/>
          </w:cols>
          <w:pgMar w:left="320" w:top="455" w:right="719" w:bottom="1440" w:gutter="0" w:footer="0" w:header="0"/>
          <w:type w:val="continuous"/>
        </w:sectPr>
      </w:pPr>
    </w:p>
    <w:p>
      <w:pPr>
        <w:spacing w:after="0" w:line="14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860"/>
          </w:cols>
          <w:pgMar w:left="320" w:top="455" w:right="7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making an investment decision, you should consider carefully the risks, uncertainties and assumptions discussed under “</w:t>
      </w:r>
      <w:r>
        <w:rPr>
          <w:rFonts w:ascii="Times New Roman" w:cs="Times New Roman" w:eastAsia="Times New Roman" w:hAnsi="Times New Roman"/>
          <w:sz w:val="18"/>
          <w:szCs w:val="18"/>
          <w:i w:val="1"/>
          <w:iCs w:val="1"/>
          <w:color w:val="auto"/>
        </w:rPr>
        <w:t>Part I—Item 1A—Risk Factors</w:t>
      </w:r>
      <w:r>
        <w:rPr>
          <w:rFonts w:ascii="Times New Roman" w:cs="Times New Roman" w:eastAsia="Times New Roman" w:hAnsi="Times New Roman"/>
          <w:sz w:val="18"/>
          <w:szCs w:val="18"/>
          <w:color w:val="auto"/>
        </w:rPr>
        <w:t>” of our most recent Annual Report on Form 10-K and in “</w:t>
      </w:r>
      <w:r>
        <w:rPr>
          <w:rFonts w:ascii="Times New Roman" w:cs="Times New Roman" w:eastAsia="Times New Roman" w:hAnsi="Times New Roman"/>
          <w:sz w:val="18"/>
          <w:szCs w:val="18"/>
          <w:i w:val="1"/>
          <w:iCs w:val="1"/>
          <w:color w:val="auto"/>
        </w:rPr>
        <w:t>Part II—Item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1A—Risk Factors</w:t>
      </w:r>
      <w:r>
        <w:rPr>
          <w:rFonts w:ascii="Times New Roman" w:cs="Times New Roman" w:eastAsia="Times New Roman" w:hAnsi="Times New Roman"/>
          <w:sz w:val="18"/>
          <w:szCs w:val="18"/>
          <w:color w:val="auto"/>
        </w:rPr>
        <w:t>” in our Quarterly Reports on Form 10-Q filed subsequently to such Form 10-K that are incorporated herein by reference, as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supplemented or superseded from time to time by other reports we file with the SEC in the future, and all other information contained or incorporated by reference into this prospectus, as updated by our subsequent filings under the Securities and Exchange Act of 1934, as amended (the “Exchange Act”), and the risk factors and other information contained in any applicable prospectus supplement and any applicable free writing prospectus. The risks described in these documents are not the only ones we face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business, operating results, financial condition or prospects could also be harmed by risks and uncertainties not currently known to us or that we currently do not believe are material. If any of the risks actually occur, our business, operating results, financial condition and prospects could be adversely affected. In that event, the market price of our securities could decline, and you could lose part or all of your investment. Please also carefully read the section titled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320" w:top="455"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w:t>
      </w:r>
    </w:p>
    <w:p>
      <w:pPr>
        <w:spacing w:after="0" w:line="100"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impacts from the Bakkt Crypto Acquisition;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they were made and reflect management’s expectations, forecasts and assumptions as of such date, and involve a number of judgments, known and/ 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3"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we compete, including with respect to our competitive landscape, technology evolution or changes in applicable laws or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that subject us to additional risks, including the risk that banks may not provide banking services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launch new services and products or to profitably expand into new markets and services, or the inability to continue offering existing services or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our growth strategies, including identifying and executing acquisitions and our initiatives to add new clients;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from the Bakkt Crypto Acquisition;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 oversight, licensure and appraisals;</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320" w:top="455" w:right="5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regulatory regime governing blockchain technologies and crypto;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pandemics or other public health emergencies;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the listing of our securities on the NYSE; and</w:t>
      </w:r>
    </w:p>
    <w:p>
      <w:pPr>
        <w:spacing w:after="0" w:line="128"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any risk factors described in any amendments or supplements to this prospectus and in the documents incorporated by reference herein.</w:t>
      </w:r>
    </w:p>
    <w:p>
      <w:pPr>
        <w:spacing w:after="0" w:line="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320" w:top="455" w:right="6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net proceeds from any disposition of the Resale Shares covered hereby will be received by the selling stockholder. We will not receive any of the proceeds from any such Resale Shares offered by this prospectus.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40"/>
          </w:cols>
          <w:pgMar w:left="320" w:top="455" w:right="5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our capital stock is incorporated by reference to Exhibit 4.7 to our Annual Report on Form 10-K for the fiscal year ended December 31, 2022, filed with the SEC on March 24, 2023.</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40"/>
          </w:cols>
          <w:pgMar w:left="320" w:top="455" w:right="9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This prospectus relates to the offering of up to 46,402,403 shares of our Class A Common Stock to be issued to the selling stockholder named below pursuant to the terms of the Purchase Agreement, by and among Bakkt, the selling stockholder and the other parties named therein. Capitalized terms used in this prospectus but not otherwise defined herein have the meanings given to them in the Purchase Agreement, a copy of which has been filed with the registration statement of which this prospectus forms a part.</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 the Purchase Agreement, based on the achievement by Bakkt Crypto of certain gross profit metrics in respect of the forth quarter of 2022, the selling stockholder received 6,140,610 shares of Class A Common Stock (the “Initial Contingent Shares”), the resale of which is not covered by the registration statement of which this prospectus forms a part. Because such prior earnout was not fully achieved, however, additional shares of Class A Common Stock may be issuable in respect of certain catch-up provisions if the acquired business achieves certain gross profit metrics in 2023.</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Furthermore, the selling stockholder is eligible to receive additional contingent consideration in shares of Class A Common Stock based on the performance of certain crypto facilitation clients in 2023 and 2024, with no amount being paid if a minimum level of gross profitability growth (adjusted for certain crypto delisting events) is not achieved. If the selling stockholder does not receive contingent consideration valued at $145.0 million, the selling stockholder will also be eligible to receive additional contingent consideration in shares of Class A Common Stock of up to $12.0 million based on the performance of a non-fungible token facilitation business attributable to the acquired business’s clients and prospects, provided that the total earnout consideration payable under the Purchase Agreement does not exceed $145.0 million.</w:t>
      </w:r>
    </w:p>
    <w:p>
      <w:pPr>
        <w:spacing w:after="0" w:line="18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aggregate number of shares of Class A Common Stock that may be issued under the Purchase Agreement may not exceed 19.9% of the sum of the number of shares of Class A Common Stock plus the number of shares of the Company’s Class V common stock, par value $0.0001 per share (“Class V Common Stock”), each outstanding as of November 2, 2022, which number, less the Initial Contingent Shares, is the number of shares of Class A Common Stock registered for resale by the registration statement of which this prospectus forms a part.</w:t>
      </w:r>
    </w:p>
    <w:p>
      <w:pPr>
        <w:spacing w:after="0" w:line="18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actual number of Contingent Shares issuable to the selling stockholder as earnout payments, if any, could be materially less than 46,402,403 shares of Class A Common Stock depending on (a) the performance of the crypto facilitation clients and non-fungible token facilitation business, as described above, and (b) the actual closing prices of our Class A Common Stock over the relevant evaluation periods. As such, the Company may not issue all of the Contingent Shares registered for resale in the registration statement of which this prospectus forms a part. This presentation is not intended to constitute an indication or prediction of whether any of the future milestones will be achieved.</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selling stockholder may from time to time offer and sell any or all of the Class A Common Stock set forth below pursuant to this prospectus and any accompanying prospectus supplement. When we refer to the “selling stockholder” in this prospectus, unless the context otherwise requires, we mean the person listed in the table below, including those aggregated as part of a group, and the pledgees, distributees, donees, transferees, assignees, successors, designees and others who later come to hold any of the selling stockholder’s interest in the Class A Common Stock other than through a public sale. We cannot advise you as to whether the selling stockholder will in fact sell any or all of such Class A Common Stock. In addition, the selling stockholder may sell, transfer or otherwise dispose of, at any time and from time to time, the Class A Common Stock in transactions exempt from the registration requirements of the Securities Act of 1933, as amended (the “Securities Act”), after the date of this prospectus.</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information regarding transactions between us and the selling stockholder, please review our Current Reports on Form 8-K that we filed with the SEC on November 3, 2022 and April 3, 2023 that describe, among other things, the Stockholders’ Agreement, dated November 2, 2022, and the Registration Rights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dated April 1, 2023 (the “Registration Rights Agreement”), that we and the selling stockholder, among others, are each party to. Such descriptions are incorporated by reference herein.</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Unless otherwise indicated below, to our knowledge, the selling stockholder has sole voting and sole investment power with respect to the Class A Common Stock set forth below.</w:t>
      </w:r>
    </w:p>
    <w:p>
      <w:pPr>
        <w:spacing w:after="0" w:line="174" w:lineRule="exact"/>
        <w:rPr>
          <w:sz w:val="20"/>
          <w:szCs w:val="20"/>
          <w:color w:val="auto"/>
        </w:rPr>
      </w:pPr>
    </w:p>
    <w:p>
      <w:pPr>
        <w:ind w:left="120" w:right="580" w:firstLine="440"/>
        <w:spacing w:after="0" w:line="284" w:lineRule="auto"/>
        <w:rPr>
          <w:sz w:val="20"/>
          <w:szCs w:val="20"/>
          <w:color w:val="auto"/>
        </w:rPr>
      </w:pPr>
      <w:r>
        <w:rPr>
          <w:rFonts w:ascii="Times New Roman" w:cs="Times New Roman" w:eastAsia="Times New Roman" w:hAnsi="Times New Roman"/>
          <w:sz w:val="18"/>
          <w:szCs w:val="18"/>
          <w:color w:val="auto"/>
        </w:rPr>
        <w:t>The selling stockholder may sell or otherwise transfer all, some or none of such shares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more information.</w:t>
      </w:r>
    </w:p>
    <w:p>
      <w:pPr>
        <w:spacing w:after="0" w:line="16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February 1, 2024, the name of the selling stockholder, the aggregate number of shares of Class A Common Stock that the selling stockholder may offer pursuant to this prospectus, the beneficial ownership of the selling stockholder both before and after the offering, and the shares of Class A Common Stock being offered by the selling stockholder. The following table does not reflect any other securities of the Company that the selling stockholder may own, beneficially or otherwise. For purposes of this table, we have assumed that the selling stockholder will have sold all of the Resale Shares covered by this prospectus upon the completion of the offering.</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6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Prior to the Offering(1)</w:t>
            </w:r>
          </w:p>
        </w:tc>
        <w:tc>
          <w:tcPr>
            <w:tcW w:w="56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After the Offering(1)</w:t>
            </w: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60" w:type="dxa"/>
            <w:vAlign w:val="bottom"/>
            <w:gridSpan w:val="2"/>
          </w:tcPr>
          <w:p>
            <w:pPr>
              <w:jc w:val="right"/>
              <w:ind w:right="24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80" w:type="dxa"/>
            <w:vAlign w:val="bottom"/>
            <w:gridSpan w:val="2"/>
          </w:tcPr>
          <w:p>
            <w:pPr>
              <w:jc w:val="right"/>
              <w:ind w:right="24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500" w:type="dxa"/>
            <w:vAlign w:val="bottom"/>
          </w:tcPr>
          <w:p>
            <w:pPr>
              <w:spacing w:after="0"/>
              <w:rPr>
                <w:sz w:val="12"/>
                <w:szCs w:val="12"/>
                <w:color w:val="auto"/>
              </w:rPr>
            </w:pPr>
          </w:p>
        </w:tc>
        <w:tc>
          <w:tcPr>
            <w:tcW w:w="12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0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500" w:type="dxa"/>
            <w:vAlign w:val="bottom"/>
          </w:tcPr>
          <w:p>
            <w:pPr>
              <w:spacing w:after="0"/>
              <w:rPr>
                <w:sz w:val="12"/>
                <w:szCs w:val="12"/>
                <w:color w:val="auto"/>
              </w:rPr>
            </w:pPr>
          </w:p>
        </w:tc>
        <w:tc>
          <w:tcPr>
            <w:tcW w:w="128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50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of Class A</w:t>
            </w:r>
          </w:p>
        </w:tc>
        <w:tc>
          <w:tcPr>
            <w:tcW w:w="106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5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of Class A</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500" w:type="dxa"/>
            <w:vAlign w:val="bottom"/>
          </w:tcPr>
          <w:p>
            <w:pPr>
              <w:spacing w:after="0"/>
              <w:rPr>
                <w:sz w:val="12"/>
                <w:szCs w:val="12"/>
                <w:color w:val="auto"/>
              </w:rPr>
            </w:pPr>
          </w:p>
        </w:tc>
        <w:tc>
          <w:tcPr>
            <w:tcW w:w="126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5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73"/>
        </w:trPr>
        <w:tc>
          <w:tcPr>
            <w:tcW w:w="4240" w:type="dxa"/>
            <w:vAlign w:val="bottom"/>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00" w:type="dxa"/>
            <w:vAlign w:val="bottom"/>
          </w:tcPr>
          <w:p>
            <w:pPr>
              <w:spacing w:after="0"/>
              <w:rPr>
                <w:sz w:val="15"/>
                <w:szCs w:val="15"/>
                <w:color w:val="auto"/>
              </w:rPr>
            </w:pPr>
          </w:p>
        </w:tc>
        <w:tc>
          <w:tcPr>
            <w:tcW w:w="12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Stock(2)</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Power(2)</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00" w:type="dxa"/>
            <w:vAlign w:val="bottom"/>
          </w:tcPr>
          <w:p>
            <w:pPr>
              <w:spacing w:after="0"/>
              <w:rPr>
                <w:sz w:val="15"/>
                <w:szCs w:val="15"/>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Stock(2)</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Power(2)</w:t>
            </w: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Apex Fintech Solutions Inc.(3)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46,402,403</w:t>
            </w: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46,402,403</w:t>
            </w:r>
          </w:p>
        </w:tc>
        <w:tc>
          <w:tcPr>
            <w:tcW w:w="17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48.6</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16.9</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right="20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calculated the maximum number of Resale Shares that could potentially become saleable by the selling stockholder pursuant to this prospectus, assuming the selling stockholder receives the maximum number of shares of Class A Common Stock issuable to the selling stockholder under the Purchase Agreement. While the actual number of shares issued to the selling stockholder as earnout payments could be materially less, we have assumed that all of the Resale Shares issuable to the selling stockholder covered by this prospectus will be sold and that the selling stockholder will not acquire any additional shares of common stock before the completion of this offering.</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95,418,117 shares of our Class A Common Stock and 179,883,479 shares of Class V Common Stock, each outstanding as of February 1, 2024. Apex Fintech Solutions Inc. does not own any shares of Class V Common Stock as of February 1, 2024.</w:t>
      </w:r>
    </w:p>
    <w:p>
      <w:pPr>
        <w:ind w:left="540" w:right="80" w:hanging="424"/>
        <w:spacing w:after="0" w:line="253"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an affiliate of Apex Clearing Corporation, CODA Markets Inc., Electronic Transaction Clearing, Inc., PEAK6 Capital Management LLC, PEAK6 Trading LLC and HarcastleTrading USA L.L.C., each of which is a registered broker-dealer, but the selling stockholder is not itself a broker-dealer. The selling stockholder received or will receive the securities identified in the table as beneficially owned by it in the ordinary course of business pursuant to the Purchase Agreement and, at the time of entering into the Purchase Agreement, had no agreements or understandings, directly or indirectly, with any person to distribute those securities.</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relates to the issuance by us, and the resale by the selling stockholder, of up to 46,402,403 Contingent Shares.</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All of the Resale Shares offered by the selling stockholder pursuant to this prospectus will be sold by the selling stockholder for its account. We will not receive any of the proceeds from the sale of the securities hereunder.</w:t>
      </w:r>
    </w:p>
    <w:p>
      <w:pPr>
        <w:spacing w:after="0" w:line="16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With respect to the registration of all shares of Class A Common Stock offered by the selling stockholder pursuant to this prospectus, the selling stockholder will pay any underwriting discounts and commissions and expenses incurred by it for brokerage, accounting, tax or legal services or any other expenses incurred by it in disposing of the securities. We will bear all other costs, fees and expenses incurred in effecting the registration of the securities covered by this prospectus, including, without limitation, all registration and filing fees, NYSE listing fees, and fees of our counsel and our independent registered public accountants.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securities beneficially owned by the selling stockholder covered by this prospectus may be offered and sold from time to time by the selling stockholder. The term “selling stockholder” includes distributees, donees, pledgees, transferees or other successors in interest selling securities received after the date of this prospectus from the selling stockholder as a gift, pledge, partnership distribution or other transfer. The selling stockholder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stockholder reserves the right to accept and, together with its agents, to reject, any proposed purchase of securities to be made directly or through agents. The selling stockholder and any of its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may subject to certain conditions. The underwriters may be obligated to purchase all the securities offered if any of the securities are purchased.</w:t>
      </w:r>
    </w:p>
    <w:p>
      <w:pPr>
        <w:spacing w:after="0" w:line="187"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the Registration Rights Agreement, the selling stockholder may use any one or more of the following methods when selling the securities offered by this prospectus:</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the purchaser;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NYSE;</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the selling stockholder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addition, because the selling stockholder is an entity, it may elect to make an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selling stockholder will sell all or any of the securities offered by this prospectus. In addition, the selling stockholder may also sell securities under Rule 144 under the Securities Act, if available, or in other transactions exempt from registration, rather than under this prospectus. The selling stockholder has the sole and absolute discretion not to accept any purchase offer or make any sale of securities if it deems the purchase price to be unsatisfactory at any particular time.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selling stockholder also may transfer the securities in other circumstances, in which case the transferees, distributees, pledgees or</w:t>
      </w:r>
    </w:p>
    <w:p>
      <w:pPr>
        <w:spacing w:after="0" w:line="27"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other successors-in-interest will be the selling beneficial owners for purposes of this prospectus. Upon being notified by the selling stockholder that a donee, pledgee, transferee, or other successor-in-interest intends to sell our securities, we will, to the extent required, promptly file a supplement to this prospectus to name specifically such person as a selling stockholder.</w:t>
      </w:r>
    </w:p>
    <w:p>
      <w:pPr>
        <w:spacing w:after="0" w:line="186"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With respect to a particular offering of the securities held by the selling stockholder, to the extent required, an accompanying prospectus supplement or, if appropriate, a post-effective amendment to the registration statement of which this prospectus is part, will be prepared and will set forth the following information:</w:t>
      </w:r>
    </w:p>
    <w:p>
      <w:pPr>
        <w:spacing w:after="0" w:line="8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participating agents, broker-dealers or underwriters;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commissions, discounts, concessions and other items constituting compensation from the selling stockholder.</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distributions of the securities or otherwise, the selling stockholder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stockholder. The selling stockholder may also sell the securities short and redeliver the securities to close out such short positions. The selling stockholder may also enter into option or other transactions with broker-dealers or other financial institutions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88"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It is possible that one or more underwriters may make a market in our securities, but such underwriters will not be obligated to do so and may discontinue any market making at any time without notice.</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stockholder pay for solicitation of these contracts.</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selling stockholder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selling stockholder or borrowed from the selling stockholder or others to settle those sales or to close out any related open borrowings of stock, and may use securities received from the selling stockholder in settlement of those derivatives to close out any related open borrowings of stock. The third party in such sale transactions will be an underwriter and will be identified in the applicable prospectus supplement (or a post-effective amendment). In addition, the selling stockholder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88"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In effecting sales, broker-dealers or agents engaged by the selling stockholder may arrange for other broker-dealers to participate. Broker-dealers or agents may receive commissions, discounts or concessions from the selling stockholder in amounts to be negotiated immediately prior to the sale.</w:t>
      </w:r>
    </w:p>
    <w:p>
      <w:pPr>
        <w:spacing w:after="0" w:line="14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at the time of any offering made under this prospectus a member of FINRA participating in the offering has a “conflict of interest” as defined in FINRA Rule 5121 (“</w:t>
      </w:r>
      <w:r>
        <w:rPr>
          <w:rFonts w:ascii="Times New Roman" w:cs="Times New Roman" w:eastAsia="Times New Roman" w:hAnsi="Times New Roman"/>
          <w:sz w:val="18"/>
          <w:szCs w:val="18"/>
          <w:b w:val="1"/>
          <w:bCs w:val="1"/>
          <w:color w:val="auto"/>
        </w:rPr>
        <w:t>Rule 5121</w:t>
      </w:r>
      <w:r>
        <w:rPr>
          <w:rFonts w:ascii="Times New Roman" w:cs="Times New Roman" w:eastAsia="Times New Roman" w:hAnsi="Times New Roman"/>
          <w:sz w:val="18"/>
          <w:szCs w:val="18"/>
          <w:color w:val="auto"/>
        </w:rPr>
        <w:t>”), that offering will be conducted in accordance with the relevant provisions of Rule 5121.</w:t>
      </w:r>
    </w:p>
    <w:p>
      <w:pPr>
        <w:spacing w:after="0" w:line="162"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To our knowledge, there are currently no plans, arrangements or understandings between the selling stockholder and any broker-dealer or agent regarding the sale of the securities by the selling stockholder. Upon our notification by the selling stockholder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selling stockholder is an affiliate of Apex Clearing Corporation, CODA Markets Inc., Electronic Transaction Clearing, Inc., PEAK6 Capital Management LLC, PEAK6 Trading LLC and HarcastleTrading USA L.L.C., each of which is a registered broker-dealer, but the selling stockholder is not itself a broker-dealer. The selling stockholder received or will receive the securities covered by this prospectus as beneficially owned by it in the ordinary course of business pursuant to the Purchase Agreement and, at the time of entering into the Purchase Agreement, had no agreements or understandings, directly or indirectly, with any person to distribute those securities. In offering the securities covered by this prospectus, the selling stockholder and any underwriters, broker-dealers or agents who execute sales for the selling stockholder may be deemed to be “underwriters” within the meaning of the Securities Act in connection with such sales and accordingly would be subject to the prospectus delivery requirements of the Securities Act. Any discounts, commissions, concessions or profit they earn on any resale of those securities may be underwriting discounts and commissions under the Securities Act.</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underwriters, broker-dealers and agents may engage in transactions with us or the selling stockholder, or perform services for us or the selling stockholder, in the ordinary course of business.</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stockholder or any other person, which limitations may affect the marketability of the shares of the securities.</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will make copies of this prospectus available to the selling stockholder for the purpose of satisfying the prospectus delivery requirements of the Securities Act.</w:t>
      </w:r>
    </w:p>
    <w:p>
      <w:pPr>
        <w:spacing w:after="0" w:line="162"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Under the Registration Rights Agreement, we have agreed to indemnify the selling stockholder against certain liabilities that they may incur in connection with the sale of the securities registered hereunder, including liabilities under the Securities Act, and to contribute to payments that the selling stockholder may be required to make with respect thereto. In addition, we and the selling stockholder may agree to indemnify any underwriter, broker-dealer or agent against certain liabilities related to the selling of the securities, including liabilities arising under the Securities Act.</w:t>
      </w:r>
    </w:p>
    <w:p>
      <w:pPr>
        <w:spacing w:after="0" w:line="16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Additionally, pursuant to the Registration Rights Agreement, we must use our commercially reasonable efforts to maintain the registration statement of which this prospectus constitutes a part effective, and to be supplemented and amended to the extent necessary to ensure that such registration statement is available or, if not available, that another registration statement is available, for the resale of all registrable securities, until all such securities have ceased to be registrable securities, as described in the Registration Rights Agreement.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Wilson Sonsini Goodrich &amp; Rosati, Professional Corporation, Austin, Texas. Additional legal matters may be passed on for us, or any underwriters, dealers or agents by counsel we will name in the applicable prospectus supplement.</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40" w:firstLine="440"/>
        <w:spacing w:after="0" w:line="277" w:lineRule="auto"/>
        <w:rPr>
          <w:sz w:val="20"/>
          <w:szCs w:val="20"/>
          <w:color w:val="auto"/>
        </w:rPr>
      </w:pPr>
      <w:r>
        <w:rPr>
          <w:rFonts w:ascii="Times New Roman" w:cs="Times New Roman" w:eastAsia="Times New Roman" w:hAnsi="Times New Roman"/>
          <w:sz w:val="17"/>
          <w:szCs w:val="17"/>
          <w:color w:val="auto"/>
        </w:rPr>
        <w:t>The consolidated financial statements of Bakkt Holdings, Inc., appearing in the Company’s Annual Report (Form 10-K) for the year ended December 31, 2022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financial statements of VPC Impact Acquisition Holdings as of October 14, 2021 and December 31, 2020 and for the period from January 1,</w:t>
      </w:r>
    </w:p>
    <w:p>
      <w:pPr>
        <w:spacing w:after="0" w:line="27" w:lineRule="exact"/>
        <w:rPr>
          <w:sz w:val="20"/>
          <w:szCs w:val="20"/>
          <w:color w:val="auto"/>
        </w:rPr>
      </w:pPr>
    </w:p>
    <w:p>
      <w:pPr>
        <w:ind w:left="120" w:right="380"/>
        <w:spacing w:after="0" w:line="253" w:lineRule="auto"/>
        <w:rPr>
          <w:sz w:val="20"/>
          <w:szCs w:val="20"/>
          <w:color w:val="auto"/>
        </w:rPr>
      </w:pPr>
      <w:r>
        <w:rPr>
          <w:rFonts w:ascii="Times New Roman" w:cs="Times New Roman" w:eastAsia="Times New Roman" w:hAnsi="Times New Roman"/>
          <w:sz w:val="18"/>
          <w:szCs w:val="18"/>
          <w:color w:val="auto"/>
        </w:rPr>
        <w:t>2021 through October 14, 2021 and for the period from July 31, 2020 (inception) through December 31, 2020 are incorporated by reference in this prospectus have been audited by WithumSmith+Brown, PC, the Company’s independent registered public accounting firm prior to the Business Combination, as set forth in their report thereon, and have been incorporated herein in reliance on such report given on the authority of said firm as experts in accounting and auditing.</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Bakkt Crypto Solutions, LLC (f/k/a Apex Crypto LLC) as of December 31, 2022 and 2021 and for the years then ended incorporated by reference in this prospectus from the Current Report on Form 8-K/A filed by Bakkt Holdings, Inc. on April 18, 2023 have been audited by RSM US LLP, independent auditors, as stated in their report thereon, incorporated herein by reference. Such financial statements have been so incorporated in this prospectus in reliance upon such report and upon the authority of such firm as experts in accounting and auditing.</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investors.bakkt.com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that are furnished rather than filed), until the offering of the securities under the registration statement of which this prospectus forms a part is terminated or completed:</w:t>
      </w:r>
    </w:p>
    <w:p>
      <w:pPr>
        <w:spacing w:after="0" w:line="94" w:lineRule="exact"/>
        <w:rPr>
          <w:sz w:val="20"/>
          <w:szCs w:val="20"/>
          <w:color w:val="auto"/>
        </w:rPr>
      </w:pPr>
    </w:p>
    <w:p>
      <w:pPr>
        <w:ind w:left="1080" w:right="4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49">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March 24, 2023 (our “Annual Report”), including the information specifically incorporated by reference into our Annual Report from our Definitive Proxy Statement on Schedule 14A, filed with the SEC on April 24, 2023;</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50">
        <w:r>
          <w:rPr>
            <w:rFonts w:ascii="Times New Roman" w:cs="Times New Roman" w:eastAsia="Times New Roman" w:hAnsi="Times New Roman"/>
            <w:sz w:val="18"/>
            <w:szCs w:val="18"/>
            <w:u w:val="single" w:color="auto"/>
            <w:color w:val="0000EE"/>
          </w:rPr>
          <w:t>Definitive Proxy Statement on Schedule 14A</w:t>
        </w:r>
      </w:hyperlink>
      <w:r>
        <w:rPr>
          <w:rFonts w:ascii="Times New Roman" w:cs="Times New Roman" w:eastAsia="Times New Roman" w:hAnsi="Times New Roman"/>
          <w:sz w:val="18"/>
          <w:szCs w:val="18"/>
          <w:color w:val="auto"/>
        </w:rPr>
        <w:t xml:space="preserve">, filed with the SEC on April 24, 2023, that are incorporated by reference into our </w:t>
      </w:r>
      <w:hyperlink r:id="rId51">
        <w:r>
          <w:rPr>
            <w:rFonts w:ascii="Times New Roman" w:cs="Times New Roman" w:eastAsia="Times New Roman" w:hAnsi="Times New Roman"/>
            <w:sz w:val="18"/>
            <w:szCs w:val="18"/>
            <w:u w:val="single" w:color="auto"/>
            <w:color w:val="0000EE"/>
          </w:rPr>
          <w:t>Annual Report</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9"/>
        </w:numPr>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auto"/>
          </w:rPr>
          <w:t xml:space="preserve">our Quarterly Reports on Form 10-Q for the quarterly periods ended March 31, 2023 and June 30, 2023, filed with the SEC on </w:t>
        </w:r>
        <w:r>
          <w:rPr>
            <w:rFonts w:ascii="Times New Roman" w:cs="Times New Roman" w:eastAsia="Times New Roman" w:hAnsi="Times New Roman"/>
            <w:sz w:val="18"/>
            <w:szCs w:val="18"/>
            <w:u w:val="single" w:color="auto"/>
            <w:color w:val="0000EE"/>
          </w:rPr>
          <w:t>May 11,</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3">
        <w:r>
          <w:rPr>
            <w:rFonts w:ascii="Times New Roman" w:cs="Times New Roman" w:eastAsia="Times New Roman" w:hAnsi="Times New Roman"/>
            <w:sz w:val="18"/>
            <w:szCs w:val="18"/>
            <w:u w:val="single" w:color="auto"/>
            <w:color w:val="0000EE"/>
          </w:rPr>
          <w:t>August 10, 2023</w:t>
        </w:r>
      </w:hyperlink>
      <w:hyperlink r:id="rId52">
        <w:r>
          <w:rPr>
            <w:rFonts w:ascii="Times New Roman" w:cs="Times New Roman" w:eastAsia="Times New Roman" w:hAnsi="Times New Roman"/>
            <w:sz w:val="18"/>
            <w:szCs w:val="18"/>
            <w:color w:val="000000"/>
          </w:rPr>
          <w:t xml:space="preserve">, respectively, and our Quarterly Report on Form 10-Q for the quarterly period ended September 30, 2023, </w:t>
        </w:r>
      </w:hyperlink>
      <w:r>
        <w:rPr>
          <w:rFonts w:ascii="Times New Roman" w:cs="Times New Roman" w:eastAsia="Times New Roman" w:hAnsi="Times New Roman"/>
          <w:sz w:val="18"/>
          <w:szCs w:val="18"/>
          <w:color w:val="0000EE"/>
        </w:rPr>
        <w:t xml:space="preserve">filed </w:t>
      </w:r>
      <w:r>
        <w:rPr>
          <w:rFonts w:ascii="Times New Roman" w:cs="Times New Roman" w:eastAsia="Times New Roman" w:hAnsi="Times New Roman"/>
          <w:sz w:val="18"/>
          <w:szCs w:val="18"/>
          <w:color w:val="000000"/>
        </w:rPr>
        <w:t xml:space="preserve">with the SEC on </w:t>
      </w:r>
      <w:hyperlink r:id="rId54">
        <w:r>
          <w:rPr>
            <w:rFonts w:ascii="Times New Roman" w:cs="Times New Roman" w:eastAsia="Times New Roman" w:hAnsi="Times New Roman"/>
            <w:sz w:val="18"/>
            <w:szCs w:val="18"/>
            <w:u w:val="single" w:color="auto"/>
            <w:color w:val="0000EE"/>
          </w:rPr>
          <w:t>November 14, 2023</w:t>
        </w:r>
      </w:hyperlink>
      <w:r>
        <w:rPr>
          <w:rFonts w:ascii="Times New Roman" w:cs="Times New Roman" w:eastAsia="Times New Roman" w:hAnsi="Times New Roman"/>
          <w:sz w:val="18"/>
          <w:szCs w:val="18"/>
          <w:color w:val="000000"/>
        </w:rPr>
        <w:t xml:space="preserve">, as amended by our Quarterly Reports on Form 10-Q/A filed with the SEC on </w:t>
      </w:r>
      <w:hyperlink r:id="rId55">
        <w:r>
          <w:rPr>
            <w:rFonts w:ascii="Times New Roman" w:cs="Times New Roman" w:eastAsia="Times New Roman" w:hAnsi="Times New Roman"/>
            <w:sz w:val="18"/>
            <w:szCs w:val="18"/>
            <w:u w:val="single" w:color="auto"/>
            <w:color w:val="0000EE"/>
          </w:rPr>
          <w:t>February 7, 2024</w:t>
        </w:r>
      </w:hyperlink>
      <w:r>
        <w:rPr>
          <w:rFonts w:ascii="Times New Roman" w:cs="Times New Roman" w:eastAsia="Times New Roman" w:hAnsi="Times New Roman"/>
          <w:sz w:val="18"/>
          <w:szCs w:val="18"/>
          <w:color w:val="000000"/>
        </w:rPr>
        <w:t xml:space="preserve">, </w:t>
      </w:r>
      <w:hyperlink r:id="rId56">
        <w:r>
          <w:rPr>
            <w:rFonts w:ascii="Times New Roman" w:cs="Times New Roman" w:eastAsia="Times New Roman" w:hAnsi="Times New Roman"/>
            <w:sz w:val="18"/>
            <w:szCs w:val="18"/>
            <w:u w:val="single" w:color="auto"/>
            <w:color w:val="0000EE"/>
          </w:rPr>
          <w:t>February 8,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7">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000000"/>
        </w:rPr>
        <w:t>;</w:t>
      </w:r>
    </w:p>
    <w:p>
      <w:pPr>
        <w:spacing w:after="0" w:line="85" w:lineRule="exact"/>
        <w:rPr>
          <w:rFonts w:ascii="Times New Roman" w:cs="Times New Roman" w:eastAsia="Times New Roman" w:hAnsi="Times New Roman"/>
          <w:sz w:val="18"/>
          <w:szCs w:val="18"/>
          <w:color w:val="0000EE"/>
        </w:rPr>
      </w:pPr>
    </w:p>
    <w:p>
      <w:pPr>
        <w:ind w:left="1080" w:right="200" w:hanging="424"/>
        <w:spacing w:after="0" w:line="282" w:lineRule="auto"/>
        <w:tabs>
          <w:tab w:leader="none" w:pos="1080" w:val="left"/>
        </w:tabs>
        <w:numPr>
          <w:ilvl w:val="0"/>
          <w:numId w:val="19"/>
        </w:numPr>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November 3,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19, 2023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June 9,</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on Form 8-K/A filed with the SEC on</w:t>
        </w:r>
        <w:r>
          <w:rPr>
            <w:rFonts w:ascii="Times New Roman" w:cs="Times New Roman" w:eastAsia="Times New Roman" w:hAnsi="Times New Roman"/>
            <w:sz w:val="18"/>
            <w:szCs w:val="18"/>
            <w:color w:val="0000EE"/>
          </w:rPr>
          <w:t xml:space="preserve"> </w:t>
        </w:r>
      </w:hyperlink>
      <w:hyperlink r:id="rId59">
        <w:r>
          <w:rPr>
            <w:rFonts w:ascii="Times New Roman" w:cs="Times New Roman" w:eastAsia="Times New Roman" w:hAnsi="Times New Roman"/>
            <w:sz w:val="18"/>
            <w:szCs w:val="18"/>
            <w:u w:val="single" w:color="auto"/>
            <w:color w:val="0000EE"/>
          </w:rPr>
          <w:t>April 5, 2022</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0">
        <w:r>
          <w:rPr>
            <w:rFonts w:ascii="Times New Roman" w:cs="Times New Roman" w:eastAsia="Times New Roman" w:hAnsi="Times New Roman"/>
            <w:sz w:val="18"/>
            <w:szCs w:val="18"/>
            <w:u w:val="single" w:color="auto"/>
            <w:color w:val="0000EE"/>
          </w:rPr>
          <w:t xml:space="preserve">April 18, 2023 </w:t>
        </w:r>
      </w:hyperlink>
      <w:hyperlink r:id="rId58">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1">
        <w:r>
          <w:rPr>
            <w:rFonts w:ascii="Times New Roman" w:cs="Times New Roman" w:eastAsia="Times New Roman" w:hAnsi="Times New Roman"/>
            <w:sz w:val="18"/>
            <w:szCs w:val="18"/>
            <w:u w:val="single" w:color="auto"/>
            <w:color w:val="0000EE"/>
          </w:rPr>
          <w:t>February 14, 2024</w:t>
        </w:r>
      </w:hyperlink>
      <w:hyperlink r:id="rId58">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the Registration Statement on Form 8-A relating thereto, filed on </w:t>
      </w:r>
      <w:hyperlink r:id="rId62">
        <w:r>
          <w:rPr>
            <w:rFonts w:ascii="Times New Roman" w:cs="Times New Roman" w:eastAsia="Times New Roman" w:hAnsi="Times New Roman"/>
            <w:sz w:val="18"/>
            <w:szCs w:val="18"/>
            <w:u w:val="single" w:color="auto"/>
            <w:color w:val="0000EE"/>
          </w:rPr>
          <w:t>October 15, 2021</w:t>
        </w:r>
      </w:hyperlink>
      <w:r>
        <w:rPr>
          <w:rFonts w:ascii="Times New Roman" w:cs="Times New Roman" w:eastAsia="Times New Roman" w:hAnsi="Times New Roman"/>
          <w:sz w:val="18"/>
          <w:szCs w:val="18"/>
          <w:color w:val="auto"/>
        </w:rPr>
        <w:t>, including any amendment or report filed for the purpose of updating such description.</w:t>
      </w:r>
    </w:p>
    <w:p>
      <w:pPr>
        <w:spacing w:after="0" w:line="162" w:lineRule="exact"/>
        <w:rPr>
          <w:rFonts w:ascii="Times New Roman" w:cs="Times New Roman" w:eastAsia="Times New Roman" w:hAnsi="Times New Roman"/>
          <w:sz w:val="18"/>
          <w:szCs w:val="18"/>
          <w:color w:val="0000EE"/>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21"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9"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07" w:lineRule="exact"/>
        <w:rPr>
          <w:rFonts w:ascii="Times New Roman" w:cs="Times New Roman" w:eastAsia="Times New Roman" w:hAnsi="Times New Roman"/>
          <w:sz w:val="18"/>
          <w:szCs w:val="18"/>
          <w:color w:val="0000EE"/>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94"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estimated expenses in connection with the issuance and distribution of the securities being registered:</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3"/>
        </w:trPr>
        <w:tc>
          <w:tcPr>
            <w:tcW w:w="650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 be Paid</w:t>
            </w: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5"/>
              </w:rPr>
              <w:t>$6,903.29(1)</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$6,903.29</w:t>
            </w:r>
          </w:p>
        </w:tc>
        <w:tc>
          <w:tcPr>
            <w:tcW w:w="2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w:t>
      </w:r>
    </w:p>
    <w:p>
      <w:pPr>
        <w:spacing w:after="0" w:line="27"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paid.</w:t>
      </w:r>
    </w:p>
    <w:p>
      <w:pPr>
        <w:spacing w:after="0" w:line="35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(“DGCL”) authorizes a corporation’s board of directors to grant, and authorizes a court to award, indemnity to officers, directors and other corporate agents.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w:t>
      </w:r>
    </w:p>
    <w:p>
      <w:pPr>
        <w:spacing w:after="0" w:line="8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5"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our directors will be further limited to the greatest extent permitted by the DGCL.</w:t>
      </w:r>
    </w:p>
    <w:p>
      <w:pPr>
        <w:spacing w:after="0" w:line="15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our By-Laws provide that we will indemnify our directors and officers, and may indemnify our employees, agents and any other persons, to the fullest extent permitted by the DGCL. Our By-Laws also provide that we must advance expenses incurred by or on behalf of a director or officer in advance of the final disposition of any action or proceeding, subject to limited exceptions.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76"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included in our Certificate of Incorporation,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2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20" w:type="dxa"/>
            <w:vAlign w:val="bottom"/>
            <w:vMerge w:val="restart"/>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9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20" w:right="200" w:hanging="1104"/>
        <w:spacing w:after="0" w:line="282" w:lineRule="auto"/>
        <w:tabs>
          <w:tab w:leader="none" w:pos="203" w:val="left"/>
        </w:tabs>
        <w:numPr>
          <w:ilvl w:val="0"/>
          <w:numId w:val="2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2.1*</w:t>
      </w:r>
      <w:hyperlink r:id="rId66">
        <w:r>
          <w:rPr>
            <w:rFonts w:ascii="Times New Roman" w:cs="Times New Roman" w:eastAsia="Times New Roman" w:hAnsi="Times New Roman"/>
            <w:sz w:val="18"/>
            <w:szCs w:val="18"/>
            <w:u w:val="single" w:color="auto"/>
            <w:color w:val="0000EE"/>
          </w:rPr>
          <w:t>Membership Interest Purchase Agreement, dated as of November 2, 2022, by and among the Company, Bakkt Marketplace, Seller and</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Target.</w:t>
        </w:r>
      </w:hyperlink>
    </w:p>
    <w:p>
      <w:pPr>
        <w:spacing w:after="0" w:line="40"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2.2</w:t>
            </w:r>
          </w:p>
        </w:tc>
        <w:tc>
          <w:tcPr>
            <w:tcW w:w="93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Amendment No. 1 To Membership Interest Purchase Agreement, dated as of March 30, 2023, by and among the Company, Bakkt</w:t>
              </w:r>
            </w:hyperlink>
          </w:p>
        </w:tc>
        <w:tc>
          <w:tcPr>
            <w:tcW w:w="480" w:type="dxa"/>
            <w:vAlign w:val="bottom"/>
            <w:gridSpan w:val="4"/>
          </w:tcPr>
          <w:p>
            <w:pPr>
              <w:spacing w:after="0"/>
              <w:rPr>
                <w:sz w:val="18"/>
                <w:szCs w:val="18"/>
                <w:color w:val="auto"/>
              </w:rPr>
            </w:pPr>
          </w:p>
        </w:tc>
      </w:tr>
      <w:tr>
        <w:trPr>
          <w:trHeight w:val="196"/>
        </w:trPr>
        <w:tc>
          <w:tcPr>
            <w:tcW w:w="1100" w:type="dxa"/>
            <w:vAlign w:val="bottom"/>
          </w:tcPr>
          <w:p>
            <w:pPr>
              <w:spacing w:after="0"/>
              <w:rPr>
                <w:sz w:val="17"/>
                <w:szCs w:val="17"/>
                <w:color w:val="auto"/>
              </w:rPr>
            </w:pPr>
          </w:p>
        </w:tc>
        <w:tc>
          <w:tcPr>
            <w:tcW w:w="9860" w:type="dxa"/>
            <w:vAlign w:val="bottom"/>
            <w:gridSpan w:val="11"/>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Marketplace, Seller and Target.</w:t>
              </w:r>
            </w:hyperlink>
          </w:p>
        </w:tc>
      </w:tr>
      <w:tr>
        <w:trPr>
          <w:trHeight w:val="20"/>
        </w:trPr>
        <w:tc>
          <w:tcPr>
            <w:tcW w:w="110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2.3</w:t>
            </w:r>
          </w:p>
        </w:tc>
        <w:tc>
          <w:tcPr>
            <w:tcW w:w="9860" w:type="dxa"/>
            <w:vAlign w:val="bottom"/>
            <w:gridSpan w:val="11"/>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Amendment to Agreement and Plan of Merger, dated September 29, 2021 by and among the Company, Merger Sub, and the Company</w:t>
              </w:r>
            </w:hyperlink>
          </w:p>
        </w:tc>
      </w:tr>
      <w:tr>
        <w:trPr>
          <w:trHeight w:val="196"/>
        </w:trPr>
        <w:tc>
          <w:tcPr>
            <w:tcW w:w="1100" w:type="dxa"/>
            <w:vAlign w:val="bottom"/>
          </w:tcPr>
          <w:p>
            <w:pPr>
              <w:spacing w:after="0"/>
              <w:rPr>
                <w:sz w:val="17"/>
                <w:szCs w:val="17"/>
                <w:color w:val="auto"/>
              </w:rPr>
            </w:pPr>
          </w:p>
        </w:tc>
        <w:tc>
          <w:tcPr>
            <w:tcW w:w="82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(incorporated by reference to Exhibit 2.1 to the Company’s Form 8-K filed with the SEC on September 30, 2021).</w:t>
              </w:r>
            </w:hyperlink>
          </w:p>
        </w:tc>
        <w:tc>
          <w:tcPr>
            <w:tcW w:w="1500" w:type="dxa"/>
            <w:vAlign w:val="bottom"/>
            <w:tcBorders>
              <w:top w:val="single" w:sz="8" w:color="0000EE"/>
            </w:tcBorders>
            <w:gridSpan w:val="4"/>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9860" w:type="dxa"/>
            <w:vAlign w:val="bottom"/>
            <w:gridSpan w:val="11"/>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Certificate of Incorporation of the Company, as currently in effect (incorporated by reference to Exhibit 3.1 to the Company’s Form 8-K</w:t>
              </w:r>
            </w:hyperlink>
          </w:p>
        </w:tc>
      </w:tr>
      <w:tr>
        <w:trPr>
          <w:trHeight w:val="196"/>
        </w:trPr>
        <w:tc>
          <w:tcPr>
            <w:tcW w:w="1100" w:type="dxa"/>
            <w:vAlign w:val="bottom"/>
          </w:tcPr>
          <w:p>
            <w:pPr>
              <w:spacing w:after="0"/>
              <w:rPr>
                <w:sz w:val="17"/>
                <w:szCs w:val="17"/>
                <w:color w:val="auto"/>
              </w:rPr>
            </w:pPr>
          </w:p>
        </w:tc>
        <w:tc>
          <w:tcPr>
            <w:tcW w:w="98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filed with the SEC on October 21, 2021).</w:t>
              </w:r>
            </w:hyperlink>
          </w:p>
        </w:tc>
        <w:tc>
          <w:tcPr>
            <w:tcW w:w="6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98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By-Laws of the Company, as currently in effect (incorporated by reference to Exhibit 3.2 to the Company’s Form 8-K filed with the SEC</w:t>
              </w:r>
            </w:hyperlink>
          </w:p>
        </w:tc>
      </w:tr>
      <w:tr>
        <w:trPr>
          <w:trHeight w:val="196"/>
        </w:trPr>
        <w:tc>
          <w:tcPr>
            <w:tcW w:w="1100" w:type="dxa"/>
            <w:vAlign w:val="bottom"/>
          </w:tcPr>
          <w:p>
            <w:pPr>
              <w:spacing w:after="0"/>
              <w:rPr>
                <w:sz w:val="17"/>
                <w:szCs w:val="17"/>
                <w:color w:val="auto"/>
              </w:rPr>
            </w:pPr>
          </w:p>
        </w:tc>
        <w:tc>
          <w:tcPr>
            <w:tcW w:w="9860" w:type="dxa"/>
            <w:vAlign w:val="bottom"/>
            <w:gridSpan w:val="11"/>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on October 21, 2021).</w:t>
              </w:r>
            </w:hyperlink>
          </w:p>
        </w:tc>
      </w:tr>
      <w:tr>
        <w:trPr>
          <w:trHeight w:val="20"/>
        </w:trPr>
        <w:tc>
          <w:tcPr>
            <w:tcW w:w="110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96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Specimen Class A Common Stock Certificate of the Company (incorporated by reference to Exhibit 4.1 to the Company’s Form 8-K</w:t>
              </w:r>
            </w:hyperlink>
          </w:p>
        </w:tc>
        <w:tc>
          <w:tcPr>
            <w:tcW w:w="260" w:type="dxa"/>
            <w:vAlign w:val="bottom"/>
            <w:gridSpan w:val="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860" w:type="dxa"/>
            <w:vAlign w:val="bottom"/>
            <w:gridSpan w:val="11"/>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filed with the SEC on October 21, 2021).</w:t>
              </w:r>
            </w:hyperlink>
          </w:p>
        </w:tc>
      </w:tr>
      <w:tr>
        <w:trPr>
          <w:trHeight w:val="20"/>
        </w:trPr>
        <w:tc>
          <w:tcPr>
            <w:tcW w:w="1100" w:type="dxa"/>
            <w:vAlign w:val="bottom"/>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92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Registration Rights Agreement, dated as of April 1, 2023, by and between Bakkt Holdings, Inc. and Apex Fintech Solutions Inc.</w:t>
              </w:r>
            </w:hyperlink>
          </w:p>
        </w:tc>
        <w:tc>
          <w:tcPr>
            <w:tcW w:w="600" w:type="dxa"/>
            <w:vAlign w:val="bottom"/>
            <w:gridSpan w:val="5"/>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7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(incorporated by reference to Exhibit 4.1 to the Company’s Form 8-K filed with the SEC on April 3, 2023).</w:t>
              </w:r>
            </w:hyperlink>
          </w:p>
        </w:tc>
        <w:tc>
          <w:tcPr>
            <w:tcW w:w="2120" w:type="dxa"/>
            <w:vAlign w:val="bottom"/>
            <w:gridSpan w:val="7"/>
          </w:tcPr>
          <w:p>
            <w:pPr>
              <w:spacing w:after="0"/>
              <w:rPr>
                <w:sz w:val="17"/>
                <w:szCs w:val="17"/>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180" w:type="dxa"/>
            <w:vAlign w:val="bottom"/>
            <w:gridSpan w:val="9"/>
            <w:vMerge w:val="restart"/>
          </w:tcPr>
          <w:p>
            <w:pPr>
              <w:ind w:left="2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18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640" w:type="dxa"/>
            <w:vAlign w:val="bottom"/>
          </w:tcPr>
          <w:p>
            <w:pPr>
              <w:spacing w:after="0"/>
              <w:rPr>
                <w:sz w:val="22"/>
                <w:szCs w:val="22"/>
                <w:color w:val="auto"/>
              </w:rPr>
            </w:pPr>
          </w:p>
        </w:tc>
        <w:tc>
          <w:tcPr>
            <w:tcW w:w="9800" w:type="dxa"/>
            <w:vAlign w:val="bottom"/>
            <w:gridSpan w:val="11"/>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Amendment Agreement, dated as of August 9, 2023, by and among Bakkt Holdings, Inc., Apex Fintech Solutions Inc. and PEAK6</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3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Investments LLC (incorporated by reference to Exhibit 4.2 to the Company’s Form 10-Q filed with the SEC on August 10, 2023).</w:t>
              </w:r>
            </w:hyperlink>
          </w:p>
        </w:tc>
        <w:tc>
          <w:tcPr>
            <w:tcW w:w="6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88"/>
              </w:rPr>
              <w:t>    5.1**</w:t>
            </w:r>
          </w:p>
        </w:tc>
        <w:tc>
          <w:tcPr>
            <w:tcW w:w="640" w:type="dxa"/>
            <w:vAlign w:val="bottom"/>
          </w:tcPr>
          <w:p>
            <w:pPr>
              <w:spacing w:after="0"/>
              <w:rPr>
                <w:sz w:val="24"/>
                <w:szCs w:val="24"/>
                <w:color w:val="auto"/>
              </w:rPr>
            </w:pPr>
          </w:p>
        </w:tc>
        <w:tc>
          <w:tcPr>
            <w:tcW w:w="52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Opinion of Wilson Sonsini Goodrich &amp; Rosati, Professional Corporation</w:t>
              </w:r>
            </w:hyperlink>
          </w:p>
        </w:tc>
        <w:tc>
          <w:tcPr>
            <w:tcW w:w="45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640" w:type="dxa"/>
            <w:vAlign w:val="bottom"/>
          </w:tcPr>
          <w:p>
            <w:pPr>
              <w:spacing w:after="0"/>
              <w:rPr>
                <w:sz w:val="24"/>
                <w:szCs w:val="24"/>
                <w:color w:val="auto"/>
              </w:rPr>
            </w:pPr>
          </w:p>
        </w:tc>
        <w:tc>
          <w:tcPr>
            <w:tcW w:w="68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Ernst &amp; Young LLP, independent registered public accounting firm of the Company</w:t>
            </w:r>
          </w:p>
        </w:tc>
        <w:tc>
          <w:tcPr>
            <w:tcW w:w="29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640" w:type="dxa"/>
            <w:vAlign w:val="bottom"/>
          </w:tcPr>
          <w:p>
            <w:pPr>
              <w:spacing w:after="0"/>
              <w:rPr>
                <w:sz w:val="24"/>
                <w:szCs w:val="24"/>
                <w:color w:val="auto"/>
              </w:rPr>
            </w:pPr>
          </w:p>
        </w:tc>
        <w:tc>
          <w:tcPr>
            <w:tcW w:w="88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WithumSmith+Brown, PC, independent registered public accounting firm of VPC Impact Acquisition Holdings</w:t>
            </w:r>
          </w:p>
        </w:tc>
        <w:tc>
          <w:tcPr>
            <w:tcW w:w="9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23.3</w:t>
            </w:r>
          </w:p>
        </w:tc>
        <w:tc>
          <w:tcPr>
            <w:tcW w:w="640" w:type="dxa"/>
            <w:vAlign w:val="bottom"/>
          </w:tcPr>
          <w:p>
            <w:pPr>
              <w:spacing w:after="0"/>
              <w:rPr>
                <w:sz w:val="24"/>
                <w:szCs w:val="24"/>
                <w:color w:val="auto"/>
              </w:rPr>
            </w:pPr>
          </w:p>
        </w:tc>
        <w:tc>
          <w:tcPr>
            <w:tcW w:w="76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RSM US LLP, independent auditors of Bakkt Crypto Solutions, LLC (f/k/a Apex Crypto LLC)</w:t>
            </w:r>
          </w:p>
        </w:tc>
        <w:tc>
          <w:tcPr>
            <w:tcW w:w="2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88"/>
              </w:rPr>
              <w:t>  23.4**</w:t>
            </w:r>
          </w:p>
        </w:tc>
        <w:tc>
          <w:tcPr>
            <w:tcW w:w="640" w:type="dxa"/>
            <w:vAlign w:val="bottom"/>
          </w:tcPr>
          <w:p>
            <w:pPr>
              <w:spacing w:after="0"/>
              <w:rPr>
                <w:sz w:val="24"/>
                <w:szCs w:val="24"/>
                <w:color w:val="auto"/>
              </w:rPr>
            </w:pPr>
          </w:p>
        </w:tc>
        <w:tc>
          <w:tcPr>
            <w:tcW w:w="89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Consent of Wilson Sonsini Goodrich &amp; Rosati, Professional Corporation (included in the opinion filed as Exhibit 5.1 to this</w:t>
              </w:r>
            </w:hyperlink>
          </w:p>
        </w:tc>
        <w:tc>
          <w:tcPr>
            <w:tcW w:w="8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registration statement)</w:t>
              </w:r>
            </w:hyperlink>
          </w:p>
        </w:tc>
        <w:tc>
          <w:tcPr>
            <w:tcW w:w="81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88"/>
              </w:rPr>
              <w:t>  24.1**</w:t>
            </w:r>
          </w:p>
        </w:tc>
        <w:tc>
          <w:tcPr>
            <w:tcW w:w="640" w:type="dxa"/>
            <w:vAlign w:val="bottom"/>
          </w:tcPr>
          <w:p>
            <w:pPr>
              <w:spacing w:after="0"/>
              <w:rPr>
                <w:sz w:val="24"/>
                <w:szCs w:val="24"/>
                <w:color w:val="auto"/>
              </w:rPr>
            </w:pPr>
          </w:p>
        </w:tc>
        <w:tc>
          <w:tcPr>
            <w:tcW w:w="9800" w:type="dxa"/>
            <w:vAlign w:val="bottom"/>
            <w:gridSpan w:val="11"/>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Powers of Attorney (included on the signature page to this registration statement)</w:t>
              </w:r>
            </w:hyperlink>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640" w:type="dxa"/>
            <w:vAlign w:val="bottom"/>
          </w:tcPr>
          <w:p>
            <w:pPr>
              <w:spacing w:after="0"/>
              <w:rPr>
                <w:sz w:val="24"/>
                <w:szCs w:val="24"/>
                <w:color w:val="auto"/>
              </w:rPr>
            </w:pPr>
          </w:p>
        </w:tc>
        <w:tc>
          <w:tcPr>
            <w:tcW w:w="586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Filing Fee Table</w:t>
              </w:r>
            </w:hyperlink>
          </w:p>
        </w:tc>
        <w:tc>
          <w:tcPr>
            <w:tcW w:w="39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7715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1" w:lineRule="exact"/>
        <w:rPr>
          <w:sz w:val="20"/>
          <w:szCs w:val="20"/>
          <w:color w:val="auto"/>
        </w:rPr>
      </w:pPr>
    </w:p>
    <w:p>
      <w:pPr>
        <w:ind w:left="540" w:right="80" w:hanging="424"/>
        <w:spacing w:after="0" w:line="261"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agreement have been omitted pursuant to Item 601(b)(2) of Regulation S-K. A copy of any omitted schedule and/or exhibit will be furnished to the SEC upon request.</w:t>
      </w:r>
    </w:p>
    <w:p>
      <w:pPr>
        <w:ind w:left="540" w:hanging="424"/>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35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35" w:lineRule="exact"/>
        <w:rPr>
          <w:sz w:val="20"/>
          <w:szCs w:val="20"/>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120" w:right="20" w:firstLine="1428"/>
        <w:spacing w:after="0" w:line="255" w:lineRule="auto"/>
        <w:tabs>
          <w:tab w:leader="none" w:pos="1817"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20" w:right="100" w:firstLine="1428"/>
        <w:spacing w:after="0" w:line="282" w:lineRule="auto"/>
        <w:tabs>
          <w:tab w:leader="none" w:pos="1867"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820"/>
        <w:spacing w:after="0" w:line="277"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paragraphs (a)(1)(i), (a)(1)(ii) and (a)(1)(iii) do not apply if the information required to be included in a post-effective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amendment by those paragraphs is contained in reports filed with or furnished to the Commission by the registrant pursuant to Section 13 or</w:t>
      </w:r>
    </w:p>
    <w:p>
      <w:pPr>
        <w:spacing w:after="0" w:line="1"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firstLine="987"/>
        <w:spacing w:after="0" w:line="266" w:lineRule="auto"/>
        <w:tabs>
          <w:tab w:leader="none" w:pos="136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6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left="120" w:firstLine="1428"/>
        <w:spacing w:after="0" w:line="282" w:lineRule="auto"/>
        <w:tabs>
          <w:tab w:leader="none" w:pos="176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120" w:right="20" w:firstLine="1428"/>
        <w:spacing w:after="0" w:line="253" w:lineRule="auto"/>
        <w:tabs>
          <w:tab w:leader="none" w:pos="181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w:t>
      </w:r>
    </w:p>
    <w:p>
      <w:pPr>
        <w:spacing w:after="0" w:line="27" w:lineRule="exact"/>
        <w:rPr>
          <w:sz w:val="20"/>
          <w:szCs w:val="20"/>
          <w:color w:val="auto"/>
        </w:rPr>
      </w:pPr>
    </w:p>
    <w:p>
      <w:pPr>
        <w:ind w:left="120" w:right="340"/>
        <w:spacing w:after="0" w:line="277" w:lineRule="auto"/>
        <w:rPr>
          <w:sz w:val="20"/>
          <w:szCs w:val="20"/>
          <w:color w:val="auto"/>
        </w:rPr>
      </w:pPr>
      <w:r>
        <w:rPr>
          <w:rFonts w:ascii="Times New Roman" w:cs="Times New Roman" w:eastAsia="Times New Roman" w:hAnsi="Times New Roman"/>
          <w:sz w:val="17"/>
          <w:szCs w:val="17"/>
          <w:color w:val="auto"/>
        </w:rPr>
        <w:t>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9" w:lineRule="exact"/>
        <w:rPr>
          <w:sz w:val="20"/>
          <w:szCs w:val="20"/>
          <w:color w:val="auto"/>
        </w:rPr>
      </w:pPr>
    </w:p>
    <w:p>
      <w:pPr>
        <w:ind w:left="120" w:right="40" w:firstLine="987"/>
        <w:spacing w:after="0" w:line="254" w:lineRule="auto"/>
        <w:tabs>
          <w:tab w:leader="none" w:pos="13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Alpharetta, State of Georgia, on February 14, 2024.</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18415</wp:posOffset>
            </wp:positionV>
            <wp:extent cx="25971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Gavin Michael</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February 14, 2024.</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576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Gavin Michael</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Gavin Michael</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Karen Alexander</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Karen Alexander</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Goodroe</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Charles Goodroe</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Sean Collins</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C. Clifton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De’Ana Dow</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Michelle J. Goldberg</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Lumb</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A. Main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Jill Simeone</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Gordon Watson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bl>
    <w:p>
      <w:pPr>
        <w:spacing w:after="0" w:line="200" w:lineRule="exact"/>
        <w:rPr>
          <w:sz w:val="20"/>
          <w:szCs w:val="20"/>
          <w:color w:val="auto"/>
        </w:rPr>
      </w:pP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24860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Attorney-in-Fact</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40"/>
          </w:cols>
          <w:pgMar w:left="320" w:top="455" w:right="4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Amendment No. 2 to the Form S-3 Registration Statement and related Prospectus of Bakkt Holdings, Inc. for the registration of the 46,402,403 shares of Class A Common Stock and to the incorporation by reference therein of our report dated March 24, 2023, with respect to the consolidated financial statements of Bakkt Holdings Inc. included in its Annual Report (Form 10-K) for the year ended December 31, 2022,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ectPr>
          <w:pgSz w:w="11900" w:h="16838" w:orient="portrait"/>
          <w:cols w:equalWidth="0" w:num="1">
            <w:col w:w="11020"/>
          </w:cols>
          <w:pgMar w:left="440" w:top="117" w:right="4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Amendment No. 2 to the Registration Statement to Form S-3 (File No. 333-271438) of our report dated March 28, 2022, relating to the consolidated financial statements of Bakkt Holdings, Inc. (f/k/a VPC Impact Acquisition Holdings), which is contained in Exhibit 99.1 to Form 8-K (File No. 001-39544), filed on April 5, 2022. We also consent to the reference to our firm under the caption “Experts” in the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ectPr>
          <w:pgSz w:w="11900" w:h="16838" w:orient="portrait"/>
          <w:cols w:equalWidth="0" w:num="1">
            <w:col w:w="11020"/>
          </w:cols>
          <w:pgMar w:left="440" w:top="117" w:right="4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Amendment No. 2 to the Registration Statement (No.333-271438) on Form S-3 of Bakkt Holdings, Inc. of our report dated March 29, 2023, except for the second paragraph of Note 16 as to which the date is April 18, 2023, relating to the financial statements of Apex Crypto LLC, appearing in the Current Report on Form 8-K/A filed by Bakkt Holdings, Inc. on April 18,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of our firm under the heading “Experts” in such Registration Statement.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678"/>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6">
    <w:nsid w:val="71F32454"/>
    <w:multiLevelType w:val="hybridMultilevel"/>
    <w:lvl w:ilvl="0">
      <w:lvlJc w:val="left"/>
      <w:lvlText w:val="(%1)"/>
      <w:numFmt w:val="decimal"/>
      <w:start w:val="2"/>
    </w:lvl>
    <w:lvl w:ilvl="1">
      <w:lvlJc w:val="left"/>
      <w:lvlText w:val="(%2)"/>
      <w:numFmt w:val="lowerRoman"/>
      <w:start w:val="1"/>
    </w:lvl>
  </w:abstractNum>
  <w:abstractNum w:abstractNumId="27">
    <w:nsid w:val="2CA88611"/>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73" Type="http://schemas.openxmlformats.org/officeDocument/2006/relationships/image" Target="media/image45.png"/><Relationship Id="rId78" Type="http://schemas.openxmlformats.org/officeDocument/2006/relationships/image" Target="media/image46.png"/><Relationship Id="rId79" Type="http://schemas.openxmlformats.org/officeDocument/2006/relationships/image" Target="media/image47.png"/><Relationship Id="rId80" Type="http://schemas.openxmlformats.org/officeDocument/2006/relationships/image" Target="media/image48.png"/><Relationship Id="rId81" Type="http://schemas.openxmlformats.org/officeDocument/2006/relationships/image" Target="media/image49.png"/><Relationship Id="rId82" Type="http://schemas.openxmlformats.org/officeDocument/2006/relationships/image" Target="media/image50.png"/><Relationship Id="rId49" Type="http://schemas.openxmlformats.org/officeDocument/2006/relationships/hyperlink" Target="http://www.sec.gov/ix?doc=/Archives/edgar/data/1820302/000182030223000016/bakkt-20221231.htm" TargetMode="External"/><Relationship Id="rId50" Type="http://schemas.openxmlformats.org/officeDocument/2006/relationships/hyperlink" Target="http://www.sec.gov/Archives/edgar/data/1820302/000182030223000043/bakkt-2023proxy41923.htm" TargetMode="External"/><Relationship Id="rId51" Type="http://schemas.openxmlformats.org/officeDocument/2006/relationships/hyperlink" Target="http://www.sec.gov/Archives/edgar/data/1820302/000182030223000016/bakkt-20221231.htm" TargetMode="External"/><Relationship Id="rId52" Type="http://schemas.openxmlformats.org/officeDocument/2006/relationships/hyperlink" Target="http://www.sec.gov/ix?doc=/Archives/edgar/data/1820302/000182030223000062/bakkt-20230331.htm" TargetMode="External"/><Relationship Id="rId53" Type="http://schemas.openxmlformats.org/officeDocument/2006/relationships/hyperlink" Target="http://www.sec.gov/ix?doc=/Archives/edgar/data/1820302/000182030223000080/bakkt-20230630.htm" TargetMode="External"/><Relationship Id="rId54" Type="http://schemas.openxmlformats.org/officeDocument/2006/relationships/hyperlink" Target="http://www.sec.gov/ix?doc=/Archives/edgar/data/1820302/000182030223000091/bakkt-20230930.htm" TargetMode="External"/><Relationship Id="rId55" Type="http://schemas.openxmlformats.org/officeDocument/2006/relationships/hyperlink" Target="http://www.sec.gov/ix?doc=/Archives/edgar/data/1820302/000182030224000011/bakkt-20230930.htm" TargetMode="External"/><Relationship Id="rId56" Type="http://schemas.openxmlformats.org/officeDocument/2006/relationships/hyperlink" Target="http://www.sec.gov/ix?doc=/Archives/edgar/data/1820302/000182030224000014/bakkt-20230930.htm" TargetMode="External"/><Relationship Id="rId57" Type="http://schemas.openxmlformats.org/officeDocument/2006/relationships/hyperlink" Target="http://www.sec.gov/ix?doc=/Archives/edgar/data/1820302/000182030224000025/bakkt-20230930.htm" TargetMode="External"/><Relationship Id="rId58" Type="http://schemas.openxmlformats.org/officeDocument/2006/relationships/hyperlink" Target="http://www.sec.gov/ix?doc=/Archives/edgar/data/1820302/000182030223000065/bakkt-20230606.htm" TargetMode="External"/><Relationship Id="rId59" Type="http://schemas.openxmlformats.org/officeDocument/2006/relationships/hyperlink" Target="http://www.sec.gov/ix?doc=/Archives/edgar/data/0001820302/000119312522096343/d322705d8ka.htm" TargetMode="External"/><Relationship Id="rId60" Type="http://schemas.openxmlformats.org/officeDocument/2006/relationships/hyperlink" Target="http://www.sec.gov/ix?doc=/Archives/edgar/data/0001820302/000182030223000030/bakkt-20230401.htm" TargetMode="External"/><Relationship Id="rId61" Type="http://schemas.openxmlformats.org/officeDocument/2006/relationships/hyperlink" Target="http://www.sec.gov/ix?doc=/Archives/edgar/data/0001820302/000182030224000026/bakkt-20230401.htm" TargetMode="External"/><Relationship Id="rId62" Type="http://schemas.openxmlformats.org/officeDocument/2006/relationships/hyperlink" Target="http://www.sec.gov/Archives/edgar/data/1820302/000119312521299620/d211377d8a12b.htm" TargetMode="External"/><Relationship Id="rId66" Type="http://schemas.openxmlformats.org/officeDocument/2006/relationships/hyperlink" Target="http://www.sec.gov/Archives/edgar/data/0001820302/000119312522276398/d408337dex21.htm" TargetMode="External"/><Relationship Id="rId67" Type="http://schemas.openxmlformats.org/officeDocument/2006/relationships/hyperlink" Target="http://www.sec.gov/Archives/edgar/data/0001820302/000119312523089016/d482123dex22.htm" TargetMode="External"/><Relationship Id="rId68" Type="http://schemas.openxmlformats.org/officeDocument/2006/relationships/hyperlink" Target="http://www.sec.gov/Archives/edgar/data/1820302/000119312521286927/d204551dex21.htm" TargetMode="External"/><Relationship Id="rId69" Type="http://schemas.openxmlformats.org/officeDocument/2006/relationships/hyperlink" Target="http://www.sec.gov/Archives/edgar/data/1820302/000119312521303985/d219325dex31.htm" TargetMode="External"/><Relationship Id="rId70" Type="http://schemas.openxmlformats.org/officeDocument/2006/relationships/hyperlink" Target="http://www.sec.gov/Archives/edgar/data/1820302/000119312521303985/d219325dex32.htm" TargetMode="External"/><Relationship Id="rId71" Type="http://schemas.openxmlformats.org/officeDocument/2006/relationships/hyperlink" Target="http://www.sec.gov/Archives/edgar/data/0001820302/000119312521303985/d219325dex41.htm" TargetMode="External"/><Relationship Id="rId72" Type="http://schemas.openxmlformats.org/officeDocument/2006/relationships/hyperlink" Target="http://www.sec.gov/Archives/edgar/data/1820302/000119312523089016/d482123dex41.htm" TargetMode="External"/><Relationship Id="rId74" Type="http://schemas.openxmlformats.org/officeDocument/2006/relationships/hyperlink" Target="http://www.sec.gov/Archives/edgar/data/1820302/000182030223000080/exhibit42amendmentagreemen.htm" TargetMode="External"/><Relationship Id="rId75" Type="http://schemas.openxmlformats.org/officeDocument/2006/relationships/hyperlink" Target="http://www.sec.gov/Archives/edgar/data/0001820302/000119312523115646/d485936dex51.htm" TargetMode="External"/><Relationship Id="rId76" Type="http://schemas.openxmlformats.org/officeDocument/2006/relationships/hyperlink" Target="http://www.sec.gov/Archives/edgar/data/0001820302/000119312523115646/d485936ds3.htm#sig" TargetMode="External"/><Relationship Id="rId77" Type="http://schemas.openxmlformats.org/officeDocument/2006/relationships/hyperlink" Target="http://www.sec.gov/Archives/edgar/data/1820302/000119312524026862/d485936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2024-02-14T12:30:51Z</dcterms:created>
  <dcterms:modified xsi:type="dcterms:W3CDTF">2024-02-14T12:30:51Z</dcterms:modified>
</cp:coreProperties>
</file>