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680" w:type="dxa"/>
            <w:vAlign w:val="bottom"/>
          </w:tcPr>
          <w:p>
            <w:pPr>
              <w:jc w:val="center"/>
              <w:ind w:right="1958"/>
              <w:spacing w:after="0"/>
              <w:rPr>
                <w:sz w:val="20"/>
                <w:szCs w:val="20"/>
                <w:color w:val="auto"/>
              </w:rPr>
            </w:pPr>
            <w:r>
              <w:rPr>
                <w:rFonts w:ascii="Arial" w:cs="Arial" w:eastAsia="Arial" w:hAnsi="Arial"/>
                <w:sz w:val="18"/>
                <w:szCs w:val="18"/>
                <w:b w:val="1"/>
                <w:bCs w:val="1"/>
                <w:color w:val="auto"/>
                <w:w w:val="90"/>
              </w:rPr>
              <w:t>Cayman Islands</w:t>
            </w:r>
          </w:p>
        </w:tc>
        <w:tc>
          <w:tcPr>
            <w:tcW w:w="2300" w:type="dxa"/>
            <w:vAlign w:val="bottom"/>
          </w:tcPr>
          <w:p>
            <w:pPr>
              <w:ind w:left="500"/>
              <w:spacing w:after="0"/>
              <w:rPr>
                <w:sz w:val="20"/>
                <w:szCs w:val="20"/>
                <w:color w:val="auto"/>
              </w:rPr>
            </w:pPr>
            <w:r>
              <w:rPr>
                <w:rFonts w:ascii="Arial" w:cs="Arial" w:eastAsia="Arial" w:hAnsi="Arial"/>
                <w:sz w:val="18"/>
                <w:szCs w:val="18"/>
                <w:b w:val="1"/>
                <w:bCs w:val="1"/>
                <w:color w:val="auto"/>
              </w:rPr>
              <w:t>001-39544</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98-1550750</w:t>
            </w:r>
          </w:p>
        </w:tc>
      </w:tr>
      <w:tr>
        <w:trPr>
          <w:trHeight w:val="148"/>
        </w:trPr>
        <w:tc>
          <w:tcPr>
            <w:tcW w:w="3680" w:type="dxa"/>
            <w:vAlign w:val="bottom"/>
          </w:tcPr>
          <w:p>
            <w:pPr>
              <w:jc w:val="center"/>
              <w:ind w:right="195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80" w:type="dxa"/>
            <w:vAlign w:val="bottom"/>
          </w:tcPr>
          <w:p>
            <w:pPr>
              <w:jc w:val="center"/>
              <w:ind w:right="1938"/>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48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80" w:type="dxa"/>
            <w:vAlign w:val="bottom"/>
          </w:tcPr>
          <w:p>
            <w:pPr>
              <w:jc w:val="center"/>
              <w:ind w:right="118"/>
              <w:spacing w:after="0"/>
              <w:rPr>
                <w:sz w:val="20"/>
                <w:szCs w:val="20"/>
                <w:color w:val="auto"/>
              </w:rPr>
            </w:pPr>
            <w:r>
              <w:rPr>
                <w:rFonts w:ascii="Arial" w:cs="Arial" w:eastAsia="Arial" w:hAnsi="Arial"/>
                <w:sz w:val="18"/>
                <w:szCs w:val="18"/>
                <w:b w:val="1"/>
                <w:bCs w:val="1"/>
                <w:color w:val="auto"/>
                <w:w w:val="94"/>
              </w:rPr>
              <w:t>Victory Park Capital Advisors, LLC</w:t>
            </w:r>
          </w:p>
        </w:tc>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3680" w:type="dxa"/>
            <w:vAlign w:val="bottom"/>
          </w:tcPr>
          <w:p>
            <w:pPr>
              <w:jc w:val="center"/>
              <w:ind w:right="138"/>
              <w:spacing w:after="0"/>
              <w:rPr>
                <w:sz w:val="20"/>
                <w:szCs w:val="20"/>
                <w:color w:val="auto"/>
              </w:rPr>
            </w:pPr>
            <w:r>
              <w:rPr>
                <w:rFonts w:ascii="Arial" w:cs="Arial" w:eastAsia="Arial" w:hAnsi="Arial"/>
                <w:sz w:val="18"/>
                <w:szCs w:val="18"/>
                <w:b w:val="1"/>
                <w:bCs w:val="1"/>
                <w:color w:val="auto"/>
                <w:w w:val="90"/>
              </w:rPr>
              <w:t>150 North Riverside Plaza, Suite 5200</w:t>
            </w:r>
          </w:p>
        </w:tc>
        <w:tc>
          <w:tcPr>
            <w:tcW w:w="23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25"/>
        </w:trPr>
        <w:tc>
          <w:tcPr>
            <w:tcW w:w="3680" w:type="dxa"/>
            <w:vAlign w:val="bottom"/>
          </w:tcPr>
          <w:p>
            <w:pPr>
              <w:jc w:val="center"/>
              <w:ind w:right="118"/>
              <w:spacing w:after="0"/>
              <w:rPr>
                <w:sz w:val="20"/>
                <w:szCs w:val="20"/>
                <w:color w:val="auto"/>
              </w:rPr>
            </w:pPr>
            <w:r>
              <w:rPr>
                <w:rFonts w:ascii="Arial" w:cs="Arial" w:eastAsia="Arial" w:hAnsi="Arial"/>
                <w:sz w:val="18"/>
                <w:szCs w:val="18"/>
                <w:b w:val="1"/>
                <w:bCs w:val="1"/>
                <w:color w:val="auto"/>
                <w:w w:val="94"/>
              </w:rPr>
              <w:t>Chicago, IL</w:t>
            </w:r>
          </w:p>
        </w:tc>
        <w:tc>
          <w:tcPr>
            <w:tcW w:w="230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60606</w:t>
            </w:r>
          </w:p>
        </w:tc>
      </w:tr>
      <w:tr>
        <w:trPr>
          <w:trHeight w:val="186"/>
        </w:trPr>
        <w:tc>
          <w:tcPr>
            <w:tcW w:w="368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0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(312) 701-1777</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VIHAU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$0.0001 par value, and one-half of one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 purchase one Class A ordinary share</w:t>
            </w: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A ordinary shares, $0.0001 par value per</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VIH</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Warrants to purchase Class A ordinary shares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VIHAW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833"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On October 14, 2021, VPC Impact Acquisition Holdings (“VIH” or the “Company” and, after the Domestication, as described below, “Bakkt Pubco”) held an extraordinary general meeting of its shareholders (the “Extraordinary General Meeting”). At the Extraordinary General Meeting, a total of 14,017,600 (54.08%) of the Company’s issued and outstanding ordinary shares held of record as of September 14, 2021, were present either in person or by proxy, which constituted a quorum. The shareholders voted on the following proposals at the Extraordinary General Meeting, each of which was described in more detail in the Company’s definitive proxy statement/prospectus filed with the U.S. Securities and Exchange Commission on September 17, 2021.</w:t>
      </w:r>
    </w:p>
    <w:p>
      <w:pPr>
        <w:spacing w:after="0" w:line="94" w:lineRule="exact"/>
        <w:rPr>
          <w:sz w:val="20"/>
          <w:szCs w:val="20"/>
          <w:color w:val="auto"/>
        </w:rPr>
      </w:pPr>
    </w:p>
    <w:p>
      <w:pPr>
        <w:ind w:left="424" w:right="20" w:hanging="424"/>
        <w:spacing w:after="0" w:line="291"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The Business Combination Proposal. </w:t>
      </w:r>
      <w:r>
        <w:rPr>
          <w:rFonts w:ascii="Arial" w:cs="Arial" w:eastAsia="Arial" w:hAnsi="Arial"/>
          <w:sz w:val="16"/>
          <w:szCs w:val="16"/>
          <w:color w:val="auto"/>
        </w:rPr>
        <w:t>To consider and vote upon a proposal to approve by ordinary resolution and adopt the Agreement and Plan</w:t>
      </w:r>
      <w:r>
        <w:rPr>
          <w:rFonts w:ascii="Arial" w:cs="Arial" w:eastAsia="Arial" w:hAnsi="Arial"/>
          <w:sz w:val="16"/>
          <w:szCs w:val="16"/>
          <w:b w:val="1"/>
          <w:bCs w:val="1"/>
          <w:color w:val="auto"/>
        </w:rPr>
        <w:t xml:space="preserve"> </w:t>
      </w:r>
      <w:r>
        <w:rPr>
          <w:rFonts w:ascii="Arial" w:cs="Arial" w:eastAsia="Arial" w:hAnsi="Arial"/>
          <w:sz w:val="16"/>
          <w:szCs w:val="16"/>
          <w:color w:val="auto"/>
        </w:rPr>
        <w:t>of Merger, dated as of January 11, 2021 (as amended, the “Merger Agreement”), by and among VIH, Pylon Merger Company LLC, a Delaware limited liability company and a direct wholly-owned subsidiary of VIH (“Merger Sub”), and Bakkt Holdings, LLC, a Delaware limited liability company (“Bakkt”), and the transactions contemplated by the Merger Agreement, including the issuance of the merger consideration thereunder (collectively, the “Business Combination”). Pursuant to the Merger Agreement, Merger Sub will merge with and into Bakkt (the “Merger”), with Bakkt being renamed as Bakkt Opco Holdings, LLC (“Bakkt Opco”), and continuing as the surviving entity of the Merger and becoming a subsidiary of the Company as described in more detail in the proxy statement/prospectus. We refer to this proposal as the “Business Combination Proposal.” The Business Combination Proposal was approved. The final voting tabulation for this proposal was as follows:</w:t>
      </w:r>
    </w:p>
    <w:p>
      <w:pPr>
        <w:spacing w:after="0" w:line="186" w:lineRule="exact"/>
        <w:rPr>
          <w:sz w:val="20"/>
          <w:szCs w:val="20"/>
          <w:color w:val="auto"/>
        </w:rPr>
      </w:pPr>
    </w:p>
    <w:tbl>
      <w:tblPr>
        <w:tblLayout w:type="fixed"/>
        <w:tblInd w:w="664" w:type="dxa"/>
        <w:tblCellMar>
          <w:top w:w="0" w:type="dxa"/>
          <w:left w:w="0" w:type="dxa"/>
          <w:bottom w:w="0" w:type="dxa"/>
          <w:right w:w="0" w:type="dxa"/>
        </w:tblCellMar>
      </w:tblPr>
      <w:tr>
        <w:trPr>
          <w:trHeight w:val="167"/>
        </w:trPr>
        <w:tc>
          <w:tcPr>
            <w:tcW w:w="3340" w:type="dxa"/>
            <w:vAlign w:val="bottom"/>
          </w:tcPr>
          <w:p>
            <w:pPr>
              <w:spacing w:after="0"/>
              <w:rPr>
                <w:sz w:val="20"/>
                <w:szCs w:val="20"/>
                <w:color w:val="auto"/>
              </w:rPr>
            </w:pPr>
            <w:r>
              <w:rPr>
                <w:rFonts w:ascii="Arial" w:cs="Arial" w:eastAsia="Arial" w:hAnsi="Arial"/>
                <w:sz w:val="14"/>
                <w:szCs w:val="14"/>
                <w:color w:val="auto"/>
              </w:rPr>
              <w:t>FOR</w:t>
            </w:r>
          </w:p>
        </w:tc>
        <w:tc>
          <w:tcPr>
            <w:tcW w:w="26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AGAINST</w:t>
            </w:r>
          </w:p>
        </w:tc>
        <w:tc>
          <w:tcPr>
            <w:tcW w:w="24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ABSTAIN</w:t>
            </w:r>
          </w:p>
        </w:tc>
        <w:tc>
          <w:tcPr>
            <w:tcW w:w="20" w:type="dxa"/>
            <w:vAlign w:val="bottom"/>
          </w:tcPr>
          <w:p>
            <w:pPr>
              <w:spacing w:after="0"/>
              <w:rPr>
                <w:sz w:val="14"/>
                <w:szCs w:val="14"/>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11,922,094</w:t>
            </w:r>
          </w:p>
        </w:tc>
        <w:tc>
          <w:tcPr>
            <w:tcW w:w="5720" w:type="dxa"/>
            <w:vAlign w:val="bottom"/>
            <w:gridSpan w:val="3"/>
            <w:shd w:val="clear" w:color="auto" w:fill="CCEEFF"/>
          </w:tcPr>
          <w:p>
            <w:pPr>
              <w:jc w:val="right"/>
              <w:ind w:right="2460"/>
              <w:spacing w:after="0"/>
              <w:rPr>
                <w:sz w:val="20"/>
                <w:szCs w:val="20"/>
                <w:color w:val="auto"/>
              </w:rPr>
            </w:pPr>
            <w:r>
              <w:rPr>
                <w:rFonts w:ascii="Arial" w:cs="Arial" w:eastAsia="Arial" w:hAnsi="Arial"/>
                <w:sz w:val="18"/>
                <w:szCs w:val="18"/>
                <w:color w:val="auto"/>
              </w:rPr>
              <w:t>1,245,550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849,956</w:t>
            </w:r>
          </w:p>
        </w:tc>
        <w:tc>
          <w:tcPr>
            <w:tcW w:w="20" w:type="dxa"/>
            <w:vAlign w:val="bottom"/>
          </w:tcPr>
          <w:p>
            <w:pPr>
              <w:spacing w:after="0"/>
              <w:rPr>
                <w:sz w:val="18"/>
                <w:szCs w:val="18"/>
                <w:color w:val="auto"/>
              </w:rPr>
            </w:pPr>
          </w:p>
        </w:tc>
      </w:tr>
    </w:tbl>
    <w:p>
      <w:pPr>
        <w:spacing w:after="0" w:line="225" w:lineRule="exact"/>
        <w:rPr>
          <w:sz w:val="20"/>
          <w:szCs w:val="20"/>
          <w:color w:val="auto"/>
        </w:rPr>
      </w:pPr>
    </w:p>
    <w:p>
      <w:pPr>
        <w:ind w:left="424" w:right="40" w:hanging="424"/>
        <w:spacing w:after="0" w:line="270"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The Domestication Proposal. </w:t>
      </w:r>
      <w:r>
        <w:rPr>
          <w:rFonts w:ascii="Arial" w:cs="Arial" w:eastAsia="Arial" w:hAnsi="Arial"/>
          <w:sz w:val="17"/>
          <w:szCs w:val="17"/>
          <w:color w:val="auto"/>
        </w:rPr>
        <w:t>To consider and vote upon a proposal to approve by special resolution a. change to the corporate structure and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domicile of VIH by way of continuation from an exempted company incorporated in accordance with the laws of the Cayman Islands to a corporation incorporated under the laws of the State of Delaware (the “Domestication”). The Domestication will be effected immediately prior to the Business Combination by VIH filing a certificate of corporate domestication and the proposed new certificate of incorporation of Bakkt Pubco (the “Proposed Certificate of Incorporation”) with the Delaware Secretary of State and filing an application to de-register with the Registrar of Companies of the Cayman Islands. Upon the effectiveness of the Domestication, VIH will become a Delaware corporation and will change its corporate name to “Bakkt Holdings, Inc.” (Bakkt Holdings, Inc. and VIH following the Domestication and the Business Combination, the “Company” or “Bakkt Pubco”) and all outstanding securities of VIH will convert to outstanding securities of the Company, as described in more detail in the proxy statement/prospectus. We refer to this proposal as the “Domestication Proposal.” The Domestication Proposal was approved. The final voting tabulation for this proposal was as follows:</w:t>
      </w:r>
    </w:p>
    <w:p>
      <w:pPr>
        <w:spacing w:after="0" w:line="204" w:lineRule="exact"/>
        <w:rPr>
          <w:sz w:val="20"/>
          <w:szCs w:val="20"/>
          <w:color w:val="auto"/>
        </w:rPr>
      </w:pPr>
    </w:p>
    <w:tbl>
      <w:tblPr>
        <w:tblLayout w:type="fixed"/>
        <w:tblInd w:w="664" w:type="dxa"/>
        <w:tblCellMar>
          <w:top w:w="0" w:type="dxa"/>
          <w:left w:w="0" w:type="dxa"/>
          <w:bottom w:w="0" w:type="dxa"/>
          <w:right w:w="0" w:type="dxa"/>
        </w:tblCellMar>
      </w:tblPr>
      <w:tr>
        <w:trPr>
          <w:trHeight w:val="167"/>
        </w:trPr>
        <w:tc>
          <w:tcPr>
            <w:tcW w:w="3340" w:type="dxa"/>
            <w:vAlign w:val="bottom"/>
          </w:tcPr>
          <w:p>
            <w:pPr>
              <w:spacing w:after="0"/>
              <w:rPr>
                <w:sz w:val="20"/>
                <w:szCs w:val="20"/>
                <w:color w:val="auto"/>
              </w:rPr>
            </w:pPr>
            <w:r>
              <w:rPr>
                <w:rFonts w:ascii="Arial" w:cs="Arial" w:eastAsia="Arial" w:hAnsi="Arial"/>
                <w:sz w:val="14"/>
                <w:szCs w:val="14"/>
                <w:color w:val="auto"/>
              </w:rPr>
              <w:t>FOR</w:t>
            </w:r>
          </w:p>
        </w:tc>
        <w:tc>
          <w:tcPr>
            <w:tcW w:w="26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AGAINST</w:t>
            </w:r>
          </w:p>
        </w:tc>
        <w:tc>
          <w:tcPr>
            <w:tcW w:w="24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ABSTAIN</w:t>
            </w:r>
          </w:p>
        </w:tc>
        <w:tc>
          <w:tcPr>
            <w:tcW w:w="20" w:type="dxa"/>
            <w:vAlign w:val="bottom"/>
          </w:tcPr>
          <w:p>
            <w:pPr>
              <w:spacing w:after="0"/>
              <w:rPr>
                <w:sz w:val="14"/>
                <w:szCs w:val="14"/>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11,910,807</w:t>
            </w:r>
          </w:p>
        </w:tc>
        <w:tc>
          <w:tcPr>
            <w:tcW w:w="5720" w:type="dxa"/>
            <w:vAlign w:val="bottom"/>
            <w:gridSpan w:val="3"/>
            <w:shd w:val="clear" w:color="auto" w:fill="CCEEFF"/>
          </w:tcPr>
          <w:p>
            <w:pPr>
              <w:jc w:val="right"/>
              <w:ind w:right="2460"/>
              <w:spacing w:after="0"/>
              <w:rPr>
                <w:sz w:val="20"/>
                <w:szCs w:val="20"/>
                <w:color w:val="auto"/>
              </w:rPr>
            </w:pPr>
            <w:r>
              <w:rPr>
                <w:rFonts w:ascii="Arial" w:cs="Arial" w:eastAsia="Arial" w:hAnsi="Arial"/>
                <w:sz w:val="18"/>
                <w:szCs w:val="18"/>
                <w:color w:val="auto"/>
              </w:rPr>
              <w:t>1,255,890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850,903</w:t>
            </w:r>
          </w:p>
        </w:tc>
        <w:tc>
          <w:tcPr>
            <w:tcW w:w="20" w:type="dxa"/>
            <w:vAlign w:val="bottom"/>
          </w:tcPr>
          <w:p>
            <w:pPr>
              <w:spacing w:after="0"/>
              <w:rPr>
                <w:sz w:val="18"/>
                <w:szCs w:val="18"/>
                <w:color w:val="auto"/>
              </w:rPr>
            </w:pPr>
          </w:p>
        </w:tc>
      </w:tr>
    </w:tbl>
    <w:p>
      <w:pPr>
        <w:spacing w:after="0" w:line="225" w:lineRule="exact"/>
        <w:rPr>
          <w:sz w:val="20"/>
          <w:szCs w:val="20"/>
          <w:color w:val="auto"/>
        </w:rPr>
      </w:pPr>
    </w:p>
    <w:p>
      <w:pPr>
        <w:ind w:left="424" w:right="20" w:hanging="424"/>
        <w:spacing w:after="0" w:line="255"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The Stock Issuance Proposal. </w:t>
      </w:r>
      <w:r>
        <w:rPr>
          <w:rFonts w:ascii="Arial" w:cs="Arial" w:eastAsia="Arial" w:hAnsi="Arial"/>
          <w:sz w:val="18"/>
          <w:szCs w:val="18"/>
          <w:color w:val="auto"/>
        </w:rPr>
        <w:t>To consider and vote upon a proposal to approve by ordinary resolution for purposes of complying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provisions of Nasdaq Listing Rule 5635(d), the issuance of Bakkt Pubco Class A Shares (the “Bakkt Pubco Class A Shares”) to (a) the accredited investors and qualified institutional buyers who entered into the Subscription Agreements with VIH for the proposed issuance and sale of $325 million of the Bakkt Pubco Class A Common Stock in a private placement to the PIPE Investors pursuant to the Subscription Agreements. (the “PIPE Investors” and the “PIPE Investment,” respectively), and (b) the former equity holders of Bakkt Holdings , LLC (the “Bakkt Equity Holders”) pursuant to the Merger Agreement (the “Stock Issuance Proposal”). The Stock Issuance Proposal was approved. The final voting tabulation for this proposal was as follows:</w:t>
      </w:r>
    </w:p>
    <w:p>
      <w:pPr>
        <w:spacing w:after="0" w:line="215" w:lineRule="exact"/>
        <w:rPr>
          <w:sz w:val="20"/>
          <w:szCs w:val="20"/>
          <w:color w:val="auto"/>
        </w:rPr>
      </w:pPr>
    </w:p>
    <w:tbl>
      <w:tblPr>
        <w:tblLayout w:type="fixed"/>
        <w:tblInd w:w="664" w:type="dxa"/>
        <w:tblCellMar>
          <w:top w:w="0" w:type="dxa"/>
          <w:left w:w="0" w:type="dxa"/>
          <w:bottom w:w="0" w:type="dxa"/>
          <w:right w:w="0" w:type="dxa"/>
        </w:tblCellMar>
      </w:tblPr>
      <w:tr>
        <w:trPr>
          <w:trHeight w:val="167"/>
        </w:trPr>
        <w:tc>
          <w:tcPr>
            <w:tcW w:w="3340" w:type="dxa"/>
            <w:vAlign w:val="bottom"/>
          </w:tcPr>
          <w:p>
            <w:pPr>
              <w:spacing w:after="0"/>
              <w:rPr>
                <w:sz w:val="20"/>
                <w:szCs w:val="20"/>
                <w:color w:val="auto"/>
              </w:rPr>
            </w:pPr>
            <w:r>
              <w:rPr>
                <w:rFonts w:ascii="Arial" w:cs="Arial" w:eastAsia="Arial" w:hAnsi="Arial"/>
                <w:sz w:val="14"/>
                <w:szCs w:val="14"/>
                <w:color w:val="auto"/>
              </w:rPr>
              <w:t>FOR</w:t>
            </w:r>
          </w:p>
        </w:tc>
        <w:tc>
          <w:tcPr>
            <w:tcW w:w="26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AGAINST</w:t>
            </w:r>
          </w:p>
        </w:tc>
        <w:tc>
          <w:tcPr>
            <w:tcW w:w="24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ABSTAIN</w:t>
            </w:r>
          </w:p>
        </w:tc>
        <w:tc>
          <w:tcPr>
            <w:tcW w:w="20" w:type="dxa"/>
            <w:vAlign w:val="bottom"/>
          </w:tcPr>
          <w:p>
            <w:pPr>
              <w:spacing w:after="0"/>
              <w:rPr>
                <w:sz w:val="14"/>
                <w:szCs w:val="14"/>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11,879,054</w:t>
            </w:r>
          </w:p>
        </w:tc>
        <w:tc>
          <w:tcPr>
            <w:tcW w:w="5720" w:type="dxa"/>
            <w:vAlign w:val="bottom"/>
            <w:gridSpan w:val="3"/>
            <w:shd w:val="clear" w:color="auto" w:fill="CCEEFF"/>
          </w:tcPr>
          <w:p>
            <w:pPr>
              <w:jc w:val="right"/>
              <w:ind w:right="2460"/>
              <w:spacing w:after="0"/>
              <w:rPr>
                <w:sz w:val="20"/>
                <w:szCs w:val="20"/>
                <w:color w:val="auto"/>
              </w:rPr>
            </w:pPr>
            <w:r>
              <w:rPr>
                <w:rFonts w:ascii="Arial" w:cs="Arial" w:eastAsia="Arial" w:hAnsi="Arial"/>
                <w:sz w:val="18"/>
                <w:szCs w:val="18"/>
                <w:color w:val="auto"/>
              </w:rPr>
              <w:t>1,276,085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862,461</w:t>
            </w:r>
          </w:p>
        </w:tc>
        <w:tc>
          <w:tcPr>
            <w:tcW w:w="20" w:type="dxa"/>
            <w:vAlign w:val="bottom"/>
          </w:tcPr>
          <w:p>
            <w:pPr>
              <w:spacing w:after="0"/>
              <w:rPr>
                <w:sz w:val="18"/>
                <w:szCs w:val="18"/>
                <w:color w:val="auto"/>
              </w:rPr>
            </w:pPr>
          </w:p>
        </w:tc>
      </w:tr>
    </w:tbl>
    <w:p>
      <w:pPr>
        <w:spacing w:after="0" w:line="225" w:lineRule="exact"/>
        <w:rPr>
          <w:sz w:val="20"/>
          <w:szCs w:val="20"/>
          <w:color w:val="auto"/>
        </w:rPr>
      </w:pPr>
    </w:p>
    <w:p>
      <w:pPr>
        <w:ind w:left="424" w:hanging="424"/>
        <w:spacing w:after="0" w:line="281"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The Organizational Documents Proposal. </w:t>
      </w:r>
      <w:r>
        <w:rPr>
          <w:rFonts w:ascii="Arial" w:cs="Arial" w:eastAsia="Arial" w:hAnsi="Arial"/>
          <w:sz w:val="17"/>
          <w:szCs w:val="17"/>
          <w:color w:val="auto"/>
        </w:rPr>
        <w:t>To consider and vote upon a proposal to approve by special resolution the proposed new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for Bakkt Pubco (“Proposed Certificate of Incorporation”) and the proposed new by-laws (“Proposed By-Laws” and, together with the Proposed Certificate of Incorporation, the “Proposed Organizational Documents”) of Bakkt Pubco (the “Organizational Documents Proposal”). The Organizational Documents Proposal was approved. The final voting tabulation for this proposal was as follows:</w:t>
      </w:r>
    </w:p>
    <w:p>
      <w:pPr>
        <w:spacing w:after="0" w:line="191" w:lineRule="exact"/>
        <w:rPr>
          <w:sz w:val="20"/>
          <w:szCs w:val="20"/>
          <w:color w:val="auto"/>
        </w:rPr>
      </w:pPr>
    </w:p>
    <w:tbl>
      <w:tblPr>
        <w:tblLayout w:type="fixed"/>
        <w:tblInd w:w="664" w:type="dxa"/>
        <w:tblCellMar>
          <w:top w:w="0" w:type="dxa"/>
          <w:left w:w="0" w:type="dxa"/>
          <w:bottom w:w="0" w:type="dxa"/>
          <w:right w:w="0" w:type="dxa"/>
        </w:tblCellMar>
      </w:tblPr>
      <w:tr>
        <w:trPr>
          <w:trHeight w:val="167"/>
        </w:trPr>
        <w:tc>
          <w:tcPr>
            <w:tcW w:w="3340" w:type="dxa"/>
            <w:vAlign w:val="bottom"/>
          </w:tcPr>
          <w:p>
            <w:pPr>
              <w:spacing w:after="0"/>
              <w:rPr>
                <w:sz w:val="20"/>
                <w:szCs w:val="20"/>
                <w:color w:val="auto"/>
              </w:rPr>
            </w:pPr>
            <w:r>
              <w:rPr>
                <w:rFonts w:ascii="Arial" w:cs="Arial" w:eastAsia="Arial" w:hAnsi="Arial"/>
                <w:sz w:val="14"/>
                <w:szCs w:val="14"/>
                <w:color w:val="auto"/>
              </w:rPr>
              <w:t>FOR</w:t>
            </w:r>
          </w:p>
        </w:tc>
        <w:tc>
          <w:tcPr>
            <w:tcW w:w="26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AGAINST</w:t>
            </w:r>
          </w:p>
        </w:tc>
        <w:tc>
          <w:tcPr>
            <w:tcW w:w="24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ABSTAIN</w:t>
            </w:r>
          </w:p>
        </w:tc>
        <w:tc>
          <w:tcPr>
            <w:tcW w:w="20" w:type="dxa"/>
            <w:vAlign w:val="bottom"/>
          </w:tcPr>
          <w:p>
            <w:pPr>
              <w:spacing w:after="0"/>
              <w:rPr>
                <w:sz w:val="14"/>
                <w:szCs w:val="14"/>
                <w:color w:val="auto"/>
              </w:rPr>
            </w:pPr>
          </w:p>
        </w:tc>
      </w:tr>
      <w:tr>
        <w:trPr>
          <w:trHeight w:val="209"/>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11,980,275</w:t>
            </w:r>
          </w:p>
        </w:tc>
        <w:tc>
          <w:tcPr>
            <w:tcW w:w="5720" w:type="dxa"/>
            <w:vAlign w:val="bottom"/>
            <w:gridSpan w:val="3"/>
            <w:shd w:val="clear" w:color="auto" w:fill="CCEEFF"/>
          </w:tcPr>
          <w:p>
            <w:pPr>
              <w:jc w:val="right"/>
              <w:ind w:right="2460"/>
              <w:spacing w:after="0"/>
              <w:rPr>
                <w:sz w:val="20"/>
                <w:szCs w:val="20"/>
                <w:color w:val="auto"/>
              </w:rPr>
            </w:pPr>
            <w:r>
              <w:rPr>
                <w:rFonts w:ascii="Arial" w:cs="Arial" w:eastAsia="Arial" w:hAnsi="Arial"/>
                <w:sz w:val="18"/>
                <w:szCs w:val="18"/>
                <w:color w:val="auto"/>
              </w:rPr>
              <w:t>1,176,464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860,861</w:t>
            </w:r>
          </w:p>
        </w:tc>
        <w:tc>
          <w:tcPr>
            <w:tcW w:w="20" w:type="dxa"/>
            <w:vAlign w:val="bottom"/>
          </w:tcPr>
          <w:p>
            <w:pPr>
              <w:spacing w:after="0"/>
              <w:rPr>
                <w:sz w:val="18"/>
                <w:szCs w:val="18"/>
                <w:color w:val="auto"/>
              </w:rPr>
            </w:pPr>
          </w:p>
        </w:tc>
      </w:tr>
    </w:tbl>
    <w:p>
      <w:pPr>
        <w:spacing w:after="0" w:line="225" w:lineRule="exact"/>
        <w:rPr>
          <w:sz w:val="20"/>
          <w:szCs w:val="20"/>
          <w:color w:val="auto"/>
        </w:rPr>
      </w:pPr>
    </w:p>
    <w:p>
      <w:pPr>
        <w:jc w:val="both"/>
        <w:ind w:left="424" w:right="540" w:hanging="424"/>
        <w:spacing w:after="0" w:line="314"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The Advisory Organizational Documents Proposals. </w:t>
      </w:r>
      <w:r>
        <w:rPr>
          <w:rFonts w:ascii="Arial" w:cs="Arial" w:eastAsia="Arial" w:hAnsi="Arial"/>
          <w:sz w:val="16"/>
          <w:szCs w:val="16"/>
          <w:color w:val="auto"/>
        </w:rPr>
        <w:t>To consider and vote upon the following seven separate proposals (collectively, the</w:t>
      </w:r>
      <w:r>
        <w:rPr>
          <w:rFonts w:ascii="Arial" w:cs="Arial" w:eastAsia="Arial" w:hAnsi="Arial"/>
          <w:sz w:val="16"/>
          <w:szCs w:val="16"/>
          <w:b w:val="1"/>
          <w:bCs w:val="1"/>
          <w:color w:val="auto"/>
        </w:rPr>
        <w:t xml:space="preserve"> </w:t>
      </w:r>
      <w:r>
        <w:rPr>
          <w:rFonts w:ascii="Arial" w:cs="Arial" w:eastAsia="Arial" w:hAnsi="Arial"/>
          <w:sz w:val="16"/>
          <w:szCs w:val="16"/>
          <w:color w:val="auto"/>
        </w:rPr>
        <w:t>“Advisory Organizational Documents Proposals”) to approve on an advisory non-binding basis by special resolution the following material differences between the Cayman constitutional documents of VIH and the Proposed Organizational Documents:</w:t>
      </w:r>
    </w:p>
    <w:p>
      <w:pPr>
        <w:sectPr>
          <w:pgSz w:w="11900" w:h="16838" w:orient="portrait"/>
          <w:cols w:equalWidth="0" w:num="1">
            <w:col w:w="11004"/>
          </w:cols>
          <w:pgMar w:left="436" w:top="270" w:right="459" w:bottom="1440" w:gutter="0" w:footer="0" w:header="0"/>
        </w:sectPr>
      </w:pPr>
    </w:p>
    <w:bookmarkStart w:id="2" w:name="page3"/>
    <w:bookmarkEnd w:id="2"/>
    <w:p>
      <w:pPr>
        <w:ind w:left="532" w:right="40" w:hanging="532"/>
        <w:spacing w:after="0" w:line="289" w:lineRule="auto"/>
        <w:tabs>
          <w:tab w:leader="none" w:pos="532"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Advisory Organizational Documents Proposal 5A. </w:t>
      </w:r>
      <w:r>
        <w:rPr>
          <w:rFonts w:ascii="Arial" w:cs="Arial" w:eastAsia="Arial" w:hAnsi="Arial"/>
          <w:sz w:val="16"/>
          <w:szCs w:val="16"/>
          <w:color w:val="auto"/>
        </w:rPr>
        <w:t>To authorize the change in the authorized capital stock of VIH from 200,000,000</w:t>
      </w:r>
      <w:r>
        <w:rPr>
          <w:rFonts w:ascii="Arial" w:cs="Arial" w:eastAsia="Arial" w:hAnsi="Arial"/>
          <w:sz w:val="16"/>
          <w:szCs w:val="16"/>
          <w:b w:val="1"/>
          <w:bCs w:val="1"/>
          <w:color w:val="auto"/>
        </w:rPr>
        <w:t xml:space="preserve"> </w:t>
      </w:r>
      <w:r>
        <w:rPr>
          <w:rFonts w:ascii="Arial" w:cs="Arial" w:eastAsia="Arial" w:hAnsi="Arial"/>
          <w:sz w:val="16"/>
          <w:szCs w:val="16"/>
          <w:color w:val="auto"/>
        </w:rPr>
        <w:t>VIH Class A Ordinary Shares, par value $0.0001 per share (the “VIH Class A Ordinary Shares”), 20,000,000 VIH Class B Ordinary Shares, par value $0.0001 per share (the “VIH Class B Ordinary Shares” and, together with the VIH Class A Ordinary Shares, the “Ordinary Shares”), and 1,000,000 preference shares, par value $0.0001 per share (the “Preference Shares”), to 750,000,000 shares of Class A Common Stock, par value $0.0001 per share of Bakkt Pubco (the “Bakkt Pubco Class A Common Stock”), and 250,000,000 shares of Class V Common Stock, par value $0.0001 per share, of Bakkt Pubco (the “Bakkt Pubco Class V Common Stock”, together with the Bakkt Pubco Class A Common Stock, the “Bakkt Pubco Common Stock”) and 1,000,000 shares of preferred stock, par value $0.0001 per share, of Bakkt Pubco (the “Bakkt Pubco Preferred Stock”) (“Advisory Organizational Documents Proposal 5A”). Advisory Organizational Documents Proposal 5A was approved. The final voting tabulation for this proposal was as follows:</w:t>
      </w:r>
    </w:p>
    <w:p>
      <w:pPr>
        <w:spacing w:after="0" w:line="165" w:lineRule="exact"/>
        <w:rPr>
          <w:sz w:val="20"/>
          <w:szCs w:val="20"/>
          <w:color w:val="auto"/>
        </w:rPr>
      </w:pPr>
    </w:p>
    <w:tbl>
      <w:tblPr>
        <w:tblLayout w:type="fixed"/>
        <w:tblInd w:w="552" w:type="dxa"/>
        <w:tblCellMar>
          <w:top w:w="0" w:type="dxa"/>
          <w:left w:w="0" w:type="dxa"/>
          <w:bottom w:w="0" w:type="dxa"/>
          <w:right w:w="0" w:type="dxa"/>
        </w:tblCellMar>
      </w:tblPr>
      <w:tr>
        <w:trPr>
          <w:trHeight w:val="181"/>
        </w:trPr>
        <w:tc>
          <w:tcPr>
            <w:tcW w:w="3120" w:type="dxa"/>
            <w:vAlign w:val="bottom"/>
            <w:gridSpan w:val="2"/>
          </w:tcPr>
          <w:p>
            <w:pPr>
              <w:spacing w:after="0"/>
              <w:rPr>
                <w:sz w:val="20"/>
                <w:szCs w:val="20"/>
                <w:color w:val="auto"/>
              </w:rPr>
            </w:pPr>
            <w:r>
              <w:rPr>
                <w:rFonts w:ascii="Arial" w:cs="Arial" w:eastAsia="Arial" w:hAnsi="Arial"/>
                <w:sz w:val="14"/>
                <w:szCs w:val="14"/>
                <w:color w:val="auto"/>
              </w:rPr>
              <w:t>FOR</w:t>
            </w:r>
          </w:p>
        </w:tc>
        <w:tc>
          <w:tcPr>
            <w:tcW w:w="3060" w:type="dxa"/>
            <w:vAlign w:val="bottom"/>
            <w:gridSpan w:val="2"/>
          </w:tcPr>
          <w:p>
            <w:pPr>
              <w:jc w:val="right"/>
              <w:ind w:right="20"/>
              <w:spacing w:after="0"/>
              <w:rPr>
                <w:sz w:val="20"/>
                <w:szCs w:val="20"/>
                <w:color w:val="auto"/>
              </w:rPr>
            </w:pPr>
            <w:r>
              <w:rPr>
                <w:rFonts w:ascii="Arial" w:cs="Arial" w:eastAsia="Arial" w:hAnsi="Arial"/>
                <w:sz w:val="14"/>
                <w:szCs w:val="14"/>
                <w:color w:val="auto"/>
              </w:rPr>
              <w:t>AGAINST</w:t>
            </w:r>
          </w:p>
        </w:tc>
        <w:tc>
          <w:tcPr>
            <w:tcW w:w="2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11,882,626</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1,249,298</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885,676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32" w:right="80" w:hanging="532"/>
        <w:spacing w:after="0" w:line="266" w:lineRule="auto"/>
        <w:tabs>
          <w:tab w:leader="none" w:pos="532"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Advisory Organizational Documents Proposal 5B. </w:t>
      </w:r>
      <w:r>
        <w:rPr>
          <w:rFonts w:ascii="Arial" w:cs="Arial" w:eastAsia="Arial" w:hAnsi="Arial"/>
          <w:sz w:val="18"/>
          <w:szCs w:val="18"/>
          <w:color w:val="auto"/>
        </w:rPr>
        <w:t>To authorize adopting Delaware as the exclusive forum for certain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litigation (“Advisory Organizational Documents Proposal 5B”). The Advisory Organizational Documents Proposal 5B was approved. The final voting tabulation for this proposal was as follows:</w:t>
      </w:r>
    </w:p>
    <w:p>
      <w:pPr>
        <w:spacing w:after="0" w:line="202" w:lineRule="exact"/>
        <w:rPr>
          <w:sz w:val="20"/>
          <w:szCs w:val="20"/>
          <w:color w:val="auto"/>
        </w:rPr>
      </w:pPr>
    </w:p>
    <w:tbl>
      <w:tblPr>
        <w:tblLayout w:type="fixed"/>
        <w:tblInd w:w="552" w:type="dxa"/>
        <w:tblCellMar>
          <w:top w:w="0" w:type="dxa"/>
          <w:left w:w="0" w:type="dxa"/>
          <w:bottom w:w="0" w:type="dxa"/>
          <w:right w:w="0" w:type="dxa"/>
        </w:tblCellMar>
      </w:tblPr>
      <w:tr>
        <w:trPr>
          <w:trHeight w:val="167"/>
        </w:trPr>
        <w:tc>
          <w:tcPr>
            <w:tcW w:w="3120" w:type="dxa"/>
            <w:vAlign w:val="bottom"/>
            <w:gridSpan w:val="2"/>
          </w:tcPr>
          <w:p>
            <w:pPr>
              <w:spacing w:after="0"/>
              <w:rPr>
                <w:sz w:val="20"/>
                <w:szCs w:val="20"/>
                <w:color w:val="auto"/>
              </w:rPr>
            </w:pPr>
            <w:r>
              <w:rPr>
                <w:rFonts w:ascii="Arial" w:cs="Arial" w:eastAsia="Arial" w:hAnsi="Arial"/>
                <w:sz w:val="14"/>
                <w:szCs w:val="14"/>
                <w:color w:val="auto"/>
              </w:rPr>
              <w:t>FOR</w:t>
            </w:r>
          </w:p>
        </w:tc>
        <w:tc>
          <w:tcPr>
            <w:tcW w:w="3060" w:type="dxa"/>
            <w:vAlign w:val="bottom"/>
            <w:gridSpan w:val="2"/>
          </w:tcPr>
          <w:p>
            <w:pPr>
              <w:jc w:val="right"/>
              <w:ind w:right="20"/>
              <w:spacing w:after="0"/>
              <w:rPr>
                <w:sz w:val="20"/>
                <w:szCs w:val="20"/>
                <w:color w:val="auto"/>
              </w:rPr>
            </w:pPr>
            <w:r>
              <w:rPr>
                <w:rFonts w:ascii="Arial" w:cs="Arial" w:eastAsia="Arial" w:hAnsi="Arial"/>
                <w:sz w:val="14"/>
                <w:szCs w:val="14"/>
                <w:color w:val="auto"/>
              </w:rPr>
              <w:t>AGAINST</w:t>
            </w:r>
          </w:p>
        </w:tc>
        <w:tc>
          <w:tcPr>
            <w:tcW w:w="2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11,797,083</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1,358,749</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861,768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32" w:right="100" w:hanging="532"/>
        <w:spacing w:after="0" w:line="261" w:lineRule="auto"/>
        <w:tabs>
          <w:tab w:leader="none" w:pos="532"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Advisory Organizational Documents Proposal 5C. </w:t>
      </w:r>
      <w:r>
        <w:rPr>
          <w:rFonts w:ascii="Arial" w:cs="Arial" w:eastAsia="Arial" w:hAnsi="Arial"/>
          <w:sz w:val="18"/>
          <w:szCs w:val="18"/>
          <w:color w:val="auto"/>
        </w:rPr>
        <w:t>To authorize electing not to be governed by Section 203 of the Delaware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Law (“DGCL”) relating to takeovers by interested stockholders and, instead, be governed by a provision similar to Section 203 of the DGCL (“Advisory Organizational Documents Proposal 5C”). Advisory Organizational Documents Proposal 5C was approved. The final voting tabulation for this proposal was as follows:</w:t>
      </w:r>
    </w:p>
    <w:p>
      <w:pPr>
        <w:spacing w:after="0" w:line="206" w:lineRule="exact"/>
        <w:rPr>
          <w:sz w:val="20"/>
          <w:szCs w:val="20"/>
          <w:color w:val="auto"/>
        </w:rPr>
      </w:pPr>
    </w:p>
    <w:tbl>
      <w:tblPr>
        <w:tblLayout w:type="fixed"/>
        <w:tblInd w:w="552" w:type="dxa"/>
        <w:tblCellMar>
          <w:top w:w="0" w:type="dxa"/>
          <w:left w:w="0" w:type="dxa"/>
          <w:bottom w:w="0" w:type="dxa"/>
          <w:right w:w="0" w:type="dxa"/>
        </w:tblCellMar>
      </w:tblPr>
      <w:tr>
        <w:trPr>
          <w:trHeight w:val="167"/>
        </w:trPr>
        <w:tc>
          <w:tcPr>
            <w:tcW w:w="3120" w:type="dxa"/>
            <w:vAlign w:val="bottom"/>
            <w:gridSpan w:val="2"/>
          </w:tcPr>
          <w:p>
            <w:pPr>
              <w:spacing w:after="0"/>
              <w:rPr>
                <w:sz w:val="20"/>
                <w:szCs w:val="20"/>
                <w:color w:val="auto"/>
              </w:rPr>
            </w:pPr>
            <w:r>
              <w:rPr>
                <w:rFonts w:ascii="Arial" w:cs="Arial" w:eastAsia="Arial" w:hAnsi="Arial"/>
                <w:sz w:val="14"/>
                <w:szCs w:val="14"/>
                <w:color w:val="auto"/>
              </w:rPr>
              <w:t>FOR</w:t>
            </w:r>
          </w:p>
        </w:tc>
        <w:tc>
          <w:tcPr>
            <w:tcW w:w="3060" w:type="dxa"/>
            <w:vAlign w:val="bottom"/>
            <w:gridSpan w:val="2"/>
          </w:tcPr>
          <w:p>
            <w:pPr>
              <w:jc w:val="right"/>
              <w:ind w:right="20"/>
              <w:spacing w:after="0"/>
              <w:rPr>
                <w:sz w:val="20"/>
                <w:szCs w:val="20"/>
                <w:color w:val="auto"/>
              </w:rPr>
            </w:pPr>
            <w:r>
              <w:rPr>
                <w:rFonts w:ascii="Arial" w:cs="Arial" w:eastAsia="Arial" w:hAnsi="Arial"/>
                <w:sz w:val="14"/>
                <w:szCs w:val="14"/>
                <w:color w:val="auto"/>
              </w:rPr>
              <w:t>AGAINST</w:t>
            </w:r>
          </w:p>
        </w:tc>
        <w:tc>
          <w:tcPr>
            <w:tcW w:w="2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11,590,417</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1,501,470</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925,713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32" w:right="160" w:hanging="532"/>
        <w:spacing w:after="0" w:line="256" w:lineRule="auto"/>
        <w:tabs>
          <w:tab w:leader="none" w:pos="532"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Advisory Organizational Documents Proposal 5D. </w:t>
      </w:r>
      <w:r>
        <w:rPr>
          <w:rFonts w:ascii="Arial" w:cs="Arial" w:eastAsia="Arial" w:hAnsi="Arial"/>
          <w:sz w:val="18"/>
          <w:szCs w:val="18"/>
          <w:color w:val="auto"/>
        </w:rPr>
        <w:t>To approve provisions providing that the affirmative vote of at least 66 2/3% of the</w:t>
      </w:r>
      <w:r>
        <w:rPr>
          <w:rFonts w:ascii="Arial" w:cs="Arial" w:eastAsia="Arial" w:hAnsi="Arial"/>
          <w:sz w:val="18"/>
          <w:szCs w:val="18"/>
          <w:b w:val="1"/>
          <w:bCs w:val="1"/>
          <w:color w:val="auto"/>
        </w:rPr>
        <w:t xml:space="preserve"> </w:t>
      </w:r>
      <w:r>
        <w:rPr>
          <w:rFonts w:ascii="Arial" w:cs="Arial" w:eastAsia="Arial" w:hAnsi="Arial"/>
          <w:sz w:val="18"/>
          <w:szCs w:val="18"/>
          <w:color w:val="auto"/>
        </w:rPr>
        <w:t>voting power of all the then outstanding shares of capital stock entitled to vote generally in the election of directors, voting together as a single class, will be required for stockholders to amend, alter, repeal or rescind all or any portion of Article V, Article VI, Article VII, Article VIII, Article IX, Article X, Article XII or Article XIII of the Proposed Certificate of Incorporation (“Advisory Organizational Documents Proposal 5D”). Advisory Organizational Documents Proposal 5D was approved. The final voting tabulation for this proposal was as follows:</w:t>
      </w:r>
    </w:p>
    <w:p>
      <w:pPr>
        <w:spacing w:after="0" w:line="214" w:lineRule="exact"/>
        <w:rPr>
          <w:sz w:val="20"/>
          <w:szCs w:val="20"/>
          <w:color w:val="auto"/>
        </w:rPr>
      </w:pPr>
    </w:p>
    <w:tbl>
      <w:tblPr>
        <w:tblLayout w:type="fixed"/>
        <w:tblInd w:w="552" w:type="dxa"/>
        <w:tblCellMar>
          <w:top w:w="0" w:type="dxa"/>
          <w:left w:w="0" w:type="dxa"/>
          <w:bottom w:w="0" w:type="dxa"/>
          <w:right w:w="0" w:type="dxa"/>
        </w:tblCellMar>
      </w:tblPr>
      <w:tr>
        <w:trPr>
          <w:trHeight w:val="167"/>
        </w:trPr>
        <w:tc>
          <w:tcPr>
            <w:tcW w:w="3140" w:type="dxa"/>
            <w:vAlign w:val="bottom"/>
            <w:gridSpan w:val="2"/>
          </w:tcPr>
          <w:p>
            <w:pPr>
              <w:spacing w:after="0"/>
              <w:rPr>
                <w:sz w:val="20"/>
                <w:szCs w:val="20"/>
                <w:color w:val="auto"/>
              </w:rPr>
            </w:pPr>
            <w:r>
              <w:rPr>
                <w:rFonts w:ascii="Arial" w:cs="Arial" w:eastAsia="Arial" w:hAnsi="Arial"/>
                <w:sz w:val="14"/>
                <w:szCs w:val="14"/>
                <w:color w:val="auto"/>
              </w:rPr>
              <w:t>FOR</w:t>
            </w:r>
          </w:p>
        </w:tc>
        <w:tc>
          <w:tcPr>
            <w:tcW w:w="3040" w:type="dxa"/>
            <w:vAlign w:val="bottom"/>
            <w:gridSpan w:val="2"/>
          </w:tcPr>
          <w:p>
            <w:pPr>
              <w:jc w:val="right"/>
              <w:ind w:right="20"/>
              <w:spacing w:after="0"/>
              <w:rPr>
                <w:sz w:val="20"/>
                <w:szCs w:val="20"/>
                <w:color w:val="auto"/>
              </w:rPr>
            </w:pPr>
            <w:r>
              <w:rPr>
                <w:rFonts w:ascii="Arial" w:cs="Arial" w:eastAsia="Arial" w:hAnsi="Arial"/>
                <w:sz w:val="14"/>
                <w:szCs w:val="14"/>
                <w:color w:val="auto"/>
              </w:rPr>
              <w:t>AGAINST</w:t>
            </w:r>
          </w:p>
        </w:tc>
        <w:tc>
          <w:tcPr>
            <w:tcW w:w="2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10,792,139</w:t>
            </w:r>
          </w:p>
        </w:tc>
        <w:tc>
          <w:tcPr>
            <w:tcW w:w="3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2,359,718</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865,743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32" w:right="200" w:hanging="532"/>
        <w:spacing w:after="0" w:line="261" w:lineRule="auto"/>
        <w:tabs>
          <w:tab w:leader="none" w:pos="532"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Advisory Organizational Documents Proposal 5E. </w:t>
      </w:r>
      <w:r>
        <w:rPr>
          <w:rFonts w:ascii="Arial" w:cs="Arial" w:eastAsia="Arial" w:hAnsi="Arial"/>
          <w:sz w:val="18"/>
          <w:szCs w:val="18"/>
          <w:color w:val="auto"/>
        </w:rPr>
        <w:t>To approve provisions permitting the removal of a director only for cause and only</w:t>
      </w:r>
      <w:r>
        <w:rPr>
          <w:rFonts w:ascii="Arial" w:cs="Arial" w:eastAsia="Arial" w:hAnsi="Arial"/>
          <w:sz w:val="18"/>
          <w:szCs w:val="18"/>
          <w:b w:val="1"/>
          <w:bCs w:val="1"/>
          <w:color w:val="auto"/>
        </w:rPr>
        <w:t xml:space="preserve"> </w:t>
      </w:r>
      <w:r>
        <w:rPr>
          <w:rFonts w:ascii="Arial" w:cs="Arial" w:eastAsia="Arial" w:hAnsi="Arial"/>
          <w:sz w:val="18"/>
          <w:szCs w:val="18"/>
          <w:color w:val="auto"/>
        </w:rPr>
        <w:t>by the affirmative vote of the holders of at least 66 2/3% of the outstanding shares entitled to vote at an election of directors, voting together as a single class (“Advisory Organizational Documents Proposal 5E”). Advisory Organizational Documents Proposal 5E was approved. The final voting tabulation for this proposal was as follows:</w:t>
      </w:r>
    </w:p>
    <w:p>
      <w:pPr>
        <w:spacing w:after="0" w:line="206" w:lineRule="exact"/>
        <w:rPr>
          <w:sz w:val="20"/>
          <w:szCs w:val="20"/>
          <w:color w:val="auto"/>
        </w:rPr>
      </w:pPr>
    </w:p>
    <w:tbl>
      <w:tblPr>
        <w:tblLayout w:type="fixed"/>
        <w:tblInd w:w="552" w:type="dxa"/>
        <w:tblCellMar>
          <w:top w:w="0" w:type="dxa"/>
          <w:left w:w="0" w:type="dxa"/>
          <w:bottom w:w="0" w:type="dxa"/>
          <w:right w:w="0" w:type="dxa"/>
        </w:tblCellMar>
      </w:tblPr>
      <w:tr>
        <w:trPr>
          <w:trHeight w:val="167"/>
        </w:trPr>
        <w:tc>
          <w:tcPr>
            <w:tcW w:w="3120" w:type="dxa"/>
            <w:vAlign w:val="bottom"/>
            <w:gridSpan w:val="2"/>
          </w:tcPr>
          <w:p>
            <w:pPr>
              <w:spacing w:after="0"/>
              <w:rPr>
                <w:sz w:val="20"/>
                <w:szCs w:val="20"/>
                <w:color w:val="auto"/>
              </w:rPr>
            </w:pPr>
            <w:r>
              <w:rPr>
                <w:rFonts w:ascii="Arial" w:cs="Arial" w:eastAsia="Arial" w:hAnsi="Arial"/>
                <w:sz w:val="14"/>
                <w:szCs w:val="14"/>
                <w:color w:val="auto"/>
              </w:rPr>
              <w:t>FOR</w:t>
            </w:r>
          </w:p>
        </w:tc>
        <w:tc>
          <w:tcPr>
            <w:tcW w:w="3060" w:type="dxa"/>
            <w:vAlign w:val="bottom"/>
            <w:gridSpan w:val="2"/>
          </w:tcPr>
          <w:p>
            <w:pPr>
              <w:jc w:val="right"/>
              <w:ind w:right="20"/>
              <w:spacing w:after="0"/>
              <w:rPr>
                <w:sz w:val="20"/>
                <w:szCs w:val="20"/>
                <w:color w:val="auto"/>
              </w:rPr>
            </w:pPr>
            <w:r>
              <w:rPr>
                <w:rFonts w:ascii="Arial" w:cs="Arial" w:eastAsia="Arial" w:hAnsi="Arial"/>
                <w:sz w:val="14"/>
                <w:szCs w:val="14"/>
                <w:color w:val="auto"/>
              </w:rPr>
              <w:t>AGAINST</w:t>
            </w:r>
          </w:p>
        </w:tc>
        <w:tc>
          <w:tcPr>
            <w:tcW w:w="2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11,200,980</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1,953,230</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863,390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32" w:hanging="532"/>
        <w:spacing w:after="0" w:line="292" w:lineRule="auto"/>
        <w:tabs>
          <w:tab w:leader="none" w:pos="532"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Advisory Organizational Documents Proposal 5F. </w:t>
      </w:r>
      <w:r>
        <w:rPr>
          <w:rFonts w:ascii="Arial" w:cs="Arial" w:eastAsia="Arial" w:hAnsi="Arial"/>
          <w:sz w:val="16"/>
          <w:szCs w:val="16"/>
          <w:color w:val="auto"/>
        </w:rPr>
        <w:t>To approve provisions requiring or permitting stockholders to take action at an annual</w:t>
      </w:r>
      <w:r>
        <w:rPr>
          <w:rFonts w:ascii="Arial" w:cs="Arial" w:eastAsia="Arial" w:hAnsi="Arial"/>
          <w:sz w:val="16"/>
          <w:szCs w:val="16"/>
          <w:b w:val="1"/>
          <w:bCs w:val="1"/>
          <w:color w:val="auto"/>
        </w:rPr>
        <w:t xml:space="preserve"> </w:t>
      </w:r>
      <w:r>
        <w:rPr>
          <w:rFonts w:ascii="Arial" w:cs="Arial" w:eastAsia="Arial" w:hAnsi="Arial"/>
          <w:sz w:val="16"/>
          <w:szCs w:val="16"/>
          <w:color w:val="auto"/>
        </w:rPr>
        <w:t>or special meeting and prohibit stockholder action by written consent in lieu of a meeting; provided that any action required or permitted to be taken by the holders of Bakkt Pubco Class V Shares, voting separately as a class or by the holders of Bakkt Pubco Preferred Stock, voting separately as a class or separately as a class with one or more other such series, may be taken without a meeting if signed by the holders having not less than the minimum number of votes necessary to authorize such action at a meeting at which all shares entitled to vote thereon were present and voted in compliance with the DGCL (“Advisory Organizational Documents Proposal 5F”). The Advisory Organizational Documents Proposal 5F was approved. The final voting tabulation for this proposal was as follows:</w:t>
      </w:r>
    </w:p>
    <w:p>
      <w:pPr>
        <w:spacing w:after="0" w:line="188" w:lineRule="exact"/>
        <w:rPr>
          <w:sz w:val="20"/>
          <w:szCs w:val="20"/>
          <w:color w:val="auto"/>
        </w:rPr>
      </w:pPr>
    </w:p>
    <w:tbl>
      <w:tblPr>
        <w:tblLayout w:type="fixed"/>
        <w:tblInd w:w="552" w:type="dxa"/>
        <w:tblCellMar>
          <w:top w:w="0" w:type="dxa"/>
          <w:left w:w="0" w:type="dxa"/>
          <w:bottom w:w="0" w:type="dxa"/>
          <w:right w:w="0" w:type="dxa"/>
        </w:tblCellMar>
      </w:tblPr>
      <w:tr>
        <w:trPr>
          <w:trHeight w:val="167"/>
        </w:trPr>
        <w:tc>
          <w:tcPr>
            <w:tcW w:w="3120" w:type="dxa"/>
            <w:vAlign w:val="bottom"/>
            <w:gridSpan w:val="2"/>
          </w:tcPr>
          <w:p>
            <w:pPr>
              <w:spacing w:after="0"/>
              <w:rPr>
                <w:sz w:val="20"/>
                <w:szCs w:val="20"/>
                <w:color w:val="auto"/>
              </w:rPr>
            </w:pPr>
            <w:r>
              <w:rPr>
                <w:rFonts w:ascii="Arial" w:cs="Arial" w:eastAsia="Arial" w:hAnsi="Arial"/>
                <w:sz w:val="14"/>
                <w:szCs w:val="14"/>
                <w:color w:val="auto"/>
              </w:rPr>
              <w:t>FOR</w:t>
            </w:r>
          </w:p>
        </w:tc>
        <w:tc>
          <w:tcPr>
            <w:tcW w:w="3060" w:type="dxa"/>
            <w:vAlign w:val="bottom"/>
            <w:gridSpan w:val="2"/>
          </w:tcPr>
          <w:p>
            <w:pPr>
              <w:jc w:val="right"/>
              <w:ind w:right="20"/>
              <w:spacing w:after="0"/>
              <w:rPr>
                <w:sz w:val="20"/>
                <w:szCs w:val="20"/>
                <w:color w:val="auto"/>
              </w:rPr>
            </w:pPr>
            <w:r>
              <w:rPr>
                <w:rFonts w:ascii="Arial" w:cs="Arial" w:eastAsia="Arial" w:hAnsi="Arial"/>
                <w:sz w:val="14"/>
                <w:szCs w:val="14"/>
                <w:color w:val="auto"/>
              </w:rPr>
              <w:t>AGAINST</w:t>
            </w:r>
          </w:p>
        </w:tc>
        <w:tc>
          <w:tcPr>
            <w:tcW w:w="2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11,233,926</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1,912,487</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871,187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32" w:right="80" w:hanging="532"/>
        <w:spacing w:after="0" w:line="298" w:lineRule="auto"/>
        <w:tabs>
          <w:tab w:leader="none" w:pos="532"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Advisory Organizational Documents Proposal 5G. </w:t>
      </w:r>
      <w:r>
        <w:rPr>
          <w:rFonts w:ascii="Arial" w:cs="Arial" w:eastAsia="Arial" w:hAnsi="Arial"/>
          <w:sz w:val="16"/>
          <w:szCs w:val="16"/>
          <w:color w:val="auto"/>
        </w:rPr>
        <w:t>To provide for certain additional changes, including, among other things, (i) making</w:t>
      </w:r>
      <w:r>
        <w:rPr>
          <w:rFonts w:ascii="Arial" w:cs="Arial" w:eastAsia="Arial" w:hAnsi="Arial"/>
          <w:sz w:val="16"/>
          <w:szCs w:val="16"/>
          <w:b w:val="1"/>
          <w:bCs w:val="1"/>
          <w:color w:val="auto"/>
        </w:rPr>
        <w:t xml:space="preserve"> </w:t>
      </w:r>
      <w:r>
        <w:rPr>
          <w:rFonts w:ascii="Arial" w:cs="Arial" w:eastAsia="Arial" w:hAnsi="Arial"/>
          <w:sz w:val="16"/>
          <w:szCs w:val="16"/>
          <w:color w:val="auto"/>
        </w:rPr>
        <w:t>Bakkt Pubco’s corporate existence perpetual and (ii) removing certain provisions related to VIH’s status as a blank check company that will no longer be applicable upon consummation of the Business Combination, all of which the VIH Board believes is necessary to adequately address the needs of Bakkt Pubco after the Business Combination (“Advisory Organizational Documents Proposal 5G”). Advisory Organizational Documents Proposal 5G was approved. The final voting tabulation for this proposal was as follows:</w:t>
      </w:r>
    </w:p>
    <w:p>
      <w:pPr>
        <w:spacing w:after="0" w:line="180" w:lineRule="exact"/>
        <w:rPr>
          <w:sz w:val="20"/>
          <w:szCs w:val="20"/>
          <w:color w:val="auto"/>
        </w:rPr>
      </w:pPr>
    </w:p>
    <w:p>
      <w:pPr>
        <w:ind w:left="552"/>
        <w:spacing w:after="0"/>
        <w:tabs>
          <w:tab w:leader="none" w:pos="6072" w:val="left"/>
          <w:tab w:leader="none" w:pos="8952"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u w:val="single" w:color="auto"/>
          <w:color w:val="auto"/>
        </w:rPr>
        <w:t>AGAINST</w:t>
      </w:r>
      <w:r>
        <w:rPr>
          <w:sz w:val="20"/>
          <w:szCs w:val="20"/>
          <w:color w:val="auto"/>
        </w:rPr>
        <w:tab/>
      </w:r>
      <w:r>
        <w:rPr>
          <w:rFonts w:ascii="Arial" w:cs="Arial" w:eastAsia="Arial" w:hAnsi="Arial"/>
          <w:sz w:val="14"/>
          <w:szCs w:val="14"/>
          <w:u w:val="single" w:color="auto"/>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12700</wp:posOffset>
            </wp:positionV>
            <wp:extent cx="573468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4685" cy="145415"/>
                    </a:xfrm>
                    <a:prstGeom prst="rect">
                      <a:avLst/>
                    </a:prstGeom>
                    <a:noFill/>
                  </pic:spPr>
                </pic:pic>
              </a:graphicData>
            </a:graphic>
          </wp:anchor>
        </w:drawing>
      </w:r>
    </w:p>
    <w:p>
      <w:pPr>
        <w:sectPr>
          <w:pgSz w:w="11900" w:h="16838" w:orient="portrait"/>
          <w:cols w:equalWidth="0" w:num="1">
            <w:col w:w="10572"/>
          </w:cols>
          <w:pgMar w:left="868" w:top="270" w:right="459" w:bottom="1440" w:gutter="0" w:footer="0" w:header="0"/>
        </w:sectPr>
      </w:pPr>
    </w:p>
    <w:p>
      <w:pPr>
        <w:spacing w:after="0" w:line="21" w:lineRule="exact"/>
        <w:rPr>
          <w:sz w:val="20"/>
          <w:szCs w:val="20"/>
          <w:color w:val="auto"/>
        </w:rPr>
      </w:pPr>
    </w:p>
    <w:p>
      <w:pPr>
        <w:ind w:left="552"/>
        <w:spacing w:after="0"/>
        <w:tabs>
          <w:tab w:leader="none" w:pos="5972" w:val="left"/>
          <w:tab w:leader="none" w:pos="8992" w:val="left"/>
        </w:tabs>
        <w:rPr>
          <w:sz w:val="20"/>
          <w:szCs w:val="20"/>
          <w:color w:val="auto"/>
        </w:rPr>
      </w:pPr>
      <w:r>
        <w:rPr>
          <w:rFonts w:ascii="Arial" w:cs="Arial" w:eastAsia="Arial" w:hAnsi="Arial"/>
          <w:sz w:val="18"/>
          <w:szCs w:val="18"/>
          <w:color w:val="auto"/>
        </w:rPr>
        <w:t>11,968,016</w:t>
      </w:r>
      <w:r>
        <w:rPr>
          <w:sz w:val="20"/>
          <w:szCs w:val="20"/>
          <w:color w:val="auto"/>
        </w:rPr>
        <w:tab/>
      </w:r>
      <w:r>
        <w:rPr>
          <w:rFonts w:ascii="Arial" w:cs="Arial" w:eastAsia="Arial" w:hAnsi="Arial"/>
          <w:sz w:val="18"/>
          <w:szCs w:val="18"/>
          <w:color w:val="auto"/>
        </w:rPr>
        <w:t>1,186,449</w:t>
      </w:r>
      <w:r>
        <w:rPr>
          <w:sz w:val="20"/>
          <w:szCs w:val="20"/>
          <w:color w:val="auto"/>
        </w:rPr>
        <w:tab/>
      </w:r>
      <w:r>
        <w:rPr>
          <w:rFonts w:ascii="Arial" w:cs="Arial" w:eastAsia="Arial" w:hAnsi="Arial"/>
          <w:sz w:val="16"/>
          <w:szCs w:val="16"/>
          <w:color w:val="auto"/>
        </w:rPr>
        <w:t>863,135</w:t>
      </w:r>
    </w:p>
    <w:p>
      <w:pPr>
        <w:sectPr>
          <w:pgSz w:w="11900" w:h="16838" w:orient="portrait"/>
          <w:cols w:equalWidth="0" w:num="1">
            <w:col w:w="10572"/>
          </w:cols>
          <w:pgMar w:left="868" w:top="270" w:right="459" w:bottom="1440" w:gutter="0" w:footer="0" w:header="0"/>
          <w:type w:val="continuous"/>
        </w:sectPr>
      </w:pPr>
    </w:p>
    <w:bookmarkStart w:id="3" w:name="page4"/>
    <w:bookmarkEnd w:id="3"/>
    <w:p>
      <w:pPr>
        <w:ind w:left="424" w:right="120" w:hanging="424"/>
        <w:spacing w:after="0" w:line="289" w:lineRule="auto"/>
        <w:tabs>
          <w:tab w:leader="none" w:pos="424"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Bakkt Pubco Equity Incentive Plan Proposal. </w:t>
      </w:r>
      <w:r>
        <w:rPr>
          <w:rFonts w:ascii="Arial" w:cs="Arial" w:eastAsia="Arial" w:hAnsi="Arial"/>
          <w:sz w:val="17"/>
          <w:szCs w:val="17"/>
          <w:color w:val="auto"/>
        </w:rPr>
        <w:t>To consider and vote upon a proposal to approve by ordinary resolution the Bakkt Pubco</w:t>
      </w:r>
      <w:r>
        <w:rPr>
          <w:rFonts w:ascii="Arial" w:cs="Arial" w:eastAsia="Arial" w:hAnsi="Arial"/>
          <w:sz w:val="17"/>
          <w:szCs w:val="17"/>
          <w:b w:val="1"/>
          <w:bCs w:val="1"/>
          <w:color w:val="auto"/>
        </w:rPr>
        <w:t xml:space="preserve"> </w:t>
      </w:r>
      <w:r>
        <w:rPr>
          <w:rFonts w:ascii="Arial" w:cs="Arial" w:eastAsia="Arial" w:hAnsi="Arial"/>
          <w:sz w:val="17"/>
          <w:szCs w:val="17"/>
          <w:color w:val="auto"/>
        </w:rPr>
        <w:t>Equity Incentive Plan (the “Bakkt Pubco Equity Incentive Plan” and the “Bakkt Pubco Equity Incentive Plan Proposal,” respectively). The Bakkt Pubco Equity Incentive Plan Proposal was approved. The final voting tabulation for this proposal was as follows:</w:t>
      </w:r>
    </w:p>
    <w:p>
      <w:pPr>
        <w:spacing w:after="0" w:line="180" w:lineRule="exact"/>
        <w:rPr>
          <w:sz w:val="20"/>
          <w:szCs w:val="20"/>
          <w:color w:val="auto"/>
        </w:rPr>
      </w:pPr>
    </w:p>
    <w:tbl>
      <w:tblPr>
        <w:tblLayout w:type="fixed"/>
        <w:tblInd w:w="664" w:type="dxa"/>
        <w:tblCellMar>
          <w:top w:w="0" w:type="dxa"/>
          <w:left w:w="0" w:type="dxa"/>
          <w:bottom w:w="0" w:type="dxa"/>
          <w:right w:w="0" w:type="dxa"/>
        </w:tblCellMar>
      </w:tblPr>
      <w:tr>
        <w:trPr>
          <w:trHeight w:val="171"/>
        </w:trPr>
        <w:tc>
          <w:tcPr>
            <w:tcW w:w="3340" w:type="dxa"/>
            <w:vAlign w:val="bottom"/>
          </w:tcPr>
          <w:p>
            <w:pPr>
              <w:spacing w:after="0"/>
              <w:rPr>
                <w:sz w:val="20"/>
                <w:szCs w:val="20"/>
                <w:color w:val="auto"/>
              </w:rPr>
            </w:pPr>
            <w:r>
              <w:rPr>
                <w:rFonts w:ascii="Arial" w:cs="Arial" w:eastAsia="Arial" w:hAnsi="Arial"/>
                <w:sz w:val="14"/>
                <w:szCs w:val="14"/>
                <w:b w:val="1"/>
                <w:bCs w:val="1"/>
                <w:color w:val="auto"/>
              </w:rPr>
              <w:t>FOR</w:t>
            </w:r>
          </w:p>
        </w:tc>
        <w:tc>
          <w:tcPr>
            <w:tcW w:w="26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AGAINST</w:t>
            </w:r>
          </w:p>
        </w:tc>
        <w:tc>
          <w:tcPr>
            <w:tcW w:w="24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ABSTAIN</w:t>
            </w:r>
          </w:p>
        </w:tc>
        <w:tc>
          <w:tcPr>
            <w:tcW w:w="20" w:type="dxa"/>
            <w:vAlign w:val="bottom"/>
          </w:tcPr>
          <w:p>
            <w:pPr>
              <w:spacing w:after="0"/>
              <w:rPr>
                <w:sz w:val="14"/>
                <w:szCs w:val="14"/>
                <w:color w:val="auto"/>
              </w:rPr>
            </w:pPr>
          </w:p>
        </w:tc>
      </w:tr>
      <w:tr>
        <w:trPr>
          <w:trHeight w:val="209"/>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11,903,963</w:t>
            </w:r>
          </w:p>
        </w:tc>
        <w:tc>
          <w:tcPr>
            <w:tcW w:w="5720" w:type="dxa"/>
            <w:vAlign w:val="bottom"/>
            <w:gridSpan w:val="3"/>
            <w:shd w:val="clear" w:color="auto" w:fill="CCEEFF"/>
          </w:tcPr>
          <w:p>
            <w:pPr>
              <w:jc w:val="right"/>
              <w:ind w:right="2460"/>
              <w:spacing w:after="0"/>
              <w:rPr>
                <w:sz w:val="20"/>
                <w:szCs w:val="20"/>
                <w:color w:val="auto"/>
              </w:rPr>
            </w:pPr>
            <w:r>
              <w:rPr>
                <w:rFonts w:ascii="Arial" w:cs="Arial" w:eastAsia="Arial" w:hAnsi="Arial"/>
                <w:sz w:val="18"/>
                <w:szCs w:val="18"/>
                <w:color w:val="auto"/>
              </w:rPr>
              <w:t>1,219,260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894,377</w:t>
            </w:r>
          </w:p>
        </w:tc>
        <w:tc>
          <w:tcPr>
            <w:tcW w:w="20" w:type="dxa"/>
            <w:vAlign w:val="bottom"/>
          </w:tcPr>
          <w:p>
            <w:pPr>
              <w:spacing w:after="0"/>
              <w:rPr>
                <w:sz w:val="18"/>
                <w:szCs w:val="18"/>
                <w:color w:val="auto"/>
              </w:rPr>
            </w:pPr>
          </w:p>
        </w:tc>
      </w:tr>
    </w:tbl>
    <w:p>
      <w:pPr>
        <w:spacing w:after="0" w:line="225" w:lineRule="exact"/>
        <w:rPr>
          <w:sz w:val="20"/>
          <w:szCs w:val="20"/>
          <w:color w:val="auto"/>
        </w:rPr>
      </w:pPr>
    </w:p>
    <w:p>
      <w:pPr>
        <w:ind w:left="424" w:right="140" w:hanging="424"/>
        <w:spacing w:after="0" w:line="261" w:lineRule="auto"/>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The Director Election Proposal. </w:t>
      </w:r>
      <w:r>
        <w:rPr>
          <w:rFonts w:ascii="Arial" w:cs="Arial" w:eastAsia="Arial" w:hAnsi="Arial"/>
          <w:sz w:val="18"/>
          <w:szCs w:val="18"/>
          <w:color w:val="auto"/>
        </w:rPr>
        <w:t>To consider and vote upon a proposal to approve by ordinary resolution the election of eight directors to serve</w:t>
      </w:r>
      <w:r>
        <w:rPr>
          <w:rFonts w:ascii="Arial" w:cs="Arial" w:eastAsia="Arial" w:hAnsi="Arial"/>
          <w:sz w:val="18"/>
          <w:szCs w:val="18"/>
          <w:b w:val="1"/>
          <w:bCs w:val="1"/>
          <w:color w:val="auto"/>
        </w:rPr>
        <w:t xml:space="preserve"> </w:t>
      </w:r>
      <w:r>
        <w:rPr>
          <w:rFonts w:ascii="Arial" w:cs="Arial" w:eastAsia="Arial" w:hAnsi="Arial"/>
          <w:sz w:val="18"/>
          <w:szCs w:val="18"/>
          <w:color w:val="auto"/>
        </w:rPr>
        <w:t>staggered terms on the Company’s board of directors until the 2022, 2023 and 2024 annual meeting of stockholders, as applicable, and until their respective successors are duly elected and qualified (the “Director Election Proposal”). The Director Election Proposal was approved. The final voting tabulation for this proposal was as follows:</w:t>
      </w:r>
    </w:p>
    <w:p>
      <w:pPr>
        <w:spacing w:after="0" w:line="206" w:lineRule="exact"/>
        <w:rPr>
          <w:sz w:val="20"/>
          <w:szCs w:val="20"/>
          <w:color w:val="auto"/>
        </w:rPr>
      </w:pPr>
    </w:p>
    <w:tbl>
      <w:tblPr>
        <w:tblLayout w:type="fixed"/>
        <w:tblInd w:w="664" w:type="dxa"/>
        <w:tblCellMar>
          <w:top w:w="0" w:type="dxa"/>
          <w:left w:w="0" w:type="dxa"/>
          <w:bottom w:w="0" w:type="dxa"/>
          <w:right w:w="0" w:type="dxa"/>
        </w:tblCellMar>
      </w:tblPr>
      <w:tr>
        <w:trPr>
          <w:trHeight w:val="167"/>
        </w:trPr>
        <w:tc>
          <w:tcPr>
            <w:tcW w:w="5960" w:type="dxa"/>
            <w:vAlign w:val="bottom"/>
          </w:tcPr>
          <w:p>
            <w:pPr>
              <w:spacing w:after="0"/>
              <w:rPr>
                <w:sz w:val="20"/>
                <w:szCs w:val="20"/>
                <w:color w:val="auto"/>
              </w:rPr>
            </w:pPr>
            <w:r>
              <w:rPr>
                <w:rFonts w:ascii="Arial" w:cs="Arial" w:eastAsia="Arial" w:hAnsi="Arial"/>
                <w:sz w:val="14"/>
                <w:szCs w:val="14"/>
                <w:color w:val="auto"/>
              </w:rPr>
              <w:t>FOR</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AGAINST</w:t>
            </w:r>
          </w:p>
        </w:tc>
        <w:tc>
          <w:tcPr>
            <w:tcW w:w="24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ABSTAIN</w:t>
            </w:r>
          </w:p>
        </w:tc>
        <w:tc>
          <w:tcPr>
            <w:tcW w:w="20" w:type="dxa"/>
            <w:vAlign w:val="bottom"/>
          </w:tcPr>
          <w:p>
            <w:pPr>
              <w:spacing w:after="0"/>
              <w:rPr>
                <w:sz w:val="14"/>
                <w:szCs w:val="14"/>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12,553,617</w:t>
            </w:r>
          </w:p>
        </w:tc>
        <w:tc>
          <w:tcPr>
            <w:tcW w:w="3100" w:type="dxa"/>
            <w:vAlign w:val="bottom"/>
            <w:gridSpan w:val="2"/>
            <w:shd w:val="clear" w:color="auto" w:fill="CCEEFF"/>
          </w:tcPr>
          <w:p>
            <w:pPr>
              <w:jc w:val="right"/>
              <w:ind w:right="2460"/>
              <w:spacing w:after="0"/>
              <w:rPr>
                <w:sz w:val="20"/>
                <w:szCs w:val="20"/>
                <w:color w:val="auto"/>
              </w:rPr>
            </w:pPr>
            <w:r>
              <w:rPr>
                <w:rFonts w:ascii="Arial" w:cs="Arial" w:eastAsia="Arial" w:hAnsi="Arial"/>
                <w:sz w:val="18"/>
                <w:szCs w:val="18"/>
                <w:color w:val="auto"/>
                <w:w w:val="95"/>
              </w:rPr>
              <w:t>504,811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959,172</w:t>
            </w:r>
          </w:p>
        </w:tc>
        <w:tc>
          <w:tcPr>
            <w:tcW w:w="20" w:type="dxa"/>
            <w:vAlign w:val="bottom"/>
          </w:tcPr>
          <w:p>
            <w:pPr>
              <w:spacing w:after="0"/>
              <w:rPr>
                <w:sz w:val="18"/>
                <w:szCs w:val="18"/>
                <w:color w:val="auto"/>
              </w:rPr>
            </w:pPr>
          </w:p>
        </w:tc>
      </w:tr>
    </w:tbl>
    <w:p>
      <w:pPr>
        <w:spacing w:after="0" w:line="225" w:lineRule="exact"/>
        <w:rPr>
          <w:sz w:val="20"/>
          <w:szCs w:val="20"/>
          <w:color w:val="auto"/>
        </w:rPr>
      </w:pPr>
    </w:p>
    <w:p>
      <w:pPr>
        <w:ind w:left="424" w:right="140" w:hanging="424"/>
        <w:spacing w:after="0" w:line="281" w:lineRule="auto"/>
        <w:tabs>
          <w:tab w:leader="none" w:pos="424"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The Shareholder Adjournment Proposal. </w:t>
      </w:r>
      <w:r>
        <w:rPr>
          <w:rFonts w:ascii="Arial" w:cs="Arial" w:eastAsia="Arial" w:hAnsi="Arial"/>
          <w:sz w:val="17"/>
          <w:szCs w:val="17"/>
          <w:color w:val="auto"/>
        </w:rPr>
        <w:t>To consider and vote upon a proposal to approve by ordinary resolution the adjournment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extraordinary general meeting to a later date or dates, if necessary, to permit further solicitation and vote of proxies in the event that there are insufficient votes for the approval of one or more proposals at the extraordinary general meeting (the “Shareholder Adjournment Proposal”). The Shareholder Adjournment Proposal was approved. The final voting tabulation for this proposal was as follows:</w:t>
      </w:r>
    </w:p>
    <w:p>
      <w:pPr>
        <w:spacing w:after="0" w:line="191" w:lineRule="exact"/>
        <w:rPr>
          <w:sz w:val="20"/>
          <w:szCs w:val="20"/>
          <w:color w:val="auto"/>
        </w:rPr>
      </w:pPr>
    </w:p>
    <w:tbl>
      <w:tblPr>
        <w:tblLayout w:type="fixed"/>
        <w:tblInd w:w="664" w:type="dxa"/>
        <w:tblCellMar>
          <w:top w:w="0" w:type="dxa"/>
          <w:left w:w="0" w:type="dxa"/>
          <w:bottom w:w="0" w:type="dxa"/>
          <w:right w:w="0" w:type="dxa"/>
        </w:tblCellMar>
      </w:tblPr>
      <w:tr>
        <w:trPr>
          <w:trHeight w:val="167"/>
        </w:trPr>
        <w:tc>
          <w:tcPr>
            <w:tcW w:w="3340" w:type="dxa"/>
            <w:vAlign w:val="bottom"/>
          </w:tcPr>
          <w:p>
            <w:pPr>
              <w:spacing w:after="0"/>
              <w:rPr>
                <w:sz w:val="20"/>
                <w:szCs w:val="20"/>
                <w:color w:val="auto"/>
              </w:rPr>
            </w:pPr>
            <w:r>
              <w:rPr>
                <w:rFonts w:ascii="Arial" w:cs="Arial" w:eastAsia="Arial" w:hAnsi="Arial"/>
                <w:sz w:val="14"/>
                <w:szCs w:val="14"/>
                <w:color w:val="auto"/>
              </w:rPr>
              <w:t>FOR</w:t>
            </w:r>
          </w:p>
        </w:tc>
        <w:tc>
          <w:tcPr>
            <w:tcW w:w="26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AGAINST</w:t>
            </w:r>
          </w:p>
        </w:tc>
        <w:tc>
          <w:tcPr>
            <w:tcW w:w="24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ABSTAIN</w:t>
            </w:r>
          </w:p>
        </w:tc>
        <w:tc>
          <w:tcPr>
            <w:tcW w:w="20" w:type="dxa"/>
            <w:vAlign w:val="bottom"/>
          </w:tcPr>
          <w:p>
            <w:pPr>
              <w:spacing w:after="0"/>
              <w:rPr>
                <w:sz w:val="14"/>
                <w:szCs w:val="14"/>
                <w:color w:val="auto"/>
              </w:rPr>
            </w:pPr>
          </w:p>
        </w:tc>
      </w:tr>
      <w:tr>
        <w:trPr>
          <w:trHeight w:val="209"/>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11,962,495</w:t>
            </w:r>
          </w:p>
        </w:tc>
        <w:tc>
          <w:tcPr>
            <w:tcW w:w="5720" w:type="dxa"/>
            <w:vAlign w:val="bottom"/>
            <w:gridSpan w:val="3"/>
            <w:shd w:val="clear" w:color="auto" w:fill="CCEEFF"/>
          </w:tcPr>
          <w:p>
            <w:pPr>
              <w:jc w:val="right"/>
              <w:ind w:right="2460"/>
              <w:spacing w:after="0"/>
              <w:rPr>
                <w:sz w:val="20"/>
                <w:szCs w:val="20"/>
                <w:color w:val="auto"/>
              </w:rPr>
            </w:pPr>
            <w:r>
              <w:rPr>
                <w:rFonts w:ascii="Arial" w:cs="Arial" w:eastAsia="Arial" w:hAnsi="Arial"/>
                <w:sz w:val="18"/>
                <w:szCs w:val="18"/>
                <w:color w:val="auto"/>
              </w:rPr>
              <w:t>1,185,535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869,570</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The proposal to approve the adjournment of the Extraordinary General Meeting to a later date or dates, if necessary, to permit further solicitation and vote of proxies in the event that there are insufficient votes for the approval of one or more proposals at the Extraordinary General Meeting was deemed not necessary and not acted upon at the Extraordinary General Meeting because there were sufficient votes at the time of the Extraordinary General Meeting to approve the adoption of the required proposals.</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left="4" w:right="280"/>
        <w:spacing w:after="0" w:line="259" w:lineRule="auto"/>
        <w:rPr>
          <w:sz w:val="20"/>
          <w:szCs w:val="20"/>
          <w:color w:val="auto"/>
        </w:rPr>
      </w:pPr>
      <w:r>
        <w:rPr>
          <w:rFonts w:ascii="Arial" w:cs="Arial" w:eastAsia="Arial" w:hAnsi="Arial"/>
          <w:sz w:val="18"/>
          <w:szCs w:val="18"/>
          <w:color w:val="auto"/>
        </w:rPr>
        <w:t xml:space="preserve">On October 14, 2021, VIH issued a press release announcing that its shareholders voted to approve the Business Combination at the Extraordinary General Meeting. A copy of the press release is attached hereto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and incorporated by reference herein. Notwithstanding the foregoing, information contained on the websites of VIH or Bakkt or any of their affiliates referenced in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or linked therein or otherwise connected thereto does not constitute part of, nor is it incorporated by reference into, this Current Report.</w:t>
      </w:r>
    </w:p>
    <w:p>
      <w:pPr>
        <w:spacing w:after="0" w:line="187" w:lineRule="exact"/>
        <w:rPr>
          <w:sz w:val="20"/>
          <w:szCs w:val="20"/>
          <w:color w:val="auto"/>
        </w:rPr>
      </w:pPr>
    </w:p>
    <w:p>
      <w:pPr>
        <w:jc w:val="both"/>
        <w:ind w:left="4"/>
        <w:spacing w:after="0" w:line="311" w:lineRule="auto"/>
        <w:rPr>
          <w:sz w:val="20"/>
          <w:szCs w:val="20"/>
          <w:color w:val="auto"/>
        </w:rPr>
      </w:pPr>
      <w:r>
        <w:rPr>
          <w:rFonts w:ascii="Arial" w:cs="Arial" w:eastAsia="Arial" w:hAnsi="Arial"/>
          <w:sz w:val="16"/>
          <w:szCs w:val="16"/>
          <w:color w:val="auto"/>
        </w:rPr>
        <w:t xml:space="preserve">The information in this Item 7.01 and </w:t>
      </w:r>
      <w:r>
        <w:rPr>
          <w:rFonts w:ascii="Arial" w:cs="Arial" w:eastAsia="Arial" w:hAnsi="Arial"/>
          <w:sz w:val="16"/>
          <w:szCs w:val="16"/>
          <w:u w:val="single" w:color="auto"/>
          <w:color w:val="auto"/>
        </w:rPr>
        <w:t>Exhibit 99.1</w:t>
      </w:r>
      <w:r>
        <w:rPr>
          <w:rFonts w:ascii="Arial" w:cs="Arial" w:eastAsia="Arial" w:hAnsi="Arial"/>
          <w:sz w:val="16"/>
          <w:szCs w:val="16"/>
          <w:color w:val="auto"/>
        </w:rPr>
        <w:t xml:space="preserve">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left="4" w:right="520"/>
        <w:spacing w:after="0" w:line="308" w:lineRule="auto"/>
        <w:rPr>
          <w:sz w:val="20"/>
          <w:szCs w:val="20"/>
          <w:color w:val="auto"/>
        </w:rPr>
      </w:pPr>
      <w:r>
        <w:rPr>
          <w:rFonts w:ascii="Arial" w:cs="Arial" w:eastAsia="Arial" w:hAnsi="Arial"/>
          <w:sz w:val="17"/>
          <w:szCs w:val="17"/>
          <w:color w:val="auto"/>
        </w:rPr>
        <w:t>A total of 8,452,042 VIH Class A Ordinary Shares were presented for redemption in connection with the Business Combination. As a result, VIH expects there will be approximately $122,866,078.68 million remaining in the trust account following such redemptions.</w:t>
      </w:r>
    </w:p>
    <w:p>
      <w:pPr>
        <w:spacing w:after="0" w:line="291"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Exhibits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exhibits listed in the following Exhibit Index are filed as part of this Current Report.</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88"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as of October 14, 2021.</w:t>
      </w:r>
    </w:p>
    <w:p>
      <w:pPr>
        <w:spacing w:after="0" w:line="117"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4"/>
          </w:cols>
          <w:pgMar w:left="436" w:top="270" w:right="4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20" w:type="dxa"/>
            <w:vAlign w:val="bottom"/>
            <w:gridSpan w:val="2"/>
          </w:tcPr>
          <w:p>
            <w:pPr>
              <w:ind w:left="5280"/>
              <w:spacing w:after="0"/>
              <w:rPr>
                <w:sz w:val="20"/>
                <w:szCs w:val="20"/>
                <w:color w:val="auto"/>
              </w:rPr>
            </w:pPr>
            <w:r>
              <w:rPr>
                <w:rFonts w:ascii="Arial" w:cs="Arial" w:eastAsia="Arial" w:hAnsi="Arial"/>
                <w:sz w:val="18"/>
                <w:szCs w:val="18"/>
                <w:color w:val="auto"/>
              </w:rPr>
              <w:t>VPC Impact Acquisition Holdings</w:t>
            </w:r>
          </w:p>
        </w:tc>
        <w:tc>
          <w:tcPr>
            <w:tcW w:w="0" w:type="dxa"/>
            <w:vAlign w:val="bottom"/>
          </w:tcPr>
          <w:p>
            <w:pPr>
              <w:spacing w:after="0"/>
              <w:rPr>
                <w:sz w:val="1"/>
                <w:szCs w:val="1"/>
                <w:color w:val="auto"/>
              </w:rPr>
            </w:pPr>
          </w:p>
        </w:tc>
      </w:tr>
      <w:tr>
        <w:trPr>
          <w:trHeight w:val="432"/>
        </w:trPr>
        <w:tc>
          <w:tcPr>
            <w:tcW w:w="5840" w:type="dxa"/>
            <w:vAlign w:val="bottom"/>
          </w:tcPr>
          <w:p>
            <w:pPr>
              <w:spacing w:after="0"/>
              <w:rPr>
                <w:sz w:val="20"/>
                <w:szCs w:val="20"/>
                <w:color w:val="auto"/>
              </w:rPr>
            </w:pPr>
            <w:r>
              <w:rPr>
                <w:rFonts w:ascii="Arial" w:cs="Arial" w:eastAsia="Arial" w:hAnsi="Arial"/>
                <w:sz w:val="18"/>
                <w:szCs w:val="18"/>
                <w:color w:val="auto"/>
              </w:rPr>
              <w:t>Date: October 14, 2021</w:t>
            </w:r>
          </w:p>
        </w:tc>
        <w:tc>
          <w:tcPr>
            <w:tcW w:w="5180" w:type="dxa"/>
            <w:vAlign w:val="bottom"/>
            <w:vMerge w:val="restart"/>
          </w:tcPr>
          <w:p>
            <w:pPr>
              <w:spacing w:after="0"/>
              <w:rPr>
                <w:sz w:val="20"/>
                <w:szCs w:val="20"/>
                <w:color w:val="auto"/>
              </w:rPr>
            </w:pPr>
            <w:r>
              <w:rPr>
                <w:rFonts w:ascii="Arial" w:cs="Arial" w:eastAsia="Arial" w:hAnsi="Arial"/>
                <w:sz w:val="18"/>
                <w:szCs w:val="18"/>
                <w:color w:val="auto"/>
              </w:rPr>
              <w:t>/s/ John Martin</w:t>
            </w:r>
          </w:p>
        </w:tc>
        <w:tc>
          <w:tcPr>
            <w:tcW w:w="0" w:type="dxa"/>
            <w:vAlign w:val="bottom"/>
          </w:tcPr>
          <w:p>
            <w:pPr>
              <w:spacing w:after="0"/>
              <w:rPr>
                <w:sz w:val="1"/>
                <w:szCs w:val="1"/>
                <w:color w:val="auto"/>
              </w:rPr>
            </w:pPr>
          </w:p>
        </w:tc>
      </w:tr>
      <w:tr>
        <w:trPr>
          <w:trHeight w:val="221"/>
        </w:trPr>
        <w:tc>
          <w:tcPr>
            <w:tcW w:w="5840" w:type="dxa"/>
            <w:vAlign w:val="bottom"/>
          </w:tcPr>
          <w:p>
            <w:pPr>
              <w:ind w:left="528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5280"/>
              <w:spacing w:after="0"/>
              <w:rPr>
                <w:sz w:val="20"/>
                <w:szCs w:val="20"/>
                <w:color w:val="auto"/>
              </w:rPr>
            </w:pPr>
            <w:r>
              <w:rPr>
                <w:rFonts w:ascii="Arial" w:cs="Arial" w:eastAsia="Arial" w:hAnsi="Arial"/>
                <w:sz w:val="18"/>
                <w:szCs w:val="18"/>
                <w:color w:val="auto"/>
              </w:rPr>
              <w:t>Name:</w:t>
            </w:r>
          </w:p>
        </w:tc>
        <w:tc>
          <w:tcPr>
            <w:tcW w:w="5180" w:type="dxa"/>
            <w:vAlign w:val="bottom"/>
          </w:tcPr>
          <w:p>
            <w:pPr>
              <w:spacing w:after="0"/>
              <w:rPr>
                <w:sz w:val="20"/>
                <w:szCs w:val="20"/>
                <w:color w:val="auto"/>
              </w:rPr>
            </w:pPr>
            <w:r>
              <w:rPr>
                <w:rFonts w:ascii="Arial" w:cs="Arial" w:eastAsia="Arial" w:hAnsi="Arial"/>
                <w:sz w:val="18"/>
                <w:szCs w:val="18"/>
                <w:color w:val="auto"/>
              </w:rPr>
              <w:t>John Martin</w:t>
            </w:r>
          </w:p>
        </w:tc>
        <w:tc>
          <w:tcPr>
            <w:tcW w:w="0" w:type="dxa"/>
            <w:vAlign w:val="bottom"/>
          </w:tcPr>
          <w:p>
            <w:pPr>
              <w:spacing w:after="0"/>
              <w:rPr>
                <w:sz w:val="1"/>
                <w:szCs w:val="1"/>
                <w:color w:val="auto"/>
              </w:rPr>
            </w:pPr>
          </w:p>
        </w:tc>
      </w:tr>
      <w:tr>
        <w:trPr>
          <w:trHeight w:val="230"/>
        </w:trPr>
        <w:tc>
          <w:tcPr>
            <w:tcW w:w="5840" w:type="dxa"/>
            <w:vAlign w:val="bottom"/>
          </w:tcPr>
          <w:p>
            <w:pPr>
              <w:ind w:left="5280"/>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color w:val="auto"/>
              </w:rPr>
              <w:t>Chief Executive Officer and Chairman</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VPC Impact Acquisition Holdings Shareholders Approve Business Combination with Bakkt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Transaction Expected to Close on October 15,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Combined Company Expected to Begin Trading on the New York Stock Exchange Under the Symbol “BKKT” on October 18, 2021</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CHICAGO, IL – October 14, 2021 – VPC Impact Acquisition Holdings (“VIH”) (Nasdaq: VIHAU, VIH and VIHAW), a publicly traded special purpose acquisition company, today announced that, at the extraordinary general meeting of its shareholders held on October 14, 2021, the shareholders voted to approve its previously announced business combination (the “Business Combination”) with Bakkt Holdings, LLC (“Bakkt”), the digital asset marketplace founded in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Approximately 85.1% of the votes cast at the meeting voted to approve the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Business Combination is expected to close on October 15, 2021, subject to the satisfaction or waiver of customary closing conditions.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Upon closing, the combined company’s Class A common stock and warrants are expected to begin trading on the New York Stock Exchange (“NYSE”) under the ticker symbols “BKKT” and “BKKT WS”, respectively, starting Monday, October 18, 2021.</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formal results of the vote will be included in a Current Report on Form 8-K to be filed by VIH with the Securities and Exchange Commission (the “SEC”).</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VPC Impact Acquisition Holdings</w:t>
      </w:r>
    </w:p>
    <w:p>
      <w:pPr>
        <w:spacing w:after="0" w:line="121"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VPC Impact Acquisition Holdings’ sponsor is an affiliate of Victory Park Capital, a global investment firm with a long track record of executing debt and equity financing transactions with some of the largest global Fintech companies. The firm was founded in 2007 and is headquartered in Chicago with additional resources in New York, Los Angeles and Austin. Victory Park Capital is privately held and a Registered Investment Advisor with the SEC.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Bakkt</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Bakkt is a trusted digital asset marketplace that enables consumers to buy, sell, store and spend digital assets. Bakkt’s retail platform, now available through the recently-released Bakkt App and to partners through the Bakkt platform, amplifies consumer spending and bolsters loyalty programs, adding value for all key stakeholders within the Bakkt payments and digital assets ecosystem. Launched in 2018 by </w:t>
      </w:r>
      <w:r>
        <w:rPr>
          <w:rFonts w:ascii="Arial" w:cs="Arial" w:eastAsia="Arial" w:hAnsi="Arial"/>
          <w:sz w:val="18"/>
          <w:szCs w:val="18"/>
          <w:u w:val="single" w:color="auto"/>
          <w:color w:val="auto"/>
        </w:rPr>
        <w:t>Intercontinental Exchange, Inc.</w:t>
      </w:r>
      <w:r>
        <w:rPr>
          <w:rFonts w:ascii="Arial" w:cs="Arial" w:eastAsia="Arial" w:hAnsi="Arial"/>
          <w:sz w:val="18"/>
          <w:szCs w:val="18"/>
          <w:color w:val="auto"/>
        </w:rPr>
        <w:t xml:space="preserve">, Bakkt is headquartered in Alpharetta, GA. For more information, visit: </w:t>
      </w:r>
      <w:r>
        <w:rPr>
          <w:rFonts w:ascii="Arial" w:cs="Arial" w:eastAsia="Arial" w:hAnsi="Arial"/>
          <w:sz w:val="18"/>
          <w:szCs w:val="18"/>
          <w:u w:val="single" w:color="auto"/>
          <w:color w:val="auto"/>
        </w:rPr>
        <w:t>https://www.bakkt.com/</w:t>
      </w: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communication relates to the Business Combination between VIH and Bakkt, is for informational purposes only and shall not constitute an offer to sell or exchange, or the solicitation of an offer to buy or exchange, any securities pursuant to the Business Combination or otherwise, nor shall there be any sale of securities in any jurisdiction in which such offer, solicitation, sale or exchange would be unlawful prior to the registration or qualification under the securities laws of any such jurisdiction.</w:t>
      </w:r>
    </w:p>
    <w:p>
      <w:pPr>
        <w:spacing w:after="0" w:line="18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connection with the Business Combination, VIH filed a registration statement on Form S-4 that included a proxy statement/prospectus of VIH, which was declared effective by the SEC on September 17, 2021. This document does not contain all the information that should be considered concerning the Business Combination and is not intended to form the basis of any investment decision or any other decision in respect of the Business Combination.</w:t>
      </w:r>
    </w:p>
    <w:p>
      <w:pPr>
        <w:spacing w:after="0" w:line="14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INVESTORS AND SECURITY HOLDERS AND OTHER INTERESTED PARTIES ARE URGED TO READ THE DEFINITIVE PROXY STATEMENT/PROSPECTUS AND ANY OTHER RELEVANT DOCUMENTS THAT ARE FILED OR WILL BE FILED WITH THE SEC, AS WELL AS ANY AMENDMENTS OR SUPPLEMENTS TO THESE DOCUMENTS, CAREFULLY AND IN THEIR ENTIRETY BECAUSE THEY CONTAIN IMPORTANT INFORMATION ABOUT BAKKT, VIH, THE BUSINESS COMBINATION AND RELATED MATTERS.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VIH shareholders may obtain copies of the definitive proxy statement/prospectus and other documents filed with the SEC, without charge at the SEC’s website at www.sec.gov. These documents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Business Combination, including the implied enterprise value, the expected transaction and ownership structure and the likelihood and ability of the parties to successfully consummate the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Business Combination, including the occurrence of any event, change or other circumstances that could give rise to the termination of the definitive agreement; (ii) the inability</w:t>
      </w:r>
    </w:p>
    <w:p>
      <w:pPr>
        <w:sectPr>
          <w:pgSz w:w="11900" w:h="16838" w:orient="portrait"/>
          <w:cols w:equalWidth="0" w:num="1">
            <w:col w:w="10980"/>
          </w:cols>
          <w:pgMar w:left="440" w:top="270" w:right="479" w:bottom="1440" w:gutter="0" w:footer="0" w:header="0"/>
        </w:sectPr>
      </w:pPr>
    </w:p>
    <w:bookmarkStart w:id="7" w:name="page8"/>
    <w:bookmarkEnd w:id="7"/>
    <w:p>
      <w:pPr>
        <w:ind w:left="4"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complete the Business Combination due to the failure to obtain approval of Bakkt’s members, the failure to achieve the minimum amount of cash available following any redemptions by VIH’s shareholders or the failure to meet the national stock exchange’s listing standards in connection with the consummation of the Business Combination; (iii) costs related to the Business Combination; (iv) a delay or failure to realize the expected benefits from the Business Combination; (v) risks related to disruption of management time from ongoing business operations due to the Business Combination;</w:t>
      </w:r>
    </w:p>
    <w:p>
      <w:pPr>
        <w:spacing w:after="0" w:line="1" w:lineRule="exact"/>
        <w:rPr>
          <w:sz w:val="20"/>
          <w:szCs w:val="20"/>
          <w:color w:val="auto"/>
        </w:rPr>
      </w:pPr>
    </w:p>
    <w:p>
      <w:pPr>
        <w:ind w:left="4" w:hanging="4"/>
        <w:spacing w:after="0" w:line="268" w:lineRule="auto"/>
        <w:tabs>
          <w:tab w:leader="none" w:pos="309"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the definitive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For VIH:</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vihinfo@victoryparkcapital.com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Julia Fisher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Julia.Fisher@edelman.com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For Bakkt: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Ann DeVries, Head of Investor Relations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ann.devries@bakkt.com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Lauren Post, Head of Communications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Lauren.Post@bakkt.com</w:t>
      </w:r>
    </w:p>
    <w:sectPr>
      <w:pgSz w:w="11900" w:h="16838" w:orient="portrait"/>
      <w:cols w:equalWidth="0" w:num="1">
        <w:col w:w="10984"/>
      </w:cols>
      <w:pgMar w:left="436"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upperLetter"/>
      <w:start w:val="1"/>
    </w:lvl>
  </w:abstractNum>
  <w:abstractNum w:abstractNumId="8">
    <w:nsid w:val="DED7263"/>
    <w:multiLevelType w:val="hybridMultilevel"/>
    <w:lvl w:ilvl="0">
      <w:lvlJc w:val="left"/>
      <w:lvlText w:val="%1."/>
      <w:numFmt w:val="upperLetter"/>
      <w:start w:val="2"/>
    </w:lvl>
  </w:abstractNum>
  <w:abstractNum w:abstractNumId="9">
    <w:nsid w:val="7FDCC233"/>
    <w:multiLevelType w:val="hybridMultilevel"/>
    <w:lvl w:ilvl="0">
      <w:lvlJc w:val="left"/>
      <w:lvlText w:val="%1."/>
      <w:numFmt w:val="upperLetter"/>
      <w:start w:val="3"/>
    </w:lvl>
  </w:abstractNum>
  <w:abstractNum w:abstractNumId="10">
    <w:nsid w:val="1BEFD79F"/>
    <w:multiLevelType w:val="hybridMultilevel"/>
    <w:lvl w:ilvl="0">
      <w:lvlJc w:val="left"/>
      <w:lvlText w:val="%1."/>
      <w:numFmt w:val="upperLetter"/>
      <w:start w:val="4"/>
    </w:lvl>
  </w:abstractNum>
  <w:abstractNum w:abstractNumId="11">
    <w:nsid w:val="41A7C4C9"/>
    <w:multiLevelType w:val="hybridMultilevel"/>
    <w:lvl w:ilvl="0">
      <w:lvlJc w:val="left"/>
      <w:lvlText w:val="%1."/>
      <w:numFmt w:val="upperLetter"/>
      <w:start w:val="5"/>
    </w:lvl>
  </w:abstractNum>
  <w:abstractNum w:abstractNumId="12">
    <w:nsid w:val="6B68079A"/>
    <w:multiLevelType w:val="hybridMultilevel"/>
    <w:lvl w:ilvl="0">
      <w:lvlJc w:val="left"/>
      <w:lvlText w:val="%1."/>
      <w:numFmt w:val="upperLetter"/>
      <w:start w:val="6"/>
    </w:lvl>
  </w:abstractNum>
  <w:abstractNum w:abstractNumId="13">
    <w:nsid w:val="4E6AFB66"/>
    <w:multiLevelType w:val="hybridMultilevel"/>
    <w:lvl w:ilvl="0">
      <w:lvlJc w:val="left"/>
      <w:lvlText w:val="%1."/>
      <w:numFmt w:val="upperLetter"/>
      <w:start w:val="7"/>
    </w:lvl>
  </w:abstractNum>
  <w:abstractNum w:abstractNumId="14">
    <w:nsid w:val="25E45D32"/>
    <w:multiLevelType w:val="hybridMultilevel"/>
    <w:lvl w:ilvl="0">
      <w:lvlJc w:val="left"/>
      <w:lvlText w:val="%1."/>
      <w:numFmt w:val="decimal"/>
      <w:start w:val="6"/>
    </w:lvl>
  </w:abstractNum>
  <w:abstractNum w:abstractNumId="15">
    <w:nsid w:val="519B500D"/>
    <w:multiLevelType w:val="hybridMultilevel"/>
    <w:lvl w:ilvl="0">
      <w:lvlJc w:val="left"/>
      <w:lvlText w:val="%1."/>
      <w:numFmt w:val="decimal"/>
      <w:start w:val="7"/>
    </w:lvl>
  </w:abstractNum>
  <w:abstractNum w:abstractNumId="16">
    <w:nsid w:val="431BD7B7"/>
    <w:multiLevelType w:val="hybridMultilevel"/>
    <w:lvl w:ilvl="0">
      <w:lvlJc w:val="left"/>
      <w:lvlText w:val="%1."/>
      <w:numFmt w:val="decimal"/>
      <w:start w:val="8"/>
    </w:lvl>
  </w:abstractNum>
  <w:abstractNum w:abstractNumId="17">
    <w:nsid w:val="3F2DBA31"/>
    <w:multiLevelType w:val="hybridMultilevel"/>
    <w:lvl w:ilvl="0">
      <w:lvlJc w:val="left"/>
      <w:lvlText w:val="(%1)"/>
      <w:numFmt w:val="lowerLetter"/>
      <w:start w:val="4"/>
    </w:lvl>
  </w:abstractNum>
  <w:abstractNum w:abstractNumId="18">
    <w:nsid w:val="7C83E458"/>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2021-10-14T16:25:30Z</dcterms:created>
  <dcterms:modified xsi:type="dcterms:W3CDTF">2021-10-14T16:25:30Z</dcterms:modified>
</cp:coreProperties>
</file>