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VPC Impact Acquisition Holdings</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G9441E126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G9441E126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Sculptor Capital LP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520" w:type="dxa"/>
            <w:vAlign w:val="bottom"/>
            <w:tcBorders>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8"/>
              </w:rPr>
              <w:t>beneficially</w:t>
            </w: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person</w:t>
            </w: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6.77%</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IA</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G9441E126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Sculptor Capital Holding Corp.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520" w:type="dxa"/>
            <w:vAlign w:val="bottom"/>
            <w:tcBorders>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8"/>
              </w:rPr>
              <w:t>beneficially</w:t>
            </w: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person</w:t>
            </w: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6.77%</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G9441E126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Sculptor Capital Management, Inc.</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520" w:type="dxa"/>
            <w:vAlign w:val="bottom"/>
            <w:tcBorders>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8"/>
              </w:rPr>
              <w:t>beneficially</w:t>
            </w: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person</w:t>
            </w: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6.77%</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G9441E126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Sculptor Master Fund, Ltd.</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520" w:type="dxa"/>
            <w:vAlign w:val="bottom"/>
            <w:tcBorders>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8"/>
              </w:rPr>
              <w:t>beneficially</w:t>
            </w: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person</w:t>
            </w: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6.77%</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G9441E126</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Sculptor Special Funding, LP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520" w:type="dxa"/>
            <w:vAlign w:val="bottom"/>
            <w:tcBorders>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8"/>
              </w:rPr>
              <w:t>beneficially</w:t>
            </w: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0" w:type="dxa"/>
            <w:vAlign w:val="bottom"/>
            <w:tcBorders>
              <w:left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person</w:t>
            </w: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9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1,404,800</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6.77%</w:t>
            </w: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Sculptor Capital LP (“Sculptor”), a Delaware limited partnership, is the principal investment manager to a number of investment funds and discretionary accounts (collectively, the “Accounts”).</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Sculptor Capital Holding Corporation (“SCHC”), a Delaware corporation, serves as the general partner of Sculptor. The Ordinary Shares reported in this Schedule 13G are held in the Accounts managed by Sculptor.</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Sculptor Capital Management, Inc. (“SCU”), a Delaware limited liability company, is a holding company that is the sole shareholder of SCHC.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Sculptor Master Fund, Ltd. (“SCMF”) is a Cayman Islands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Sculptor Special Funding, LP (“NRMD”) is a Cayman Islands exempted limited partnership.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address of the principal business office of Sculptor, SCHC, and SCU is 9 West 57 Street, 39 Floor, New York, NY 10019.</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address of the principal business office of SCMF and NRMD is c/o State Street (Cayman) Trust, Limited, P.O. Box 896, Suite 3307, Gardenia Court, 45 Market Street, Camana Bay, Grand Cayman, Cayman Islands KY1-1103.</w:t>
      </w:r>
    </w:p>
    <w:p>
      <w:pPr>
        <w:sectPr>
          <w:pgSz w:w="11900" w:h="16838" w:orient="portrait"/>
          <w:cols w:equalWidth="0" w:num="1">
            <w:col w:w="11020"/>
          </w:cols>
          <w:pgMar w:left="440" w:top="270" w:right="439" w:bottom="1440" w:gutter="0" w:footer="0" w:header="0"/>
        </w:sectPr>
      </w:pPr>
    </w:p>
    <w:bookmarkStart w:id="6" w:name="page7"/>
    <w:bookmarkEnd w:id="6"/>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8"/>
          <w:szCs w:val="18"/>
          <w:color w:val="auto"/>
        </w:rPr>
        <w:t>Page 7 of 9</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1(a) Name of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VPC Impact Acquisition Holdings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Victory Park Capital Advisors,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150 North Riverside Plaza, Suite 5200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Chicago, IL 60606</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2(a) 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Sculptor Capital LP</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2(b) Address or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9 West 57</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u w:val="single" w:color="auto"/>
          <w:color w:val="auto"/>
        </w:rPr>
        <w:t xml:space="preserve"> Street, New York, New York 10019</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2(c) 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Delaware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2(d) 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Class A Ordinary Shares, par value $ 0.0001 per share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2(e) CUSIP No.:</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G9441E126</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If this statement is filed pursuant to §§240.13d–1(b) or 240.13d–2(b) or (c), check whether the person filing is a:</w:t>
      </w:r>
    </w:p>
    <w:p>
      <w:pPr>
        <w:spacing w:after="0" w:line="227" w:lineRule="exact"/>
        <w:rPr>
          <w:sz w:val="20"/>
          <w:szCs w:val="20"/>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924" w:right="360" w:hanging="924"/>
        <w:spacing w:after="0" w:line="239" w:lineRule="exact"/>
        <w:tabs>
          <w:tab w:leader="none" w:pos="452"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924" w:right="280" w:hanging="924"/>
        <w:spacing w:after="0" w:line="239" w:lineRule="exact"/>
        <w:tabs>
          <w:tab w:leader="none" w:pos="452"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w:t>
      </w:r>
    </w:p>
    <w:p>
      <w:pPr>
        <w:spacing w:after="0" w:line="343"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Ownership</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1,404,800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u w:val="single" w:color="auto"/>
          <w:color w:val="auto"/>
        </w:rPr>
        <w:t>6.77%</w:t>
      </w:r>
    </w:p>
    <w:p>
      <w:pPr>
        <w:sectPr>
          <w:pgSz w:w="11900" w:h="16838" w:orient="portrait"/>
          <w:cols w:equalWidth="0" w:num="1">
            <w:col w:w="11024"/>
          </w:cols>
          <w:pgMar w:left="436" w:top="270" w:right="439" w:bottom="1440" w:gutter="0" w:footer="0" w:header="0"/>
        </w:sectPr>
      </w:pPr>
    </w:p>
    <w:bookmarkStart w:id="7" w:name="page8"/>
    <w:bookmarkEnd w:id="7"/>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8"/>
          <w:szCs w:val="18"/>
          <w:color w:val="auto"/>
        </w:rPr>
        <w:t>Page 8 of 9</w:t>
      </w:r>
    </w:p>
    <w:p>
      <w:pPr>
        <w:spacing w:after="0" w:line="15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2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power to vote or to direct the vote </w:t>
      </w:r>
      <w:r>
        <w:rPr>
          <w:rFonts w:ascii="Times New Roman" w:cs="Times New Roman" w:eastAsia="Times New Roman" w:hAnsi="Times New Roman"/>
          <w:sz w:val="18"/>
          <w:szCs w:val="18"/>
          <w:b w:val="1"/>
          <w:bCs w:val="1"/>
          <w:u w:val="single" w:color="auto"/>
          <w:color w:val="auto"/>
        </w:rPr>
        <w:t>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1,404,800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power to dispose or to direct the disposition of </w:t>
      </w:r>
      <w:r>
        <w:rPr>
          <w:rFonts w:ascii="Times New Roman" w:cs="Times New Roman" w:eastAsia="Times New Roman" w:hAnsi="Times New Roman"/>
          <w:sz w:val="18"/>
          <w:szCs w:val="18"/>
          <w:b w:val="1"/>
          <w:bCs w:val="1"/>
          <w:u w:val="single" w:color="auto"/>
          <w:color w:val="auto"/>
        </w:rPr>
        <w:t>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1,404,800</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Sculptor serves as the principal investment manager to the Accounts and thus may be deemed to be the beneficial owner of Ordinary Shares, par value $0.0001 per share (“Ordinary Shares”) held in the Accounts managed by Sculptor. SCHC serves as the sole general partner of Sculptor. As such, SCHC may be deemed to control Sculptor and, therefore, may be deemed to be the beneficial owner of the Ordinary Shares reported in this Schedule 13G. SCU is the sole shareholder of SCHC, and, for purposes of this Schedule 13G, may be deemed to be the beneficial owner of the Ordinary Shares reported in this Schedule 13G.</w:t>
      </w:r>
    </w:p>
    <w:p>
      <w:pPr>
        <w:spacing w:after="0" w:line="183"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percentages used in this Item 4 are calculated based upon 20,737,202 Class A Ordinary Shares outstanding as of November 16, 2020, as reported in the Issuer’s Quarterly Report on Form 10-Q for the quarterly period ended September 30, 2020 filed November 16, 2020.</w:t>
      </w:r>
    </w:p>
    <w:p>
      <w:pPr>
        <w:spacing w:after="0" w:line="306" w:lineRule="exact"/>
        <w:rPr>
          <w:sz w:val="20"/>
          <w:szCs w:val="20"/>
          <w:color w:val="auto"/>
        </w:rPr>
      </w:pPr>
    </w:p>
    <w:p>
      <w:pPr>
        <w:ind w:left="984" w:right="120" w:hanging="984"/>
        <w:spacing w:after="0" w:line="238" w:lineRule="exact"/>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 xml:space="preserve">Ownership of 5 Percent or Less of a Class. </w:t>
      </w:r>
      <w:r>
        <w:rPr>
          <w:rFonts w:ascii="Times New Roman" w:cs="Times New Roman" w:eastAsia="Times New Roman" w:hAnsi="Times New Roman"/>
          <w:sz w:val="18"/>
          <w:szCs w:val="18"/>
          <w:i w:val="1"/>
          <w:iCs w:val="1"/>
          <w:color w:val="auto"/>
        </w:rPr>
        <w:t>If this statement is being filed to report the fact that as of the date hereof the reporting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Dissolution of a group requires a response to this item.</w:t>
      </w:r>
    </w:p>
    <w:p>
      <w:pPr>
        <w:spacing w:after="0" w:line="372"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w:t>
      </w:r>
    </w:p>
    <w:p>
      <w:pPr>
        <w:spacing w:after="0" w:line="370" w:lineRule="exact"/>
        <w:rPr>
          <w:sz w:val="20"/>
          <w:szCs w:val="20"/>
          <w:color w:val="auto"/>
        </w:rPr>
      </w:pPr>
    </w:p>
    <w:p>
      <w:pPr>
        <w:ind w:left="984" w:right="60" w:hanging="984"/>
        <w:spacing w:after="0" w:line="286" w:lineRule="auto"/>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8"/>
          <w:szCs w:val="18"/>
          <w:b w:val="1"/>
          <w:bCs w:val="1"/>
          <w:i w:val="1"/>
          <w:i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w:t>
      </w:r>
    </w:p>
    <w:p>
      <w:pPr>
        <w:spacing w:after="0" w:line="248"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Notice of Dissolution of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8"/>
          <w:szCs w:val="18"/>
          <w:b w:val="1"/>
          <w:bCs w:val="1"/>
          <w:i w:val="1"/>
          <w:iCs w:val="1"/>
          <w:color w:val="auto"/>
        </w:rPr>
        <w:t>Certifications</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4"/>
          </w:cols>
          <w:pgMar w:left="436" w:top="270" w:right="439" w:bottom="1440" w:gutter="0" w:footer="0" w:header="0"/>
        </w:sectPr>
      </w:pPr>
    </w:p>
    <w:bookmarkStart w:id="8" w:name="page9"/>
    <w:bookmarkEnd w:id="8"/>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8"/>
          <w:szCs w:val="18"/>
          <w:color w:val="auto"/>
        </w:rPr>
        <w:t>Page 9 of 9</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2021</w:t>
            </w:r>
          </w:p>
        </w:tc>
        <w:tc>
          <w:tcPr>
            <w:tcW w:w="6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Signature: /s/ 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SCULPTOR CAPITAL LP</w:t>
            </w:r>
          </w:p>
        </w:tc>
      </w:tr>
      <w:tr>
        <w:trPr>
          <w:trHeight w:val="414"/>
        </w:trPr>
        <w:tc>
          <w:tcPr>
            <w:tcW w:w="362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SCULPTOR CAPITAL HOLDING CORPORATION</w:t>
            </w:r>
          </w:p>
        </w:tc>
      </w:tr>
      <w:tr>
        <w:trPr>
          <w:trHeight w:val="414"/>
        </w:trPr>
        <w:tc>
          <w:tcPr>
            <w:tcW w:w="362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SCULPTOR CAPITAL MANAGEMENT, INC.</w:t>
            </w:r>
          </w:p>
        </w:tc>
      </w:tr>
      <w:tr>
        <w:trPr>
          <w:trHeight w:val="414"/>
        </w:trPr>
        <w:tc>
          <w:tcPr>
            <w:tcW w:w="362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SCULPTOR MASTER FUND, LTD.</w:t>
            </w:r>
          </w:p>
        </w:tc>
      </w:tr>
      <w:tr>
        <w:trPr>
          <w:trHeight w:val="414"/>
        </w:trPr>
        <w:tc>
          <w:tcPr>
            <w:tcW w:w="362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Wayne Cohen</w:t>
            </w:r>
          </w:p>
        </w:tc>
      </w:tr>
      <w:tr>
        <w:trPr>
          <w:trHeight w:val="216"/>
        </w:trPr>
        <w:tc>
          <w:tcPr>
            <w:tcW w:w="362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SCULPTOR SPECIAL FUNDING, LP</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2021-02-05T11:55:07Z</dcterms:created>
  <dcterms:modified xsi:type="dcterms:W3CDTF">2021-02-05T11:55:07Z</dcterms:modified>
</cp:coreProperties>
</file>