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Zemlin Sheela</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460" w:type="dxa"/>
            <w:vAlign w:val="bottom"/>
            <w:tcBorders>
              <w:top w:val="single" w:sz="8" w:color="0000EE"/>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04/15/2022</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585"/>
        <w:spacing w:after="0"/>
        <w:rPr>
          <w:sz w:val="20"/>
          <w:szCs w:val="20"/>
          <w:color w:val="auto"/>
        </w:rPr>
      </w:pPr>
      <w:r>
        <w:rPr>
          <w:rFonts w:ascii="Times New Roman" w:cs="Times New Roman" w:eastAsia="Times New Roman" w:hAnsi="Times New Roman"/>
          <w:sz w:val="17"/>
          <w:szCs w:val="17"/>
          <w:color w:val="0000FF"/>
        </w:rPr>
        <w:t>EVP, Chief Revenue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30009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04/15/2022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33,011</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321,147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and settlement of restricted stock units through the issuance of Class A Common Stock of the Issuer pursuant to the Bakkt Holdings, Inc. 2021 Omnibus Employee Incentive Plan, the Issuer withheld Class A Common Stock that would otherwise have been issued to the Reporting Person to satisfy her tax withholding obligations. The number of shares withheld was determined based on the closing price per share of Class A Common Stock on April 18, 2022.</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287,491 shares of Class A Common Stock subject to restricted stock units that remain subject to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Sheela</w:t>
      </w:r>
      <w:r>
        <w:rPr>
          <w:sz w:val="20"/>
          <w:szCs w:val="20"/>
          <w:color w:val="auto"/>
        </w:rPr>
        <w:tab/>
      </w:r>
      <w:r>
        <w:rPr>
          <w:rFonts w:ascii="Times New Roman" w:cs="Times New Roman" w:eastAsia="Times New Roman" w:hAnsi="Times New Roman"/>
          <w:sz w:val="17"/>
          <w:szCs w:val="17"/>
          <w:color w:val="0000FF"/>
        </w:rPr>
        <w:t>04/19/2022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Zemlin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48283"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2022-04-19T17:27:47Z</dcterms:created>
  <dcterms:modified xsi:type="dcterms:W3CDTF">2022-04-19T17:27:47Z</dcterms:modified>
</cp:coreProperties>
</file>