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76835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107950</wp:posOffset>
            </wp:positionV>
            <wp:extent cx="127000" cy="127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-411480</wp:posOffset>
            </wp:positionV>
            <wp:extent cx="127000" cy="12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5312410</wp:posOffset>
            </wp:positionH>
            <wp:positionV relativeFrom="paragraph">
              <wp:posOffset>-648335</wp:posOffset>
            </wp:positionV>
            <wp:extent cx="59055" cy="66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4040505</wp:posOffset>
            </wp:positionH>
            <wp:positionV relativeFrom="paragraph">
              <wp:posOffset>-648335</wp:posOffset>
            </wp:positionV>
            <wp:extent cx="59055" cy="66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766445</wp:posOffset>
            </wp:positionV>
            <wp:extent cx="6988810" cy="47580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475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4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Alexander Karen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 HOLDINGS,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ALPHARETTE GA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08/27/2024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39,637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 connection with the vesting of restricted stock units on August 26, 2024, the issuer withheld Class A Common Stock that would otherwise have been issued to the reporting person to satisfy such person's tax withholding obligations.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32,666 shares of Class A Common Stock subject to RSUs and performance stock units that remain subject to vesting.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926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Karen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9018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Alexander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45910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5" Type="http://schemas.openxmlformats.org/officeDocument/2006/relationships/hyperlink" Target="http://www.sec.gov/cgi-bin/browse-edgar?action=getcompany&amp;CIK=0001870910" TargetMode="External"/><Relationship Id="rId16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2025-02-14T18:41:37Z</dcterms:created>
  <dcterms:modified xsi:type="dcterms:W3CDTF">2025-02-14T18:41:37Z</dcterms:modified>
</cp:coreProperties>
</file>