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1442720</wp:posOffset>
            </wp:positionH>
            <wp:positionV relativeFrom="page">
              <wp:posOffset>1049020</wp:posOffset>
            </wp:positionV>
            <wp:extent cx="4663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1075055</wp:posOffset>
            </wp:positionV>
            <wp:extent cx="4663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64135</wp:posOffset>
            </wp:positionV>
            <wp:extent cx="2511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87630</wp:posOffset>
            </wp:positionV>
            <wp:extent cx="2511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6"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3440"/>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April 23,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64135</wp:posOffset>
            </wp:positionV>
            <wp:extent cx="2511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2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36"/>
          <w:szCs w:val="36"/>
          <w:b w:val="1"/>
          <w:bCs w:val="1"/>
          <w:color w:val="auto"/>
        </w:rPr>
        <w:t>Bakkt Holdings, Inc.</w:t>
      </w:r>
    </w:p>
    <w:p>
      <w:pPr>
        <w:ind w:left="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73025</wp:posOffset>
            </wp:positionV>
            <wp:extent cx="25114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22" w:lineRule="exact"/>
        <w:rPr>
          <w:sz w:val="24"/>
          <w:szCs w:val="24"/>
          <w:color w:val="auto"/>
        </w:rPr>
      </w:pPr>
    </w:p>
    <w:tbl>
      <w:tblPr>
        <w:tblLayout w:type="fixed"/>
        <w:tblInd w:w="1760" w:type="dxa"/>
        <w:tblCellMar>
          <w:top w:w="0" w:type="dxa"/>
          <w:left w:w="0" w:type="dxa"/>
          <w:bottom w:w="0" w:type="dxa"/>
          <w:right w:w="0" w:type="dxa"/>
        </w:tblCellMar>
      </w:tblPr>
      <w:tr>
        <w:trPr>
          <w:trHeight w:val="238"/>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001-39544</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8"/>
                <w:szCs w:val="18"/>
                <w:b w:val="1"/>
                <w:bCs w:val="1"/>
                <w:color w:val="auto"/>
              </w:rPr>
              <w:t>98-1550750</w:t>
            </w:r>
          </w:p>
        </w:tc>
      </w:tr>
      <w:tr>
        <w:trPr>
          <w:trHeight w:val="178"/>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45" w:lineRule="exact"/>
        <w:rPr>
          <w:sz w:val="24"/>
          <w:szCs w:val="24"/>
          <w:color w:val="auto"/>
        </w:rPr>
      </w:pPr>
    </w:p>
    <w:p>
      <w:pPr>
        <w:sectPr>
          <w:pgSz w:w="11900" w:h="16838" w:orient="portrait"/>
          <w:cols w:equalWidth="0" w:num="2">
            <w:col w:w="2720" w:space="720"/>
            <w:col w:w="7800"/>
          </w:cols>
          <w:pgMar w:left="320" w:top="1440" w:right="339" w:bottom="1440" w:gutter="0" w:footer="0" w:header="0"/>
          <w:type w:val="continuous"/>
        </w:sectPr>
      </w:pPr>
    </w:p>
    <w:tbl>
      <w:tblPr>
        <w:tblLayout w:type="fixed"/>
        <w:tblInd w:w="1360" w:type="dxa"/>
        <w:tblCellMar>
          <w:top w:w="0" w:type="dxa"/>
          <w:left w:w="0" w:type="dxa"/>
          <w:bottom w:w="0" w:type="dxa"/>
          <w:right w:w="0" w:type="dxa"/>
        </w:tblCellMar>
      </w:tblPr>
      <w:tr>
        <w:trPr>
          <w:trHeight w:val="207"/>
        </w:trPr>
        <w:tc>
          <w:tcPr>
            <w:tcW w:w="4800" w:type="dxa"/>
            <w:vAlign w:val="bottom"/>
          </w:tcPr>
          <w:p>
            <w:pPr>
              <w:jc w:val="center"/>
              <w:ind w:right="1916"/>
              <w:spacing w:after="0"/>
              <w:rPr>
                <w:sz w:val="20"/>
                <w:szCs w:val="20"/>
                <w:color w:val="auto"/>
              </w:rPr>
            </w:pPr>
            <w:r>
              <w:rPr>
                <w:rFonts w:ascii="Times New Roman" w:cs="Times New Roman" w:eastAsia="Times New Roman" w:hAnsi="Times New Roman"/>
                <w:sz w:val="18"/>
                <w:szCs w:val="18"/>
                <w:b w:val="1"/>
                <w:bCs w:val="1"/>
                <w:color w:val="auto"/>
                <w:w w:val="99"/>
              </w:rPr>
              <w:t>10000 Avalon Boulevard, Suite 1000,</w:t>
            </w:r>
          </w:p>
        </w:tc>
        <w:tc>
          <w:tcPr>
            <w:tcW w:w="2660" w:type="dxa"/>
            <w:vAlign w:val="bottom"/>
            <w:vMerge w:val="restart"/>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30009</w:t>
            </w:r>
          </w:p>
        </w:tc>
        <w:tc>
          <w:tcPr>
            <w:tcW w:w="0" w:type="dxa"/>
            <w:vAlign w:val="bottom"/>
          </w:tcPr>
          <w:p>
            <w:pPr>
              <w:spacing w:after="0"/>
              <w:rPr>
                <w:sz w:val="1"/>
                <w:szCs w:val="1"/>
                <w:color w:val="auto"/>
              </w:rPr>
            </w:pPr>
          </w:p>
        </w:tc>
      </w:tr>
      <w:tr>
        <w:trPr>
          <w:trHeight w:val="144"/>
        </w:trPr>
        <w:tc>
          <w:tcPr>
            <w:tcW w:w="4800" w:type="dxa"/>
            <w:vAlign w:val="bottom"/>
            <w:vMerge w:val="restart"/>
          </w:tcPr>
          <w:p>
            <w:pPr>
              <w:jc w:val="center"/>
              <w:ind w:right="1936"/>
              <w:spacing w:after="0"/>
              <w:rPr>
                <w:sz w:val="20"/>
                <w:szCs w:val="20"/>
                <w:color w:val="auto"/>
              </w:rPr>
            </w:pPr>
            <w:r>
              <w:rPr>
                <w:rFonts w:ascii="Times New Roman" w:cs="Times New Roman" w:eastAsia="Times New Roman" w:hAnsi="Times New Roman"/>
                <w:sz w:val="18"/>
                <w:szCs w:val="18"/>
                <w:b w:val="1"/>
                <w:bCs w:val="1"/>
                <w:color w:val="auto"/>
                <w:w w:val="99"/>
              </w:rPr>
              <w:t>Alpharetta, Georgia</w:t>
            </w: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800" w:type="dxa"/>
            <w:vAlign w:val="bottom"/>
            <w:vMerge w:val="continue"/>
          </w:tcPr>
          <w:p>
            <w:pPr>
              <w:spacing w:after="0"/>
              <w:rPr>
                <w:sz w:val="8"/>
                <w:szCs w:val="8"/>
                <w:color w:val="auto"/>
              </w:rPr>
            </w:pPr>
          </w:p>
        </w:tc>
        <w:tc>
          <w:tcPr>
            <w:tcW w:w="2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800" w:type="dxa"/>
            <w:vAlign w:val="bottom"/>
          </w:tcPr>
          <w:p>
            <w:pPr>
              <w:jc w:val="center"/>
              <w:ind w:right="193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60" w:type="dxa"/>
            <w:vAlign w:val="bottom"/>
          </w:tcPr>
          <w:p>
            <w:pPr>
              <w:jc w:val="center"/>
              <w:ind w:left="191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191135</wp:posOffset>
            </wp:positionV>
            <wp:extent cx="2511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20" w:right="68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4" w:lineRule="exact"/>
        <w:rPr>
          <w:sz w:val="24"/>
          <w:szCs w:val="24"/>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552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5"/>
        </w:trPr>
        <w:tc>
          <w:tcPr>
            <w:tcW w:w="5520" w:type="dxa"/>
            <w:vAlign w:val="bottom"/>
            <w:tcBorders>
              <w:bottom w:val="single" w:sz="8" w:color="auto"/>
            </w:tcBorders>
            <w:vMerge w:val="continue"/>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4"/>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38"/>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71"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51435</wp:posOffset>
            </wp:positionV>
            <wp:extent cx="4663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76835</wp:posOffset>
            </wp:positionV>
            <wp:extent cx="4663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7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April 23, 2024, Bakkt Holdings, Inc. (the “Company”) held a special meeting of the stockholders (the “Special Meeting”). At the Special Meeting, 46,760,441 shares of the Company’s Class A common stock (“Class A Common Stock”) and 177,681,925 shares of the Company’s Class V common stock (“Class V Common Stock” and, together with the Class A Common Stock, the “Common Stock”), together representing approximately 69.8% of the voting power of all issued and outstanding shares of Common Stock as of March 21, 2024, the record date for the Special Meeting, and constituting a quorum for the transaction of business, were present and voted on the following two proposals, each of which is described in more detail in the Company’s definitive proxy statement for the Special Meeting filed with the U.S. Securities and Exchange Commission on April 4, 2024 (the “Special Meeting Proxy Statement”).</w:t>
      </w:r>
    </w:p>
    <w:p>
      <w:pPr>
        <w:spacing w:after="0" w:line="185" w:lineRule="exact"/>
        <w:rPr>
          <w:sz w:val="20"/>
          <w:szCs w:val="20"/>
          <w:color w:val="auto"/>
        </w:rPr>
      </w:pPr>
    </w:p>
    <w:p>
      <w:pPr>
        <w:ind w:left="700" w:hanging="368"/>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NYSE Issuance Proposal</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Prior to being able to issue the (1) 8,772,016 shares of Class A Common Stock, Class 1 Warrants (“Class 1 Warrants”) to purchase up to 4,386,008 shares of Class A Common Stock and Class 2 Warrants (“Class 2 Warrants”) to purchase up to 4,386,008 shares of Class A Common Stock to Intercontinental Exchange Holdings, Inc. (“ICE”) in a subsequent closing pursuant to the securities purchase agreement, dated as of February 29, 2024, by and between the Company and ICE (the “ICE Purchase Agreement”), and (2) up to 14,417,531 shares of Class A Common Stock upon exercise of the alternative cashless exercise provision of the Class 2 Warrants that were issued in the concurrent registered direct offerings that initially closed on March 4, 2024 (the “Concurrent Registered Direct Offerings”), including those issued pursuant to the ICE Purchase Agreement, the Company must have obtained, pursuant to Section 312.03 of the New York Stock Exchange’s (the “NYSE”) Listed Company Manual (the “NYSE Manual”), the approval of the holders of a majority of the total votes of shares of Common Stock cast at the Special Meeting, excluding any shares of Class A Common Stock that were issued and acquired pursuant to the Concurrent Registered Direct Offerings prior to the record date for the Special Meeting (such proposal, the “NYSE Issuance Proposal”).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results for the NYSE Proposal were as follows:</w:t>
      </w:r>
    </w:p>
    <w:p>
      <w:pPr>
        <w:spacing w:after="0" w:line="262" w:lineRule="exact"/>
        <w:rPr>
          <w:sz w:val="20"/>
          <w:szCs w:val="20"/>
          <w:color w:val="auto"/>
        </w:rPr>
      </w:pPr>
    </w:p>
    <w:tbl>
      <w:tblPr>
        <w:tblLayout w:type="fixed"/>
        <w:tblInd w:w="760" w:type="dxa"/>
        <w:tblCellMar>
          <w:top w:w="0" w:type="dxa"/>
          <w:left w:w="0" w:type="dxa"/>
          <w:bottom w:w="0" w:type="dxa"/>
          <w:right w:w="0" w:type="dxa"/>
        </w:tblCellMar>
      </w:tblPr>
      <w:tr>
        <w:trPr>
          <w:trHeight w:val="238"/>
        </w:trPr>
        <w:tc>
          <w:tcPr>
            <w:tcW w:w="2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5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50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2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28"/>
        </w:trPr>
        <w:tc>
          <w:tcPr>
            <w:tcW w:w="22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208,531,459</w:t>
            </w: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15,547,882</w:t>
            </w:r>
          </w:p>
        </w:tc>
        <w:tc>
          <w:tcPr>
            <w:tcW w:w="300" w:type="dxa"/>
            <w:vAlign w:val="bottom"/>
            <w:shd w:val="clear" w:color="auto" w:fill="CCEEFF"/>
          </w:tcPr>
          <w:p>
            <w:pPr>
              <w:spacing w:after="0"/>
              <w:rPr>
                <w:sz w:val="19"/>
                <w:szCs w:val="19"/>
                <w:color w:val="auto"/>
              </w:rPr>
            </w:pPr>
          </w:p>
        </w:tc>
        <w:tc>
          <w:tcPr>
            <w:tcW w:w="22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363,025</w:t>
            </w: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
        </w:trPr>
        <w:tc>
          <w:tcPr>
            <w:tcW w:w="2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r>
    </w:tbl>
    <w:p>
      <w:pPr>
        <w:spacing w:after="0" w:line="2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After reviewing the voting results from the NYSE Issuance Proposal, the Company determined that the Company received the requisite approvals for treating the NYSE Issuance Proposal as having passed for purposes of Section 312.03 of the NYSE Manual.</w:t>
      </w:r>
    </w:p>
    <w:p>
      <w:pPr>
        <w:spacing w:after="0" w:line="14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Reverse Stock Split and Related Matters Proposal</w:t>
      </w:r>
    </w:p>
    <w:p>
      <w:pPr>
        <w:spacing w:after="0" w:line="21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The stockholders approved an amendment to the Company’s certificate of incorporation to effect a reverse stock split (the “Reverse Stock Split”) of the Company’s outstanding Common Stock, at a ratio equal to 1-for-25 (the “Reverse Stock Split Ratio”) and, contemporaneously with the Reverse Stock Split, a proportionate reduction in the number of authorized shares of Common Stock corresponding to the Reverse Stock Split Ratio. The voting results for such proposal were as follows:</w:t>
      </w:r>
    </w:p>
    <w:p>
      <w:pPr>
        <w:spacing w:after="0" w:line="231" w:lineRule="exact"/>
        <w:rPr>
          <w:sz w:val="20"/>
          <w:szCs w:val="20"/>
          <w:color w:val="auto"/>
        </w:rPr>
      </w:pPr>
    </w:p>
    <w:tbl>
      <w:tblPr>
        <w:tblLayout w:type="fixed"/>
        <w:tblInd w:w="760" w:type="dxa"/>
        <w:tblCellMar>
          <w:top w:w="0" w:type="dxa"/>
          <w:left w:w="0" w:type="dxa"/>
          <w:bottom w:w="0" w:type="dxa"/>
          <w:right w:w="0" w:type="dxa"/>
        </w:tblCellMar>
      </w:tblPr>
      <w:tr>
        <w:trPr>
          <w:trHeight w:val="238"/>
        </w:trPr>
        <w:tc>
          <w:tcPr>
            <w:tcW w:w="2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5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50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2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28"/>
        </w:trPr>
        <w:tc>
          <w:tcPr>
            <w:tcW w:w="22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203,297,493</w:t>
            </w: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21,007,645</w:t>
            </w:r>
          </w:p>
        </w:tc>
        <w:tc>
          <w:tcPr>
            <w:tcW w:w="300" w:type="dxa"/>
            <w:vAlign w:val="bottom"/>
            <w:shd w:val="clear" w:color="auto" w:fill="CCEEFF"/>
          </w:tcPr>
          <w:p>
            <w:pPr>
              <w:spacing w:after="0"/>
              <w:rPr>
                <w:sz w:val="19"/>
                <w:szCs w:val="19"/>
                <w:color w:val="auto"/>
              </w:rPr>
            </w:pPr>
          </w:p>
        </w:tc>
        <w:tc>
          <w:tcPr>
            <w:tcW w:w="22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137,228</w:t>
            </w: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
        </w:trPr>
        <w:tc>
          <w:tcPr>
            <w:tcW w:w="2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April 23, 2024, the Company issued a press release announcing the Reverse Stock Split. A copy of the press release is attached hereto as Exhibit 99.1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856615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April 25, 2024, the Company completed the subsequent sale and issuance of 8,772,016 shares of Class A Common Stock, Class 1 Warrants to purchase up to 4,386,008 shares of Class A Common Stock and Class 2 Warrants to purchase up to 4,386,008 shares of Class A Common Stock to ICE pursuant to the ICE Purchase Agreement. The Company received aggregate gross proceeds of approximately $7.6 million from such issuance, which it expects to use for working capital and other general corporate purposes.</w:t>
      </w:r>
    </w:p>
    <w:p>
      <w:pPr>
        <w:spacing w:after="0" w:line="17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64"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460" w:type="dxa"/>
            <w:vAlign w:val="bottom"/>
            <w:tcBorders>
              <w:bottom w:val="single" w:sz="8" w:color="auto"/>
            </w:tcBorders>
          </w:tcPr>
          <w:p>
            <w:pPr>
              <w:spacing w:after="0"/>
              <w:rPr>
                <w:sz w:val="20"/>
                <w:szCs w:val="20"/>
                <w:color w:val="auto"/>
              </w:rPr>
            </w:pPr>
          </w:p>
        </w:tc>
        <w:tc>
          <w:tcPr>
            <w:tcW w:w="628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2060" w:type="dxa"/>
            <w:vAlign w:val="bottom"/>
          </w:tcPr>
          <w:p>
            <w:pPr>
              <w:jc w:val="right"/>
              <w:ind w:right="79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87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dated April 23, 2024</w:t>
            </w:r>
          </w:p>
        </w:tc>
      </w:tr>
      <w:tr>
        <w:trPr>
          <w:trHeight w:val="20"/>
        </w:trPr>
        <w:tc>
          <w:tcPr>
            <w:tcW w:w="206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bl>
    <w:p>
      <w:pPr>
        <w:spacing w:after="0" w:line="49" w:lineRule="exact"/>
        <w:rPr>
          <w:sz w:val="20"/>
          <w:szCs w:val="20"/>
          <w:color w:val="auto"/>
        </w:rPr>
      </w:pPr>
    </w:p>
    <w:p>
      <w:pPr>
        <w:ind w:left="2240" w:hanging="1170"/>
        <w:spacing w:after="0"/>
        <w:tabs>
          <w:tab w:leader="none" w:pos="2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0"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56"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Marc D'Annunzio</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 D’Annunzio</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25, 2024</w:t>
      </w:r>
    </w:p>
    <w:p>
      <w:pPr>
        <w:sectPr>
          <w:pgSz w:w="11900" w:h="16838" w:orient="portrait"/>
          <w:cols w:equalWidth="0" w:num="1">
            <w:col w:w="11240"/>
          </w:cols>
          <w:pgMar w:left="320" w:top="1400" w:right="339" w:bottom="1440" w:gutter="0" w:footer="0" w:header="0"/>
        </w:sectPr>
      </w:pPr>
    </w:p>
    <w:bookmarkStart w:id="4" w:name="page5"/>
    <w:bookmarkEnd w:id="4"/>
    <w:p>
      <w:pPr>
        <w:spacing w:after="0" w:line="110"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Bakkt Announces Reverse Stock Split</w:t>
      </w:r>
    </w:p>
    <w:p>
      <w:pPr>
        <w:spacing w:after="0" w:line="14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i w:val="1"/>
          <w:iCs w:val="1"/>
          <w:color w:val="auto"/>
        </w:rPr>
        <w:t>1-for-25 Reverse Stock Split for Common Stock</w:t>
      </w:r>
    </w:p>
    <w:p>
      <w:pPr>
        <w:spacing w:after="0" w:line="14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i w:val="1"/>
          <w:iCs w:val="1"/>
          <w:color w:val="auto"/>
        </w:rPr>
        <w:t>Expected to Begin Trading on Reverse Split-Adjusted Basis on April 29, 2024</w:t>
      </w:r>
    </w:p>
    <w:p>
      <w:pPr>
        <w:spacing w:after="0" w:line="171" w:lineRule="exact"/>
        <w:rPr>
          <w:sz w:val="20"/>
          <w:szCs w:val="20"/>
          <w:color w:val="auto"/>
        </w:rPr>
      </w:pPr>
    </w:p>
    <w:p>
      <w:pPr>
        <w:ind w:right="20"/>
        <w:spacing w:after="0" w:line="259" w:lineRule="auto"/>
        <w:rPr>
          <w:sz w:val="20"/>
          <w:szCs w:val="20"/>
          <w:color w:val="auto"/>
        </w:rPr>
      </w:pPr>
      <w:r>
        <w:rPr>
          <w:rFonts w:ascii="Calibri" w:cs="Calibri" w:eastAsia="Calibri" w:hAnsi="Calibri"/>
          <w:sz w:val="20"/>
          <w:szCs w:val="20"/>
          <w:color w:val="auto"/>
        </w:rPr>
        <w:t>ALPHARETTA, Ga.--(</w:t>
      </w:r>
      <w:r>
        <w:rPr>
          <w:rFonts w:ascii="Calibri" w:cs="Calibri" w:eastAsia="Calibri" w:hAnsi="Calibri"/>
          <w:sz w:val="20"/>
          <w:szCs w:val="20"/>
          <w:u w:val="single" w:color="auto"/>
          <w:color w:val="0000FF"/>
        </w:rPr>
        <w:t>BUSINESS WIRE</w:t>
      </w:r>
      <w:r>
        <w:rPr>
          <w:rFonts w:ascii="Calibri" w:cs="Calibri" w:eastAsia="Calibri" w:hAnsi="Calibri"/>
          <w:sz w:val="20"/>
          <w:szCs w:val="20"/>
          <w:color w:val="auto"/>
        </w:rPr>
        <w:t>)--Bakkt Holdings, Inc. (NYSE: BKKT) today announced that, following approval by the Company's stockholders and its Board of Directors, the Company will efect a a reverse stock split (the “Reverse Stock Split”) of Bakkt’s Class A common stock, par value $0.0001 per share (“Class A Common Stock”), and Class V common stock, par value $0.0001 per share (“Class V Common Stock” and collectvely with the Class A Common Stock, the “Common Stock”), at a rato of 1-for-25 (the “Reverse Stock Split Rato”), efectve as of the close of the trading day on The New York Stock Exchange (the “NYSE”) on April 26, 2024 (the “Efectve Time”).</w:t>
      </w:r>
    </w:p>
    <w:p>
      <w:pPr>
        <w:spacing w:after="0" w:line="154" w:lineRule="exact"/>
        <w:rPr>
          <w:sz w:val="20"/>
          <w:szCs w:val="20"/>
          <w:color w:val="auto"/>
        </w:rPr>
      </w:pPr>
    </w:p>
    <w:p>
      <w:pPr>
        <w:ind w:right="40"/>
        <w:spacing w:after="0" w:line="262" w:lineRule="auto"/>
        <w:rPr>
          <w:sz w:val="20"/>
          <w:szCs w:val="20"/>
          <w:color w:val="auto"/>
        </w:rPr>
      </w:pPr>
      <w:r>
        <w:rPr>
          <w:rFonts w:ascii="Calibri" w:cs="Calibri" w:eastAsia="Calibri" w:hAnsi="Calibri"/>
          <w:sz w:val="20"/>
          <w:szCs w:val="20"/>
          <w:color w:val="auto"/>
        </w:rPr>
        <w:t>The Company’s Class A Common Stock is expected to begin trading on a reverse-split adjusted basis on NYSE as of the open of trading on April 29, 2024. Afer the Efectve Time, Bakkt will contnue to be subject to periodic reportng and other requirements under the Exchange Act and the Class A Common Stock and Public Warrants will contnue to be listed on the NYSE under the symbol “BKKT” and “BKKT WS,” respectvely.</w:t>
      </w:r>
    </w:p>
    <w:p>
      <w:pPr>
        <w:spacing w:after="0" w:line="149" w:lineRule="exact"/>
        <w:rPr>
          <w:sz w:val="20"/>
          <w:szCs w:val="20"/>
          <w:color w:val="auto"/>
        </w:rPr>
      </w:pPr>
    </w:p>
    <w:p>
      <w:pPr>
        <w:spacing w:after="0" w:line="255" w:lineRule="auto"/>
        <w:rPr>
          <w:sz w:val="20"/>
          <w:szCs w:val="20"/>
          <w:color w:val="auto"/>
        </w:rPr>
      </w:pPr>
      <w:r>
        <w:rPr>
          <w:rFonts w:ascii="Calibri" w:cs="Calibri" w:eastAsia="Calibri" w:hAnsi="Calibri"/>
          <w:sz w:val="20"/>
          <w:szCs w:val="20"/>
          <w:color w:val="auto"/>
        </w:rPr>
        <w:t>Following the Reverse Stock Split, the Company’s Class A Common Stock will have a new CUSIP number (05759B 305). The CUSIP number for the Company’s Public Warrants will not change.</w:t>
      </w:r>
    </w:p>
    <w:p>
      <w:pPr>
        <w:spacing w:after="0" w:line="156" w:lineRule="exact"/>
        <w:rPr>
          <w:sz w:val="20"/>
          <w:szCs w:val="20"/>
          <w:color w:val="auto"/>
        </w:rPr>
      </w:pPr>
    </w:p>
    <w:p>
      <w:pPr>
        <w:ind w:right="100"/>
        <w:spacing w:after="0" w:line="263" w:lineRule="auto"/>
        <w:rPr>
          <w:sz w:val="20"/>
          <w:szCs w:val="20"/>
          <w:color w:val="auto"/>
        </w:rPr>
      </w:pPr>
      <w:r>
        <w:rPr>
          <w:rFonts w:ascii="Calibri" w:cs="Calibri" w:eastAsia="Calibri" w:hAnsi="Calibri"/>
          <w:sz w:val="20"/>
          <w:szCs w:val="20"/>
          <w:color w:val="auto"/>
        </w:rPr>
        <w:t>As previously disclosed, the Company believes the Reverse Stock Split will increase the price per share of the Company's Class A Common Stock and thus enable it to regain compliance with the price criteria of Secton 802.01C of the NYSE Listed Company Manual (the “Listng Rule”). The Company, however, cannot assure that the price of its Class A Common Stock afer the Reverse Stock Split will refect the Reverse Split Rato, that the price per share following the Efectve Time will be maintained for any period of tme, or that the price will remain above the pre-split trading price.</w:t>
      </w:r>
    </w:p>
    <w:p>
      <w:pPr>
        <w:spacing w:after="0" w:line="147" w:lineRule="exact"/>
        <w:rPr>
          <w:sz w:val="20"/>
          <w:szCs w:val="20"/>
          <w:color w:val="auto"/>
        </w:rPr>
      </w:pPr>
    </w:p>
    <w:p>
      <w:pPr>
        <w:spacing w:after="0" w:line="259" w:lineRule="auto"/>
        <w:rPr>
          <w:sz w:val="20"/>
          <w:szCs w:val="20"/>
          <w:color w:val="auto"/>
        </w:rPr>
      </w:pPr>
      <w:r>
        <w:rPr>
          <w:rFonts w:ascii="Calibri" w:cs="Calibri" w:eastAsia="Calibri" w:hAnsi="Calibri"/>
          <w:sz w:val="20"/>
          <w:szCs w:val="20"/>
          <w:color w:val="auto"/>
        </w:rPr>
        <w:t>In connecton with the Reverse Stock Split, the Company will efect a corresponding and proportonal adjustment to its authorized shares of Common Stock, such that the 1,000,000,000 authorized shares of Common Stock, consistng of 750,000,000 shares of Class A Common Stock and 250,000,000 shares of Class V Common Stock will be reduced proportonately pursuant to 40,000,000 authorized shares of Common Stock, consistng of 30,000,000 shares of Class A Common Stock and 10,000,000 shares of Class V Common Stock. The par value per share of Common Stock and number of authorized shares of preferred stock will not change.</w:t>
      </w:r>
    </w:p>
    <w:p>
      <w:pPr>
        <w:spacing w:after="0" w:line="168" w:lineRule="exact"/>
        <w:rPr>
          <w:sz w:val="20"/>
          <w:szCs w:val="20"/>
          <w:color w:val="auto"/>
        </w:rPr>
      </w:pPr>
    </w:p>
    <w:p>
      <w:pPr>
        <w:ind w:right="120"/>
        <w:spacing w:after="0" w:line="259" w:lineRule="auto"/>
        <w:rPr>
          <w:sz w:val="20"/>
          <w:szCs w:val="20"/>
          <w:color w:val="auto"/>
        </w:rPr>
      </w:pPr>
      <w:r>
        <w:rPr>
          <w:rFonts w:ascii="Calibri" w:cs="Calibri" w:eastAsia="Calibri" w:hAnsi="Calibri"/>
          <w:sz w:val="20"/>
          <w:szCs w:val="20"/>
          <w:color w:val="auto"/>
        </w:rPr>
        <w:t>The Company will not issue fractonal shares in connecton with the Reverse Stock Split. Stockholders who would otherwise hold fractonal shares because the number of shares of Class A Common Stock they hold before the Reverse Stock Split is not evenly divisible by the Reverse Stock Split Rato will be enttled to receive cash (without interest, and subject to any required tax withholding applicable to a holder) in lieu of such fractonal shares. To maintain parity with the Class A Common Stock, holders of paired interests (each of which is a combinaton of one share of Class V Common Stock and one common unit of Bakkt Opco Holdings, LLC and is exchangeable into a share of Class A Common Stock on a one-for-one basis) will also be correspondingly adjusted for the Reverse Stock Split and be paid out in cash, applying the same per-share price, for any resultng fractonal interests. The Company does not</w:t>
      </w:r>
    </w:p>
    <w:p>
      <w:pPr>
        <w:sectPr>
          <w:pgSz w:w="11900" w:h="16838" w:orient="portrait"/>
          <w:cols w:equalWidth="0" w:num="1">
            <w:col w:w="11240"/>
          </w:cols>
          <w:pgMar w:left="320" w:top="1440" w:right="339" w:bottom="1440" w:gutter="0" w:footer="0" w:header="0"/>
        </w:sectPr>
      </w:pPr>
    </w:p>
    <w:bookmarkStart w:id="5" w:name="page6"/>
    <w:bookmarkEnd w:id="5"/>
    <w:p>
      <w:pPr>
        <w:spacing w:after="0" w:line="134" w:lineRule="exact"/>
        <w:rPr>
          <w:sz w:val="20"/>
          <w:szCs w:val="20"/>
          <w:color w:val="auto"/>
        </w:rPr>
      </w:pPr>
    </w:p>
    <w:p>
      <w:pPr>
        <w:jc w:val="both"/>
        <w:ind w:right="320"/>
        <w:spacing w:after="0" w:line="254" w:lineRule="auto"/>
        <w:rPr>
          <w:sz w:val="20"/>
          <w:szCs w:val="20"/>
          <w:color w:val="auto"/>
        </w:rPr>
      </w:pPr>
      <w:r>
        <w:rPr>
          <w:rFonts w:ascii="Calibri" w:cs="Calibri" w:eastAsia="Calibri" w:hAnsi="Calibri"/>
          <w:sz w:val="20"/>
          <w:szCs w:val="20"/>
          <w:color w:val="auto"/>
        </w:rPr>
        <w:t>antcipate that the aggregate cash amount it will pay in respect of fractonal interests will be material. Immediately afer the Reverse Stock Split, each stockholder’s percentage ownership interest in the Company and proportonal votng power will remain unchanged, except for minor changes that will result from the treatment of fractonal shares.</w:t>
      </w:r>
    </w:p>
    <w:p>
      <w:pPr>
        <w:spacing w:after="0" w:line="170" w:lineRule="exact"/>
        <w:rPr>
          <w:sz w:val="20"/>
          <w:szCs w:val="20"/>
          <w:color w:val="auto"/>
        </w:rPr>
      </w:pPr>
    </w:p>
    <w:p>
      <w:pPr>
        <w:ind w:right="40"/>
        <w:spacing w:after="0" w:line="257" w:lineRule="auto"/>
        <w:rPr>
          <w:sz w:val="20"/>
          <w:szCs w:val="20"/>
          <w:color w:val="auto"/>
        </w:rPr>
      </w:pPr>
      <w:r>
        <w:rPr>
          <w:rFonts w:ascii="Calibri" w:cs="Calibri" w:eastAsia="Calibri" w:hAnsi="Calibri"/>
          <w:sz w:val="20"/>
          <w:szCs w:val="20"/>
          <w:color w:val="auto"/>
        </w:rPr>
        <w:t>All of the Company’s outstanding warrants to purchase Class A Common Stock will be proportonately adjusted as a result of the Reverse Stock Split in accordance with the terms of the warrants. Proportonate adjustments will also be made to the Company's outstanding equity awards, as well as to the number of shares issuable under the Company's 2021 Omnibus Incentve Plan, as amended (the “2021 Omnibus Incentve Plan”).</w:t>
      </w:r>
    </w:p>
    <w:p>
      <w:pPr>
        <w:spacing w:after="0" w:line="169" w:lineRule="exact"/>
        <w:rPr>
          <w:sz w:val="20"/>
          <w:szCs w:val="20"/>
          <w:color w:val="auto"/>
        </w:rPr>
      </w:pPr>
    </w:p>
    <w:p>
      <w:pPr>
        <w:ind w:right="100"/>
        <w:spacing w:after="0" w:line="259" w:lineRule="auto"/>
        <w:rPr>
          <w:sz w:val="20"/>
          <w:szCs w:val="20"/>
          <w:color w:val="auto"/>
        </w:rPr>
      </w:pPr>
      <w:r>
        <w:rPr>
          <w:rFonts w:ascii="Calibri" w:cs="Calibri" w:eastAsia="Calibri" w:hAnsi="Calibri"/>
          <w:sz w:val="20"/>
          <w:szCs w:val="20"/>
          <w:color w:val="auto"/>
        </w:rPr>
        <w:t>Furthermore, as discussed in the Company’s defnitve proxy statement fled with the U.S. Securites and Exchange Commission (the “SEC”) on April 19, 2024 in respect of the Company’s 2024 annual meetng of stockholders, the proposal described therein relatng to the approval of an amendment to the 2021 Omnibus Incentve Plan to increase the number of shares of Class A Common Stock issuable thereunder will be automatcally adjusted to give efect to the Reverse Stock Split such that the proposed increase will be for 938,626 shares, rather 75,873,051 shares.</w:t>
      </w:r>
    </w:p>
    <w:p>
      <w:pPr>
        <w:spacing w:after="0" w:line="154" w:lineRule="exact"/>
        <w:rPr>
          <w:sz w:val="20"/>
          <w:szCs w:val="20"/>
          <w:color w:val="auto"/>
        </w:rPr>
      </w:pPr>
    </w:p>
    <w:p>
      <w:pPr>
        <w:spacing w:after="0" w:line="259" w:lineRule="auto"/>
        <w:rPr>
          <w:sz w:val="20"/>
          <w:szCs w:val="20"/>
          <w:color w:val="auto"/>
        </w:rPr>
      </w:pPr>
      <w:r>
        <w:rPr>
          <w:rFonts w:ascii="Calibri" w:cs="Calibri" w:eastAsia="Calibri" w:hAnsi="Calibri"/>
          <w:sz w:val="20"/>
          <w:szCs w:val="20"/>
          <w:color w:val="auto"/>
        </w:rPr>
        <w:t>Equinit Trust Company, LLC will serve as the exchange agent for the Reverse Stock Split. Registered stockholders holding pre-reverse split shares of the Company’s Common Stock electronically in book-entry form are not required to take any acton to receive post-reverse-split shares. Those stockholders who hold their shares in brokerage accounts or in “street name” will have their positons automatcally adjusted to refect the Reverse Stock Split, subject to each brokers’ partcular processes, and will not be required to take any acton in connecton with the Reverse Stock Split.</w:t>
      </w:r>
    </w:p>
    <w:p>
      <w:pPr>
        <w:spacing w:after="0" w:line="168" w:lineRule="exact"/>
        <w:rPr>
          <w:sz w:val="20"/>
          <w:szCs w:val="20"/>
          <w:color w:val="auto"/>
        </w:rPr>
      </w:pPr>
    </w:p>
    <w:p>
      <w:pPr>
        <w:ind w:right="400"/>
        <w:spacing w:after="0" w:line="254" w:lineRule="auto"/>
        <w:rPr>
          <w:sz w:val="20"/>
          <w:szCs w:val="20"/>
          <w:color w:val="auto"/>
        </w:rPr>
      </w:pPr>
      <w:r>
        <w:rPr>
          <w:rFonts w:ascii="Calibri" w:cs="Calibri" w:eastAsia="Calibri" w:hAnsi="Calibri"/>
          <w:sz w:val="20"/>
          <w:szCs w:val="20"/>
          <w:color w:val="auto"/>
        </w:rPr>
        <w:t xml:space="preserve">Additonal informaton about the Reverse Stock Split can be found in Bakkt’s defnitve proxy statement fled with the SEC on April 4, 2024, which is available free of charge at the SEC’s website, www.sec.gov, and on Bakkt’s Investor Relatons website at </w:t>
      </w:r>
      <w:r>
        <w:rPr>
          <w:rFonts w:ascii="Calibri" w:cs="Calibri" w:eastAsia="Calibri" w:hAnsi="Calibri"/>
          <w:sz w:val="20"/>
          <w:szCs w:val="20"/>
          <w:u w:val="single" w:color="auto"/>
          <w:color w:val="0000FF"/>
        </w:rPr>
        <w:t>htps://investors.bakkt.com/home/</w:t>
      </w:r>
      <w:r>
        <w:rPr>
          <w:rFonts w:ascii="Calibri" w:cs="Calibri" w:eastAsia="Calibri" w:hAnsi="Calibri"/>
          <w:sz w:val="20"/>
          <w:szCs w:val="20"/>
          <w:color w:val="000000"/>
        </w:rPr>
        <w:t>.</w:t>
      </w:r>
    </w:p>
    <w:p>
      <w:pPr>
        <w:spacing w:after="0" w:line="16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Bakkt</w:t>
      </w:r>
    </w:p>
    <w:p>
      <w:pPr>
        <w:spacing w:after="0" w:line="171" w:lineRule="exact"/>
        <w:rPr>
          <w:sz w:val="20"/>
          <w:szCs w:val="20"/>
          <w:color w:val="auto"/>
        </w:rPr>
      </w:pPr>
    </w:p>
    <w:p>
      <w:pPr>
        <w:ind w:right="220"/>
        <w:spacing w:after="0" w:line="255" w:lineRule="auto"/>
        <w:rPr>
          <w:sz w:val="20"/>
          <w:szCs w:val="20"/>
          <w:color w:val="auto"/>
        </w:rPr>
      </w:pPr>
      <w:r>
        <w:rPr>
          <w:rFonts w:ascii="Calibri" w:cs="Calibri" w:eastAsia="Calibri" w:hAnsi="Calibri"/>
          <w:sz w:val="20"/>
          <w:szCs w:val="20"/>
          <w:color w:val="auto"/>
        </w:rPr>
        <w:t>Founded in 2018, Bakkt builds solutons that enable our clients to grow with the crypto economy. Through insttutonal-grade custody, trading, and onramp capabilites, our clients leverage technology that’s built for sustainable, long-term involvement in crypto.</w:t>
      </w:r>
    </w:p>
    <w:p>
      <w:pPr>
        <w:spacing w:after="0" w:line="170" w:lineRule="exact"/>
        <w:rPr>
          <w:sz w:val="20"/>
          <w:szCs w:val="20"/>
          <w:color w:val="auto"/>
        </w:rPr>
      </w:pPr>
    </w:p>
    <w:p>
      <w:pPr>
        <w:ind w:right="780"/>
        <w:spacing w:after="0" w:line="242" w:lineRule="auto"/>
        <w:rPr>
          <w:sz w:val="20"/>
          <w:szCs w:val="20"/>
          <w:color w:val="auto"/>
        </w:rPr>
      </w:pPr>
      <w:r>
        <w:rPr>
          <w:rFonts w:ascii="Calibri" w:cs="Calibri" w:eastAsia="Calibri" w:hAnsi="Calibri"/>
          <w:sz w:val="20"/>
          <w:szCs w:val="20"/>
          <w:color w:val="auto"/>
        </w:rPr>
        <w:t xml:space="preserve">Bakkt is headquartered in Alphareta, GA. For more informaton, visit: </w:t>
      </w:r>
      <w:r>
        <w:rPr>
          <w:rFonts w:ascii="Calibri" w:cs="Calibri" w:eastAsia="Calibri" w:hAnsi="Calibri"/>
          <w:sz w:val="20"/>
          <w:szCs w:val="20"/>
          <w:u w:val="single" w:color="auto"/>
          <w:color w:val="0000FF"/>
        </w:rPr>
        <w:t>htps://www.bakkt.com/</w:t>
      </w:r>
      <w:r>
        <w:rPr>
          <w:rFonts w:ascii="Calibri" w:cs="Calibri" w:eastAsia="Calibri" w:hAnsi="Calibri"/>
          <w:sz w:val="20"/>
          <w:szCs w:val="20"/>
          <w:color w:val="auto"/>
        </w:rPr>
        <w:t xml:space="preserve"> | X (Formerly Twiter) @Bakkt | LinkedIn </w:t>
      </w:r>
      <w:r>
        <w:rPr>
          <w:rFonts w:ascii="Calibri" w:cs="Calibri" w:eastAsia="Calibri" w:hAnsi="Calibri"/>
          <w:sz w:val="20"/>
          <w:szCs w:val="20"/>
          <w:u w:val="single" w:color="auto"/>
          <w:color w:val="0000FF"/>
        </w:rPr>
        <w:t>htps://www.linkedin.com/company/bakkt/</w:t>
      </w:r>
      <w:r>
        <w:rPr>
          <w:rFonts w:ascii="Calibri" w:cs="Calibri" w:eastAsia="Calibri" w:hAnsi="Calibri"/>
          <w:sz w:val="20"/>
          <w:szCs w:val="20"/>
          <w:color w:val="auto"/>
        </w:rPr>
        <w:t>.</w:t>
      </w:r>
    </w:p>
    <w:p>
      <w:pPr>
        <w:spacing w:after="0" w:line="173" w:lineRule="exact"/>
        <w:rPr>
          <w:sz w:val="20"/>
          <w:szCs w:val="20"/>
          <w:color w:val="auto"/>
        </w:rPr>
      </w:pPr>
    </w:p>
    <w:p>
      <w:pPr>
        <w:spacing w:after="0"/>
        <w:rPr>
          <w:sz w:val="20"/>
          <w:szCs w:val="20"/>
          <w:color w:val="auto"/>
        </w:rPr>
      </w:pPr>
      <w:r>
        <w:rPr>
          <w:rFonts w:ascii="Calibri" w:cs="Calibri" w:eastAsia="Calibri" w:hAnsi="Calibri"/>
          <w:sz w:val="20"/>
          <w:szCs w:val="20"/>
          <w:color w:val="auto"/>
        </w:rPr>
        <w:t>Bakkt-C</w:t>
      </w:r>
    </w:p>
    <w:p>
      <w:pPr>
        <w:spacing w:after="0" w:line="16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Note on Forward-Looking Statements</w:t>
      </w:r>
    </w:p>
    <w:p>
      <w:pPr>
        <w:spacing w:after="0" w:line="184" w:lineRule="exact"/>
        <w:rPr>
          <w:sz w:val="20"/>
          <w:szCs w:val="20"/>
          <w:color w:val="auto"/>
        </w:rPr>
      </w:pPr>
    </w:p>
    <w:p>
      <w:pPr>
        <w:spacing w:after="0" w:line="259" w:lineRule="auto"/>
        <w:rPr>
          <w:sz w:val="20"/>
          <w:szCs w:val="20"/>
          <w:color w:val="auto"/>
        </w:rPr>
      </w:pPr>
      <w:r>
        <w:rPr>
          <w:rFonts w:ascii="Calibri" w:cs="Calibri" w:eastAsia="Calibri" w:hAnsi="Calibri"/>
          <w:sz w:val="20"/>
          <w:szCs w:val="20"/>
          <w:color w:val="auto"/>
        </w:rPr>
        <w:t>This press release contains “forward-looking statements” within the meaning of Secton 27A of the Securites Act of 1933, as amended, and Secton 21E of the Securites Exchange Act of 1934, as amended. Such statements include, but are not limited to, the future efectve date and intended efects of the Reverse Stock Split, the Company’s ability to maintain the listng of its Class A Common Stock on the NYSE, whether or not the Reverse Stock Split will cure any defciency under, and allow the Company to regain compliance with, the Listng Rule and the Company’s expected cash payout for fractonal</w:t>
      </w:r>
    </w:p>
    <w:p>
      <w:pPr>
        <w:sectPr>
          <w:pgSz w:w="11900" w:h="16838" w:orient="portrait"/>
          <w:cols w:equalWidth="0" w:num="1">
            <w:col w:w="11220"/>
          </w:cols>
          <w:pgMar w:left="320" w:top="1440" w:right="359" w:bottom="1440" w:gutter="0" w:footer="0" w:header="0"/>
        </w:sectPr>
      </w:pPr>
    </w:p>
    <w:bookmarkStart w:id="6" w:name="page7"/>
    <w:bookmarkEnd w:id="6"/>
    <w:p>
      <w:pPr>
        <w:spacing w:after="0" w:line="134" w:lineRule="exact"/>
        <w:rPr>
          <w:sz w:val="20"/>
          <w:szCs w:val="20"/>
          <w:color w:val="auto"/>
        </w:rPr>
      </w:pPr>
    </w:p>
    <w:p>
      <w:pPr>
        <w:spacing w:after="0" w:line="261" w:lineRule="auto"/>
        <w:rPr>
          <w:sz w:val="20"/>
          <w:szCs w:val="20"/>
          <w:color w:val="auto"/>
        </w:rPr>
      </w:pPr>
      <w:r>
        <w:rPr>
          <w:rFonts w:ascii="Calibri" w:cs="Calibri" w:eastAsia="Calibri" w:hAnsi="Calibri"/>
          <w:sz w:val="20"/>
          <w:szCs w:val="20"/>
          <w:color w:val="auto"/>
        </w:rPr>
        <w:t>interests, among others. Forward-looking statements can be identfed by words such as “will,” “likely,” “expect,” “contnue,” “antcipate,” “estmate,” “believe,” “intend,” “plan,” “projecton,” “outlook,” “grow,” “progress,” “potental” or words of similar meaning. Such forward-looking statements are based upon the current beliefs and expectatons of Bakkt’s management and are inherently subject to signifcant business, economic and compettve uncertaintes and contngencies, many of which are difcult to predict and beyond Bakkt’s control. Actual results and the tming of events may difer materially from the results antcipated in such forward-looking statements as a result of the following factors, among others: the Company’s ability to contnue as a going concern; the Company’s ability to grow and manage growth proftably; changes in the Company’s business strategy; the Company’s ability to integrate its acquisitons and achieve desired synergies; the Company’s future capital requirements and sources and uses of cash, including funds to satsfy its liquidity needs; the Company’s inability to maintain the listng of its securites on the New York Stock Exchange; changes in the market in which the Company competes, including with respect to its compettve landscape, technology evoluton or changes in applicable laws or regulatons; changes in the markets that the Company targets; disruptons in the crypto market that subject the Company to additonal risks, including the risk that banks may not provide banking services to the Company; the possibility that the Company may be adversely afected by other economic, business, and/or compettve factors; the inability to launch new services and products or to proftably expand into new markets and services; the inability to execute the Company’s growth strategies, including identfying and executng acquisitons and the Company’s initatves to add new clients; the Company’s failure to comply with extensive government regulaton, oversight, licensure and appraisals; uncertain regulatory regime governing blockchain technologies and crypto; the inability to develop and maintain efectve internal controls and procedures; the exposure to any liability, protracted and costly litgaton or reputatonal damage relatng to the Company’s data security; the impact of any goodwill or other intangible assets impairments on the Company’s operatng results; and other risks and uncertaintes indicated in the Company’s flings with the SEC. You are cautoned not to place undue reliance on such forward-looking statements. Such forward-looking statements relate only to events as of the date on which such statements are made and are based on informaton available to us as of the date of this press release. Unless otherwise required by law, we undertake no obligaton to update any forward-looking statements made in this press release to refect events or circumstances afer the date of this press release or to refect new informaton or the occurrence of unantcipated events.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Contacts</w:t>
      </w:r>
    </w:p>
    <w:p>
      <w:pPr>
        <w:spacing w:after="0" w:line="17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highlight w:val="white"/>
        </w:rPr>
        <w:t>Investor Relatons</w:t>
      </w:r>
    </w:p>
    <w:p>
      <w:pPr>
        <w:spacing w:after="0" w:line="20"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highlight w:val="white"/>
        </w:rPr>
        <w:t>IR@bakkt.com</w:t>
      </w:r>
      <w:r>
        <w:rPr>
          <w:sz w:val="1"/>
          <w:szCs w:val="1"/>
          <w:color w:val="auto"/>
        </w:rPr>
        <w:drawing>
          <wp:inline distT="0" distB="0" distL="0" distR="0">
            <wp:extent cx="2603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35" cy="128905"/>
                    </a:xfrm>
                    <a:prstGeom prst="rect">
                      <a:avLst/>
                    </a:prstGeom>
                    <a:noFill/>
                    <a:ln>
                      <a:noFill/>
                    </a:ln>
                  </pic:spPr>
                </pic:pic>
              </a:graphicData>
            </a:graphic>
          </wp:inline>
        </w:drawing>
      </w:r>
    </w:p>
    <w:p>
      <w:pPr>
        <w:spacing w:after="0" w:line="27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highlight w:val="white"/>
        </w:rPr>
        <w:t>Media</w:t>
      </w:r>
    </w:p>
    <w:p>
      <w:pPr>
        <w:spacing w:after="0" w:line="26"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highlight w:val="white"/>
        </w:rPr>
        <w:t>press@bakkt.com</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2024-04-25T16:24:21Z</dcterms:created>
  <dcterms:modified xsi:type="dcterms:W3CDTF">2024-04-25T16:24:21Z</dcterms:modified>
</cp:coreProperties>
</file>