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ind w:left="3584"/>
        <w:spacing w:after="0"/>
        <w:rPr>
          <w:sz w:val="20"/>
          <w:szCs w:val="20"/>
          <w:color w:val="auto"/>
        </w:rPr>
      </w:pPr>
      <w:r>
        <w:rPr>
          <w:rFonts w:ascii="Times New Roman" w:cs="Times New Roman" w:eastAsia="Times New Roman" w:hAnsi="Times New Roman"/>
          <w:sz w:val="32"/>
          <w:szCs w:val="32"/>
          <w:b w:val="1"/>
          <w:bCs w:val="1"/>
          <w:color w:val="auto"/>
        </w:rPr>
        <w:t>BAKKT HOLDINGS,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149860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October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416" w:right="4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98-1550750</w:t>
      </w:r>
    </w:p>
    <w:p>
      <w:pPr>
        <w:spacing w:after="0" w:line="24" w:lineRule="exact"/>
        <w:rPr>
          <w:sz w:val="20"/>
          <w:szCs w:val="20"/>
          <w:color w:val="auto"/>
        </w:rPr>
      </w:pPr>
    </w:p>
    <w:p>
      <w:pPr>
        <w:sectPr>
          <w:pgSz w:w="11900" w:h="16838" w:orient="portrait"/>
          <w:cols w:equalWidth="0" w:num="3">
            <w:col w:w="4500" w:space="720"/>
            <w:col w:w="2880" w:space="720"/>
            <w:col w:w="2200"/>
          </w:cols>
          <w:pgMar w:left="440" w:top="416" w:right="43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0"/>
          <w:szCs w:val="20"/>
          <w:color w:val="auto"/>
        </w:rPr>
      </w:pPr>
      <w:r>
        <w:rPr>
          <w:sz w:val="20"/>
          <w:szCs w:val="20"/>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93" w:lineRule="exact"/>
        <w:rPr>
          <w:sz w:val="20"/>
          <w:szCs w:val="20"/>
          <w:color w:val="auto"/>
        </w:rPr>
      </w:pPr>
    </w:p>
    <w:p>
      <w:pPr>
        <w:sectPr>
          <w:pgSz w:w="11900" w:h="16838" w:orient="portrait"/>
          <w:cols w:equalWidth="0" w:num="3">
            <w:col w:w="4480" w:space="720"/>
            <w:col w:w="2620" w:space="720"/>
            <w:col w:w="2480"/>
          </w:cols>
          <w:pgMar w:left="440" w:top="41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One Liberty Plaza, One Liberty St., Ste. 305-306,</w:t>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ectPr>
          <w:pgSz w:w="11900" w:h="16838" w:orient="portrait"/>
          <w:cols w:equalWidth="0" w:num="1">
            <w:col w:w="11020"/>
          </w:cols>
          <w:pgMar w:left="440" w:top="416" w:right="439" w:bottom="1440" w:gutter="0" w:footer="0" w:header="0"/>
          <w:type w:val="continuous"/>
        </w:sectPr>
      </w:pP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161925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0"/>
          <w:szCs w:val="20"/>
          <w:color w:val="auto"/>
        </w:rPr>
      </w:pPr>
    </w:p>
    <w:p>
      <w:pPr>
        <w:ind w:left="960" w:hanging="532"/>
        <w:spacing w:after="0"/>
        <w:tabs>
          <w:tab w:leader="none" w:pos="9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395" w:lineRule="auto"/>
        <w:tabs>
          <w:tab w:leader="none" w:pos="972"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$0.0001 per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to purchase Class A</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 Stock</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0"/>
          <w:szCs w:val="20"/>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416" w:right="439" w:bottom="1440" w:gutter="0" w:footer="0" w:header="0"/>
          <w:type w:val="continuous"/>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On September 9, 2025, Bakkt Holdings, Inc. (the “Company”) filed a definitive proxy statement on Schedule 14A (the “Proxy Statement”) with the Securities and Exchange Commission (the “SEC”). As previously reported, the special meeting of the Company’s stockholders (the “Special Meeting”) to approve the proposal of a one-time grant of options (“Options”) to select members of management (the “Grantees”) to purchase shares of the Company’s Class A common stock, par value $0.0001 per share (as defined and further described in the Proxy Statement, the “Options Proposal”), was called to order on October 7, 2025 and subsequently adjourned without opening the polls on the Options Proposal in order to allow the Company to solicit additional proxies with respect to the Options Proposal. As previously reported, the Special Meeting is scheduled to be reconvened on October 31, 2025 at 1:00 p.m. Eastern Time.</w:t>
      </w:r>
    </w:p>
    <w:p>
      <w:pPr>
        <w:spacing w:after="0" w:line="189" w:lineRule="exact"/>
        <w:rPr>
          <w:sz w:val="20"/>
          <w:szCs w:val="20"/>
          <w:color w:val="auto"/>
        </w:rPr>
      </w:pPr>
    </w:p>
    <w:p>
      <w:pPr>
        <w:ind w:right="160" w:firstLine="440"/>
        <w:spacing w:after="0" w:line="312" w:lineRule="auto"/>
        <w:rPr>
          <w:sz w:val="20"/>
          <w:szCs w:val="20"/>
          <w:color w:val="auto"/>
        </w:rPr>
      </w:pPr>
      <w:r>
        <w:rPr>
          <w:rFonts w:ascii="Times New Roman" w:cs="Times New Roman" w:eastAsia="Times New Roman" w:hAnsi="Times New Roman"/>
          <w:sz w:val="17"/>
          <w:szCs w:val="17"/>
          <w:color w:val="auto"/>
        </w:rPr>
        <w:t>The Company today announced that it has amended the Options Proposal as set forth below (such amended proposal, the “Amended Options Proposal”). As a result, the Company’s stockholders will be asked to consider and vote only on the Amended Options Proposal at the Special Meeting.</w:t>
      </w:r>
    </w:p>
    <w:p>
      <w:pPr>
        <w:spacing w:after="0" w:line="14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approving the Amended Options Proposal, the Company discussed and considered the Options and the terms thereof in consultation with management and external advisors, including the Company’s independent compensation consultant, and the Company incorporated feedback it had received from its stockholders and external advisors regarding the original Options Proposal. Under the Amended Options Proposal, the aggregate number of Options granted has been reduced from 7,450,000 Options to 2,000,000 Options, and the number of Options granted to each Grantee has been reduced on a pro rata basis. Additionally, under the Amended Options Proposal, any Options that are forfeited by a Grantee in accordance with the terms of the stock option award agreement documenting the grant of such Options will be available for reallocation and future grant to service providers of the Company, as identified by the Compensation Committee of the Board, and which grants will be in the form of stock options made on the same terms as the Options and will have an exercise price equal to or greater than fair market value as of such applicable date of grant.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 to Proxy Statement</w:t>
      </w:r>
    </w:p>
    <w:p>
      <w:pPr>
        <w:spacing w:after="0" w:line="121" w:lineRule="exact"/>
        <w:rPr>
          <w:sz w:val="20"/>
          <w:szCs w:val="20"/>
          <w:color w:val="auto"/>
        </w:rPr>
      </w:pPr>
    </w:p>
    <w:p>
      <w:pPr>
        <w:ind w:right="700" w:firstLine="440"/>
        <w:spacing w:after="0" w:line="312" w:lineRule="auto"/>
        <w:rPr>
          <w:sz w:val="20"/>
          <w:szCs w:val="20"/>
          <w:color w:val="auto"/>
        </w:rPr>
      </w:pPr>
      <w:r>
        <w:rPr>
          <w:rFonts w:ascii="Times New Roman" w:cs="Times New Roman" w:eastAsia="Times New Roman" w:hAnsi="Times New Roman"/>
          <w:sz w:val="17"/>
          <w:szCs w:val="17"/>
          <w:color w:val="auto"/>
        </w:rPr>
        <w:t>The Company hereby amends and supplements the Proxy Statement by amending and restating the section “Proposal No. 1: The Options Proposal” on pages 10-14 as follows (changes marked, with new text in bold and underlined and deleted text in bold and strikethrough):</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3" w:name="page4"/>
    <w:bookmarkEnd w:id="3"/>
    <w:p>
      <w:pPr>
        <w:ind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July 28, 2025, we conducted an underwritten public offering pursuant to which we offered and sold an aggregate of 6,753,627 shares of Class A Common Stock and, for certain purchasers, pre-funded warrants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i w:val="1"/>
          <w:iCs w:val="1"/>
          <w:color w:val="auto"/>
        </w:rPr>
        <w:t>”) to purchase an aggregate of 746,373 shares of Class A Common Stock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i w:val="1"/>
          <w:iCs w:val="1"/>
          <w:color w:val="auto"/>
        </w:rPr>
        <w:t>”). In connection with the Offering, members of the Company’s management</w:t>
      </w:r>
    </w:p>
    <w:p>
      <w:pPr>
        <w:spacing w:after="0" w:line="10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80"/>
          </w:cols>
          <w:pgMar w:left="880" w:top="268" w:right="539" w:bottom="1440" w:gutter="0" w:footer="0" w:header="0"/>
        </w:sectPr>
      </w:pPr>
    </w:p>
    <w:bookmarkStart w:id="4" w:name="page5"/>
    <w:bookmarkEnd w:id="4"/>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 Compensation Committee of the Board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i w:val="1"/>
          <w:iCs w:val="1"/>
          <w:color w:val="auto"/>
        </w:rPr>
        <w:t xml:space="preserve">”) determined that it was in the best interests of the Company and its stockholders for certain members of management to similarly have the opportunity to invest in the Company and strengthen alignment with the Company’s stockholders through increased stock ownership. In approving the grant of the Options, the Compensation Committee discussed and considered the Options and the terms thereof in consultation with management and external advisors, including the Company’s independent valuation consultant </w:t>
      </w:r>
      <w:r>
        <w:rPr>
          <w:rFonts w:ascii="Times New Roman" w:cs="Times New Roman" w:eastAsia="Times New Roman" w:hAnsi="Times New Roman"/>
          <w:sz w:val="18"/>
          <w:szCs w:val="18"/>
          <w:b w:val="1"/>
          <w:bCs w:val="1"/>
          <w:i w:val="1"/>
          <w:iCs w:val="1"/>
          <w:u w:val="single" w:color="auto"/>
          <w:color w:val="auto"/>
        </w:rPr>
        <w:t>and the Company’s independent compensation consultant</w:t>
      </w:r>
      <w:r>
        <w:rPr>
          <w:rFonts w:ascii="Times New Roman" w:cs="Times New Roman" w:eastAsia="Times New Roman" w:hAnsi="Times New Roman"/>
          <w:sz w:val="18"/>
          <w:szCs w:val="18"/>
          <w:i w:val="1"/>
          <w:iCs w:val="1"/>
          <w:color w:val="auto"/>
        </w:rPr>
        <w:t>. Upon review and consideration of the terms of the Options, the Compensation Committee concluded that granting the Options on the terms described herein would be appropriate to strengthen alignment between management’s incentives and the stockholders’ interests.</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Accordingly, the Board approved, after Compensation Committee approval and recommendation to the Board to approve, a one-time award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 stock options (the “</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i w:val="1"/>
          <w:iCs w:val="1"/>
          <w:color w:val="auto"/>
        </w:rPr>
        <w:t>”) to select members of management, subject to stockholder approval. The Options are structured as a commitment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by the grantee to exercise a predetermined number of Options every quarter for eight quarters (that committed number of Options,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Committed Options</w:t>
      </w:r>
      <w:r>
        <w:rPr>
          <w:rFonts w:ascii="Times New Roman" w:cs="Times New Roman" w:eastAsia="Times New Roman" w:hAnsi="Times New Roman"/>
          <w:sz w:val="17"/>
          <w:szCs w:val="17"/>
          <w:i w:val="1"/>
          <w:iCs w:val="1"/>
          <w:color w:val="auto"/>
        </w:rPr>
        <w:t>”) at an exercise price per share equal to $10.00, which reflects the fair market value of a share of Class A Common Stock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the date of grant, and which </w:t>
      </w:r>
      <w:r>
        <w:rPr>
          <w:rFonts w:ascii="Times New Roman" w:cs="Times New Roman" w:eastAsia="Times New Roman" w:hAnsi="Times New Roman"/>
          <w:sz w:val="17"/>
          <w:szCs w:val="17"/>
          <w:b w:val="1"/>
          <w:bCs w:val="1"/>
          <w:i w:val="1"/>
          <w:iCs w:val="1"/>
          <w:color w:val="auto"/>
          <w:strike w:val="1"/>
        </w:rPr>
        <w:t>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color w:val="auto"/>
        </w:rPr>
        <w:t>was</w:t>
      </w:r>
      <w:r>
        <w:rPr>
          <w:rFonts w:ascii="Times New Roman" w:cs="Times New Roman" w:eastAsia="Times New Roman" w:hAnsi="Times New Roman"/>
          <w:sz w:val="17"/>
          <w:szCs w:val="17"/>
          <w:i w:val="1"/>
          <w:iCs w:val="1"/>
          <w:color w:val="auto"/>
        </w:rPr>
        <w:t xml:space="preserve"> more than the trading price of our Class A Common Stock as of market close on the record date, which closing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price was $8.59 per share. If a grantee does not exercise the Committed Options in any given quarter, then all remaining Options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forfeited. The grantee must personally fund the exercise price to exercise the Committed Options.</w:t>
      </w:r>
    </w:p>
    <w:p>
      <w:pPr>
        <w:spacing w:after="0" w:line="97" w:lineRule="exact"/>
        <w:rPr>
          <w:sz w:val="20"/>
          <w:szCs w:val="20"/>
          <w:color w:val="auto"/>
        </w:rPr>
      </w:pPr>
    </w:p>
    <w:p>
      <w:pPr>
        <w:jc w:val="both"/>
        <w:ind w:right="60" w:firstLine="423"/>
        <w:spacing w:after="0" w:line="290" w:lineRule="auto"/>
        <w:rPr>
          <w:sz w:val="20"/>
          <w:szCs w:val="20"/>
          <w:color w:val="auto"/>
        </w:rPr>
      </w:pPr>
      <w:r>
        <w:rPr>
          <w:rFonts w:ascii="Times New Roman" w:cs="Times New Roman" w:eastAsia="Times New Roman" w:hAnsi="Times New Roman"/>
          <w:sz w:val="17"/>
          <w:szCs w:val="17"/>
          <w:i w:val="1"/>
          <w:iCs w:val="1"/>
          <w:color w:val="auto"/>
        </w:rPr>
        <w:t>To achieve the additional goal of strengthening alignment between management’s incentives and stockholders’ interests, for each quarter in which the grantee purchases shares by exercising the Committed Options, the grantee will be entitled to exercise an additional number of Options for up to one year. Here, grantee may elect to personally fund the exercise price to exercise these Options or may net-settle these Options.</w:t>
      </w:r>
    </w:p>
    <w:p>
      <w:pPr>
        <w:spacing w:after="0" w:line="45" w:lineRule="exact"/>
        <w:rPr>
          <w:sz w:val="20"/>
          <w:szCs w:val="20"/>
          <w:color w:val="auto"/>
        </w:rPr>
      </w:pPr>
    </w:p>
    <w:p>
      <w:pPr>
        <w:ind w:right="80" w:firstLine="423"/>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The Company engaged in discussion with shareholders and shareholder advisory firms to understand any suggestions that such constituencies may have with respect to the Options. In response to concerns about the magnitude of the Options and the impact on shareholder value transfer and dilution, after deliberation, review and further discussion with those shareholders as well as the Company’s outside compensation consultants and other external advisors, the Board and the Compensation Committee determined to make the following changes to the Options and the Options Proposal:</w:t>
      </w:r>
    </w:p>
    <w:p>
      <w:pPr>
        <w:spacing w:after="0" w:line="85" w:lineRule="exact"/>
        <w:rPr>
          <w:sz w:val="20"/>
          <w:szCs w:val="20"/>
          <w:color w:val="auto"/>
        </w:rPr>
      </w:pPr>
    </w:p>
    <w:p>
      <w:pPr>
        <w:ind w:left="1640" w:right="400" w:hanging="545"/>
        <w:spacing w:after="0" w:line="286" w:lineRule="auto"/>
        <w:tabs>
          <w:tab w:leader="none" w:pos="1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Reduce the aggregate number of Options granted from 7,450,000 Options to 2,000,000 Options, implementing such reduction amongst the grantees on a pro rata basis; and</w:t>
      </w:r>
    </w:p>
    <w:p>
      <w:pPr>
        <w:spacing w:after="0" w:line="60" w:lineRule="exact"/>
        <w:rPr>
          <w:rFonts w:ascii="Times New Roman" w:cs="Times New Roman" w:eastAsia="Times New Roman" w:hAnsi="Times New Roman"/>
          <w:sz w:val="18"/>
          <w:szCs w:val="18"/>
          <w:color w:val="auto"/>
        </w:rPr>
      </w:pPr>
    </w:p>
    <w:p>
      <w:pPr>
        <w:ind w:left="1640" w:right="160" w:hanging="545"/>
        <w:spacing w:after="0" w:line="262" w:lineRule="auto"/>
        <w:tabs>
          <w:tab w:leader="none" w:pos="1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Provide that any Options that are forfeited by a grantee in accordance with the terms of the stock option award agreement will be available for reallocation and future grant to service providers of the Company, as identified by the Compensation Committee, and which grant will be in the form of stock options made on the same terms as the Options and will have an exercise price equal to or greater than fair market value as of such applicable date of grant.</w:t>
      </w:r>
    </w:p>
    <w:p>
      <w:pPr>
        <w:spacing w:after="0" w:line="72" w:lineRule="exact"/>
        <w:rPr>
          <w:sz w:val="20"/>
          <w:szCs w:val="20"/>
          <w:color w:val="auto"/>
        </w:rPr>
      </w:pPr>
    </w:p>
    <w:p>
      <w:pPr>
        <w:ind w:right="20" w:firstLine="423"/>
        <w:spacing w:after="0" w:line="258" w:lineRule="auto"/>
        <w:rPr>
          <w:sz w:val="20"/>
          <w:szCs w:val="20"/>
          <w:color w:val="auto"/>
        </w:rPr>
      </w:pPr>
      <w:r>
        <w:rPr>
          <w:rFonts w:ascii="Times New Roman" w:cs="Times New Roman" w:eastAsia="Times New Roman" w:hAnsi="Times New Roman"/>
          <w:sz w:val="18"/>
          <w:szCs w:val="18"/>
          <w:color w:val="auto"/>
        </w:rPr>
        <w:t xml:space="preserve">The Board and the Compensation Committee believe that this focused approach to obtaining further investment by members of management in the Company and furthering alignment with stockholders is in the best interests of the Company and our stockholders. </w:t>
      </w:r>
      <w:r>
        <w:rPr>
          <w:rFonts w:ascii="Times New Roman" w:cs="Times New Roman" w:eastAsia="Times New Roman" w:hAnsi="Times New Roman"/>
          <w:sz w:val="18"/>
          <w:szCs w:val="18"/>
          <w:b w:val="1"/>
          <w:bCs w:val="1"/>
          <w:i w:val="1"/>
          <w:iCs w:val="1"/>
          <w:u w:val="single" w:color="auto"/>
          <w:color w:val="auto"/>
        </w:rPr>
        <w:t>The Options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promotes the goal of aligning the interests of members of management and the Company’s shareholders by facilitating management’s continued direct investment in the Company and provides the Board and the Compensation Committee flexibility to ensure that service providers of the Company – whether currently or subsequently identified – are incentivized and invested in the Company.</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66" w:right="459" w:bottom="1440" w:gutter="0" w:footer="0" w:header="0"/>
        </w:sectPr>
      </w:pPr>
    </w:p>
    <w:bookmarkStart w:id="5" w:name="page6"/>
    <w:bookmarkEnd w:id="5"/>
    <w:p>
      <w:pPr>
        <w:ind w:right="260" w:firstLine="423"/>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form of stock option award agreement for the Options is attached as Annex A to this proxy statement, and the following discussion is qualified in its entirety by reference to Annex A.</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Material Terms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After deliberation, review and discussion, including with members of management and external advisors, the Board and Compensation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Committee approved the grant of Options to purchase </w:t>
      </w:r>
      <w:r>
        <w:rPr>
          <w:rFonts w:ascii="Times New Roman" w:cs="Times New Roman" w:eastAsia="Times New Roman" w:hAnsi="Times New Roman"/>
          <w:sz w:val="18"/>
          <w:szCs w:val="18"/>
          <w:b w:val="1"/>
          <w:bCs w:val="1"/>
          <w:i w:val="1"/>
          <w:iCs w:val="1"/>
          <w:color w:val="auto"/>
          <w:strike w:val="1"/>
        </w:rPr>
        <w:t>7,450,000</w:t>
      </w:r>
      <w:r>
        <w:rPr>
          <w:rFonts w:ascii="Times New Roman" w:cs="Times New Roman" w:eastAsia="Times New Roman" w:hAnsi="Times New Roman"/>
          <w:sz w:val="18"/>
          <w:szCs w:val="18"/>
          <w:b w:val="1"/>
          <w:bCs w:val="1"/>
          <w:i w:val="1"/>
          <w:iCs w:val="1"/>
          <w:u w:val="single" w:color="auto"/>
          <w:color w:val="auto"/>
        </w:rPr>
        <w:t>2,000,000</w:t>
      </w:r>
      <w:r>
        <w:rPr>
          <w:rFonts w:ascii="Times New Roman" w:cs="Times New Roman" w:eastAsia="Times New Roman" w:hAnsi="Times New Roman"/>
          <w:sz w:val="18"/>
          <w:szCs w:val="18"/>
          <w:i w:val="1"/>
          <w:iCs w:val="1"/>
          <w:color w:val="auto"/>
        </w:rPr>
        <w:t xml:space="preserve"> shares of Class A Common Stock, in the aggregate, to 10 select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members of management, who were selected based on their membership in the senior management of the Company as well as personal interest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participation in the program. Based on the closing trading price of our Class A Common Stock on the New York Stock Exchange on the record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date of $8.59 per share, the aggregate market value of the shares of Class A Common Stock underlying the Options would be </w:t>
      </w:r>
      <w:r>
        <w:rPr>
          <w:rFonts w:ascii="Times New Roman" w:cs="Times New Roman" w:eastAsia="Times New Roman" w:hAnsi="Times New Roman"/>
          <w:sz w:val="18"/>
          <w:szCs w:val="18"/>
          <w:b w:val="1"/>
          <w:bCs w:val="1"/>
          <w:i w:val="1"/>
          <w:iCs w:val="1"/>
          <w:color w:val="auto"/>
          <w:strike w:val="1"/>
        </w:rPr>
        <w:t>$(10,504,500)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$(2,820,000), and based on the closing trading price of our Class A Common Stock on the New York Stock Exchange on October 21, 2025,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latest practicable date, of $32.14 per share, the aggregate market value of the shares of Class A Common Stock underlying the Options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be $44,280,000</w:t>
      </w:r>
      <w:r>
        <w:rPr>
          <w:rFonts w:ascii="Times New Roman" w:cs="Times New Roman" w:eastAsia="Times New Roman" w:hAnsi="Times New Roman"/>
          <w:sz w:val="18"/>
          <w:szCs w:val="18"/>
          <w:i w:val="1"/>
          <w:iCs w:val="1"/>
          <w:color w:val="auto"/>
        </w:rPr>
        <w:t>. No consideration was received by the Company for the granting of the Options.</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Plan and Administration</w:t>
      </w:r>
    </w:p>
    <w:p>
      <w:pPr>
        <w:spacing w:after="0" w:line="115" w:lineRule="exact"/>
        <w:rPr>
          <w:sz w:val="20"/>
          <w:szCs w:val="20"/>
          <w:color w:val="auto"/>
        </w:rPr>
      </w:pPr>
    </w:p>
    <w:p>
      <w:pPr>
        <w:ind w:right="20" w:firstLine="423"/>
        <w:spacing w:after="0" w:line="257" w:lineRule="auto"/>
        <w:rPr>
          <w:sz w:val="20"/>
          <w:szCs w:val="20"/>
          <w:color w:val="auto"/>
        </w:rPr>
      </w:pPr>
      <w:r>
        <w:rPr>
          <w:rFonts w:ascii="Times New Roman" w:cs="Times New Roman" w:eastAsia="Times New Roman" w:hAnsi="Times New Roman"/>
          <w:sz w:val="18"/>
          <w:szCs w:val="18"/>
          <w:i w:val="1"/>
          <w:iCs w:val="1"/>
          <w:color w:val="auto"/>
        </w:rPr>
        <w:t>Due to the limited share reserve under the Bakkt Holdings, Inc. 2021 Omnibus Employee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i w:val="1"/>
          <w:iCs w:val="1"/>
          <w:color w:val="auto"/>
        </w:rPr>
        <w:t>”), the Options were granted outside the Plan and subject to stockholder approval. Notwithstanding the foregoing, the Options will be governed in all respects as if issued under the Plan, except with respect to the Plan’s minimum vesting requirements. Accordingly, the Compensation Committee will administer the Options and have the authority in its sole discretion to, among other actions: construe, interpret and implement the Options; amend the Options in any respect without stockholder approval; and determine the treatment of the Options in the event of a change in control of the Company.</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Grant Date and Exercise Price</w:t>
      </w:r>
    </w:p>
    <w:p>
      <w:pPr>
        <w:spacing w:after="0" w:line="117" w:lineRule="exact"/>
        <w:rPr>
          <w:sz w:val="20"/>
          <w:szCs w:val="20"/>
          <w:color w:val="auto"/>
        </w:rPr>
      </w:pPr>
    </w:p>
    <w:p>
      <w:pPr>
        <w:jc w:val="both"/>
        <w:ind w:right="22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Options were granted on July 29, 2025, in connection with the Board’s approval of the Transactions, with an exercise price per share equal to $10.00, which reflects the fair market value of a share of Class A Common Stock on the date of grant and </w:t>
      </w:r>
      <w:r>
        <w:rPr>
          <w:rFonts w:ascii="Times New Roman" w:cs="Times New Roman" w:eastAsia="Times New Roman" w:hAnsi="Times New Roman"/>
          <w:sz w:val="18"/>
          <w:szCs w:val="18"/>
          <w:b w:val="1"/>
          <w:bCs w:val="1"/>
          <w:i w:val="1"/>
          <w:iCs w:val="1"/>
          <w:u w:val="single" w:color="auto"/>
          <w:color w:val="auto"/>
        </w:rPr>
        <w:t>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was</w:t>
      </w:r>
      <w:r>
        <w:rPr>
          <w:rFonts w:ascii="Times New Roman" w:cs="Times New Roman" w:eastAsia="Times New Roman" w:hAnsi="Times New Roman"/>
          <w:sz w:val="18"/>
          <w:szCs w:val="18"/>
          <w:i w:val="1"/>
          <w:iCs w:val="1"/>
          <w:color w:val="auto"/>
        </w:rPr>
        <w:t xml:space="preserve"> more than the trading price of our Class A Common Stock as of market close on the record date, which closing trading price was $8.59 per share.</w:t>
      </w:r>
    </w:p>
    <w:p>
      <w:pPr>
        <w:spacing w:after="0" w:line="173"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i w:val="1"/>
          <w:iCs w:val="1"/>
          <w:color w:val="auto"/>
        </w:rPr>
        <w:t>For purposes of valuing the Options, in accordance with applicable US GAAP and SEC accounting rules and guidance, we have assumed a stock price volatility of 85%, which is based on both historical stock price volatility and benchmarking to guideline companies that align with our go forward pure-play crypto infrastructure strategy. However, it is management’s belief that the Company’s stock price volatility may be lower than the assumed stock price volatility, as the Company’s shift in business strategy to a pure-play crypto infrastructure company and the increased public float for its shares reduces the volatility historically observed in the stock price.</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Exercise Schedule</w:t>
      </w:r>
    </w:p>
    <w:p>
      <w:pPr>
        <w:spacing w:after="0" w:line="115" w:lineRule="exact"/>
        <w:rPr>
          <w:sz w:val="20"/>
          <w:szCs w:val="20"/>
          <w:color w:val="auto"/>
        </w:rPr>
      </w:pPr>
    </w:p>
    <w:p>
      <w:pPr>
        <w:ind w:right="120" w:firstLine="423"/>
        <w:spacing w:after="0" w:line="262" w:lineRule="auto"/>
        <w:rPr>
          <w:sz w:val="20"/>
          <w:szCs w:val="20"/>
          <w:color w:val="auto"/>
        </w:rPr>
      </w:pPr>
      <w:r>
        <w:rPr>
          <w:rFonts w:ascii="Times New Roman" w:cs="Times New Roman" w:eastAsia="Times New Roman" w:hAnsi="Times New Roman"/>
          <w:sz w:val="18"/>
          <w:szCs w:val="18"/>
          <w:i w:val="1"/>
          <w:iCs w:val="1"/>
          <w:color w:val="auto"/>
        </w:rPr>
        <w:t>One-eighth of each grantee’s Options will become exercisable each quarter (each, a “</w:t>
      </w:r>
      <w:r>
        <w:rPr>
          <w:rFonts w:ascii="Times New Roman" w:cs="Times New Roman" w:eastAsia="Times New Roman" w:hAnsi="Times New Roman"/>
          <w:sz w:val="18"/>
          <w:szCs w:val="18"/>
          <w:b w:val="1"/>
          <w:bCs w:val="1"/>
          <w:i w:val="1"/>
          <w:iCs w:val="1"/>
          <w:color w:val="auto"/>
        </w:rPr>
        <w:t>Quarterly Tranche</w:t>
      </w:r>
      <w:r>
        <w:rPr>
          <w:rFonts w:ascii="Times New Roman" w:cs="Times New Roman" w:eastAsia="Times New Roman" w:hAnsi="Times New Roman"/>
          <w:sz w:val="18"/>
          <w:szCs w:val="18"/>
          <w:i w:val="1"/>
          <w:iCs w:val="1"/>
          <w:color w:val="auto"/>
        </w:rPr>
        <w:t>”) as follows. The Committed Options will be exercisable over a two-day period in the applicable quarter (the “</w:t>
      </w:r>
      <w:r>
        <w:rPr>
          <w:rFonts w:ascii="Times New Roman" w:cs="Times New Roman" w:eastAsia="Times New Roman" w:hAnsi="Times New Roman"/>
          <w:sz w:val="18"/>
          <w:szCs w:val="18"/>
          <w:b w:val="1"/>
          <w:bCs w:val="1"/>
          <w:i w:val="1"/>
          <w:iCs w:val="1"/>
          <w:color w:val="auto"/>
        </w:rPr>
        <w:t>Exercise Period</w:t>
      </w:r>
      <w:r>
        <w:rPr>
          <w:rFonts w:ascii="Times New Roman" w:cs="Times New Roman" w:eastAsia="Times New Roman" w:hAnsi="Times New Roman"/>
          <w:sz w:val="18"/>
          <w:szCs w:val="18"/>
          <w:i w:val="1"/>
          <w:iCs w:val="1"/>
          <w:color w:val="auto"/>
        </w:rPr>
        <w:t>”), subject to compliance with applicable laws and the Company’s policies; provided that if the Exercise Period for a Quarterly Tranche occurs during a blackout period, then such Exercise Period shall instead be the next quarterly Exercise Period. If a grantee exercises the Committed</w:t>
      </w:r>
    </w:p>
    <w:p>
      <w:pPr>
        <w:spacing w:after="0" w:line="11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880" w:top="268" w:right="479" w:bottom="1440" w:gutter="0" w:footer="0" w:header="0"/>
        </w:sectPr>
      </w:pPr>
    </w:p>
    <w:bookmarkStart w:id="6" w:name="page7"/>
    <w:bookmarkEnd w:id="6"/>
    <w:p>
      <w:pPr>
        <w:ind w:right="200"/>
        <w:spacing w:after="0" w:line="26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portion of a Quarterly Tranche in this Exercise Period, the remainder of that Quarterly Tranche (the “</w:t>
      </w:r>
      <w:r>
        <w:rPr>
          <w:rFonts w:ascii="Times New Roman" w:cs="Times New Roman" w:eastAsia="Times New Roman" w:hAnsi="Times New Roman"/>
          <w:sz w:val="18"/>
          <w:szCs w:val="18"/>
          <w:b w:val="1"/>
          <w:bCs w:val="1"/>
          <w:i w:val="1"/>
          <w:iCs w:val="1"/>
          <w:color w:val="auto"/>
        </w:rPr>
        <w:t>Optional Exercise Options</w:t>
      </w:r>
      <w:r>
        <w:rPr>
          <w:rFonts w:ascii="Times New Roman" w:cs="Times New Roman" w:eastAsia="Times New Roman" w:hAnsi="Times New Roman"/>
          <w:sz w:val="18"/>
          <w:szCs w:val="18"/>
          <w:i w:val="1"/>
          <w:iCs w:val="1"/>
          <w:color w:val="auto"/>
        </w:rPr>
        <w:t>”) will become exercisable for a period of one year. The Optional Exercise Option portion of any Quarterly Tranche will expire at the end of such one-year period.</w:t>
      </w:r>
    </w:p>
    <w:p>
      <w:pPr>
        <w:spacing w:after="0" w:line="65" w:lineRule="exact"/>
        <w:rPr>
          <w:sz w:val="20"/>
          <w:szCs w:val="20"/>
          <w:color w:val="auto"/>
        </w:rPr>
      </w:pPr>
    </w:p>
    <w:p>
      <w:pPr>
        <w:ind w:firstLine="423"/>
        <w:spacing w:after="0" w:line="256" w:lineRule="auto"/>
        <w:rPr>
          <w:sz w:val="20"/>
          <w:szCs w:val="20"/>
          <w:color w:val="auto"/>
        </w:rPr>
      </w:pPr>
      <w:r>
        <w:rPr>
          <w:rFonts w:ascii="Times New Roman" w:cs="Times New Roman" w:eastAsia="Times New Roman" w:hAnsi="Times New Roman"/>
          <w:sz w:val="18"/>
          <w:szCs w:val="18"/>
          <w:i w:val="1"/>
          <w:iCs w:val="1"/>
          <w:color w:val="auto"/>
        </w:rPr>
        <w:t>Notwithstanding the foregoing exercise schedule, following the first quarter following stockholder approval of the Options, any portion of the Options may be exercised earlier than the applicable quarter (“</w:t>
      </w:r>
      <w:r>
        <w:rPr>
          <w:rFonts w:ascii="Times New Roman" w:cs="Times New Roman" w:eastAsia="Times New Roman" w:hAnsi="Times New Roman"/>
          <w:sz w:val="18"/>
          <w:szCs w:val="18"/>
          <w:b w:val="1"/>
          <w:bCs w:val="1"/>
          <w:i w:val="1"/>
          <w:iCs w:val="1"/>
          <w:color w:val="auto"/>
        </w:rPr>
        <w:t>Early Exercise</w:t>
      </w:r>
      <w:r>
        <w:rPr>
          <w:rFonts w:ascii="Times New Roman" w:cs="Times New Roman" w:eastAsia="Times New Roman" w:hAnsi="Times New Roman"/>
          <w:sz w:val="18"/>
          <w:szCs w:val="18"/>
          <w:i w:val="1"/>
          <w:iCs w:val="1"/>
          <w:color w:val="auto"/>
        </w:rPr>
        <w:t>”), provided that shares of Class A Common Stock acquired on exercise of the Optional Exercise Options will be subject to a lock-up period so that the shares acquired on exercise may not be sold or transferred until the originally-scheduled exercise date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u w:val="single" w:color="auto"/>
          <w:color w:val="auto"/>
        </w:rPr>
        <w:t>As such, if a grantee elects to exercise all of his or her Options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u w:val="single" w:color="auto"/>
          <w:color w:val="auto"/>
        </w:rPr>
        <w:t>the first quarter following stockholder approval of the Options, any Optional Exercise Options obtained as a result of such exercise will be “locked up”, meaning that the grantee will not be able to sell or transfer the shares obtained in respect of such exercised Options until the originally-scheduled exercise date.</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Manner of Exercise</w:t>
      </w:r>
    </w:p>
    <w:p>
      <w:pPr>
        <w:spacing w:after="0" w:line="117" w:lineRule="exact"/>
        <w:rPr>
          <w:sz w:val="20"/>
          <w:szCs w:val="20"/>
          <w:color w:val="auto"/>
        </w:rPr>
      </w:pPr>
    </w:p>
    <w:p>
      <w:pPr>
        <w:ind w:right="4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A grantee must pay the exercise price (and any applicable withholding taxes) in cash as a condition to exercising the Committed Options. In order to exercise the Optional Exercise Options, a grantee may either pay the exercise price (and any applicable withholding taxes) in cash or direct the Company to withhold shares of Class A Common Stock in respect of the exercise price (and any applicable withholding taxes).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Forfeiture; Termination Treatment</w:t>
      </w:r>
    </w:p>
    <w:p>
      <w:pPr>
        <w:spacing w:after="0" w:line="117" w:lineRule="exact"/>
        <w:rPr>
          <w:sz w:val="20"/>
          <w:szCs w:val="20"/>
          <w:color w:val="auto"/>
        </w:rPr>
      </w:pPr>
    </w:p>
    <w:p>
      <w:pPr>
        <w:ind w:right="12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If a grantee does not exercise the Committed Option portion of any Quarterly Tranche in the applicable Exercise Period, then the grantee’s remaining Options (in respect of the current Quarterly Tranche and any subsequent Quarterly Tranche) will be forfeited automatically. This forfeiture provision is intended to encourage management’s continued participation and investment in Company growth.</w:t>
      </w:r>
    </w:p>
    <w:p>
      <w:pPr>
        <w:spacing w:after="0" w:line="65" w:lineRule="exact"/>
        <w:rPr>
          <w:sz w:val="20"/>
          <w:szCs w:val="20"/>
          <w:color w:val="auto"/>
        </w:rPr>
      </w:pPr>
    </w:p>
    <w:p>
      <w:pPr>
        <w:ind w:right="40" w:firstLine="423"/>
        <w:spacing w:after="0" w:line="255" w:lineRule="auto"/>
        <w:rPr>
          <w:sz w:val="20"/>
          <w:szCs w:val="20"/>
          <w:color w:val="auto"/>
        </w:rPr>
      </w:pPr>
      <w:r>
        <w:rPr>
          <w:rFonts w:ascii="Times New Roman" w:cs="Times New Roman" w:eastAsia="Times New Roman" w:hAnsi="Times New Roman"/>
          <w:sz w:val="18"/>
          <w:szCs w:val="18"/>
          <w:i w:val="1"/>
          <w:iCs w:val="1"/>
          <w:color w:val="auto"/>
        </w:rPr>
        <w:t>In addition, if a grantee ceases to provide services to the Company, the grantee’s Options will be treated as follows: (1) if the grantee ceases to provide services due to a termination by the Company for cause, all of the grantee’s Options will be forfeited automatically; (2) if the grantee ceases to provide services due to a voluntary termination by the grantee without good reason, any of the grantee’s Options for which the originally-scheduled exercise date has not yet occurred will be forfeited automatically and any of the grantee’s remaining Options will remain exercisable for a period of 90 days following the grantee’s termination; and (3) if the grantee ceases to provide services due to a termination by the Company without cause, by the grantee for good reason or due to the grantee’s death or disability, any of the grantee’s Options for which the originally-scheduled exercise date has not yet occurred will be forfeited automatically and any of the grantee’s remaining Options will remain exercisable for a period of 12 months following the grantee’s termination.</w:t>
      </w:r>
    </w:p>
    <w:p>
      <w:pPr>
        <w:spacing w:after="0" w:line="77" w:lineRule="exact"/>
        <w:rPr>
          <w:sz w:val="20"/>
          <w:szCs w:val="20"/>
          <w:color w:val="auto"/>
        </w:rPr>
      </w:pPr>
    </w:p>
    <w:p>
      <w:pPr>
        <w:ind w:right="2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With respect to any shares of Class A Common Stock acquired on Early Exercise, if the grantee ceases to be employed for any reason or no reason, any such shares of Class A Common Stock held by the grantee as a result of Early Exercise will continue to be held by the grantee, subject to the aforementioned restrictions, which will continue to apply to such shares until the end of the Lock-Up Period.</w:t>
      </w:r>
    </w:p>
    <w:p>
      <w:pPr>
        <w:spacing w:after="0" w:line="63" w:lineRule="exact"/>
        <w:rPr>
          <w:sz w:val="20"/>
          <w:szCs w:val="20"/>
          <w:color w:val="auto"/>
        </w:rPr>
      </w:pPr>
    </w:p>
    <w:p>
      <w:pPr>
        <w:ind w:right="260" w:firstLine="423"/>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In order to further facilitate management’s continued participation and investment in Company growth, in the event that any Options are forfeited by a grantee in accordance with the forfeiture terms set forth above, such Options will be available for reallocation and future grant by the Compensation Committee to service providers of the Company, as identified by the Compensation Committee, and which subsequent grants will be in the form of stock options made on the same terms as the Options and will have an exercise price equal to or greater than fair market value as of such applicable date of grant.</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66" w:right="459" w:bottom="1440" w:gutter="0" w:footer="0" w:header="0"/>
        </w:sectPr>
      </w:pPr>
    </w:p>
    <w:bookmarkStart w:id="7" w:name="page8"/>
    <w:bookmarkEnd w:id="7"/>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Federal Income Tax Consequences</w:t>
      </w:r>
    </w:p>
    <w:p>
      <w:pPr>
        <w:spacing w:after="0" w:line="117" w:lineRule="exact"/>
        <w:rPr>
          <w:sz w:val="20"/>
          <w:szCs w:val="20"/>
          <w:color w:val="auto"/>
        </w:rPr>
      </w:pPr>
    </w:p>
    <w:p>
      <w:pPr>
        <w:ind w:right="40" w:firstLine="423"/>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is intended only as a general guide to the material U.S. federal income tax consequences of the Options. The summary is based on existing U.S. laws and regulations, and there can be no assurance that those laws and regulations will not change in the future. The summary does not purport to be complete and does not discuss the tax consequences upon a grantee’s death, or the provisions of the income tax laws of any municipality, state or foreign country in which the participant may reside. As a result, tax consequences for any particular grantee may vary based on individual circumstances.</w:t>
      </w:r>
    </w:p>
    <w:p>
      <w:pPr>
        <w:spacing w:after="0" w:line="75" w:lineRule="exact"/>
        <w:rPr>
          <w:sz w:val="20"/>
          <w:szCs w:val="20"/>
          <w:color w:val="auto"/>
        </w:rPr>
      </w:pPr>
    </w:p>
    <w:p>
      <w:pPr>
        <w:ind w:firstLine="423"/>
        <w:spacing w:after="0" w:line="255" w:lineRule="auto"/>
        <w:rPr>
          <w:sz w:val="20"/>
          <w:szCs w:val="20"/>
          <w:color w:val="auto"/>
        </w:rPr>
      </w:pPr>
      <w:r>
        <w:rPr>
          <w:rFonts w:ascii="Times New Roman" w:cs="Times New Roman" w:eastAsia="Times New Roman" w:hAnsi="Times New Roman"/>
          <w:sz w:val="18"/>
          <w:szCs w:val="18"/>
          <w:i w:val="1"/>
          <w:iCs w:val="1"/>
          <w:color w:val="auto"/>
        </w:rPr>
        <w:t>A grantee will not be subject to tax upon the grant of the Options. Upon exercise of any portion of the Options, an amount equal to the excess of the fair market value of the shares of Class A Common Stock acquired on the date of exercise over the exercise price paid will be taxable to the grantee as ordinary income, and such amount will generally deductible by the Company or one of its subsidiaries. This amount of income will be subject to income tax withholding and employment taxes. A grantee’s basis in the shares of Class A Common Stock received will equal the fair market value of the shares on the date of exercise, and the grantee’s holding period in such shares will begin on the day following the date of exercise. Upon grantee’s sale of a share of Class A Common Stock, the grantee will have a capital gain (or loss), based on the difference between the sale price and the grantee’s basis. The capital gain (or loss) is “long-term” or “short-term” depending on whether the grantee held shares for at least a year prior to the sale.</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New Plan Benefits Table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The following table sets forth information regarding the Options received by the persons and groups named below.</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Name and Position</w:t>
            </w:r>
          </w:p>
        </w:tc>
        <w:tc>
          <w:tcPr>
            <w:tcW w:w="2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Number of Options</w:t>
            </w:r>
          </w:p>
        </w:tc>
        <w:tc>
          <w:tcPr>
            <w:tcW w:w="0" w:type="dxa"/>
            <w:vAlign w:val="bottom"/>
          </w:tcPr>
          <w:p>
            <w:pPr>
              <w:spacing w:after="0"/>
              <w:rPr>
                <w:sz w:val="1"/>
                <w:szCs w:val="1"/>
                <w:color w:val="auto"/>
              </w:rPr>
            </w:pPr>
          </w:p>
        </w:tc>
      </w:tr>
      <w:tr>
        <w:trPr>
          <w:trHeight w:val="169"/>
        </w:trPr>
        <w:tc>
          <w:tcPr>
            <w:tcW w:w="350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i w:val="1"/>
                <w:iCs w:val="1"/>
                <w:color w:val="auto"/>
              </w:rPr>
              <w:t>Akshay Naheta</w:t>
            </w:r>
          </w:p>
        </w:tc>
        <w:tc>
          <w:tcPr>
            <w:tcW w:w="24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strike w:val="1"/>
                <w:w w:val="97"/>
              </w:rPr>
              <w:t>5,000,000</w:t>
            </w:r>
          </w:p>
        </w:tc>
        <w:tc>
          <w:tcPr>
            <w:tcW w:w="72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97"/>
              </w:rPr>
              <w:t>1,342,282</w:t>
            </w:r>
          </w:p>
        </w:tc>
        <w:tc>
          <w:tcPr>
            <w:tcW w:w="60" w:type="dxa"/>
            <w:vAlign w:val="bottom"/>
            <w:tcBorders>
              <w:top w:val="single" w:sz="8" w:color="CCEEFF"/>
            </w:tcBorders>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2480" w:type="dxa"/>
            <w:vAlign w:val="bottom"/>
            <w:gridSpan w:val="2"/>
            <w:shd w:val="clear" w:color="auto" w:fill="CCEEFF"/>
          </w:tcPr>
          <w:p>
            <w:pPr>
              <w:spacing w:after="0"/>
              <w:rPr>
                <w:sz w:val="20"/>
                <w:szCs w:val="20"/>
                <w:color w:val="auto"/>
              </w:rPr>
            </w:pPr>
          </w:p>
        </w:tc>
        <w:tc>
          <w:tcPr>
            <w:tcW w:w="720" w:type="dxa"/>
            <w:vAlign w:val="bottom"/>
            <w:gridSpan w:val="4"/>
            <w:vMerge w:val="continue"/>
            <w:shd w:val="clear" w:color="auto" w:fill="CCEEFF"/>
          </w:tcPr>
          <w:p>
            <w:pPr>
              <w:spacing w:after="0"/>
              <w:rPr>
                <w:sz w:val="20"/>
                <w:szCs w:val="20"/>
                <w:color w:val="auto"/>
              </w:rPr>
            </w:pPr>
          </w:p>
        </w:tc>
        <w:tc>
          <w:tcPr>
            <w:tcW w:w="720" w:type="dxa"/>
            <w:vAlign w:val="bottom"/>
            <w:gridSpan w:val="3"/>
            <w:vMerge w:val="continue"/>
            <w:shd w:val="clear" w:color="auto" w:fill="CCEEFF"/>
          </w:tcPr>
          <w:p>
            <w:pPr>
              <w:spacing w:after="0"/>
              <w:rPr>
                <w:sz w:val="20"/>
                <w:szCs w:val="20"/>
                <w:color w:val="auto"/>
              </w:rPr>
            </w:pPr>
          </w:p>
        </w:tc>
        <w:tc>
          <w:tcPr>
            <w:tcW w:w="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5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Andrew Main</w:t>
            </w:r>
          </w:p>
        </w:tc>
        <w:tc>
          <w:tcPr>
            <w:tcW w:w="2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0" w:type="dxa"/>
            <w:vAlign w:val="bottom"/>
          </w:tcPr>
          <w:p>
            <w:pPr>
              <w:spacing w:after="0"/>
              <w:rPr>
                <w:sz w:val="1"/>
                <w:szCs w:val="1"/>
                <w:color w:val="auto"/>
              </w:rPr>
            </w:pPr>
          </w:p>
        </w:tc>
      </w:tr>
      <w:tr>
        <w:trPr>
          <w:trHeight w:val="23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Co-Chief Executive Officer</w:t>
            </w: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5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Karen Alexander</w:t>
            </w:r>
          </w:p>
        </w:tc>
        <w:tc>
          <w:tcPr>
            <w:tcW w:w="2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strike w:val="1"/>
                <w:w w:val="95"/>
              </w:rPr>
              <w:t>100,000</w:t>
            </w: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i w:val="1"/>
                <w:iCs w:val="1"/>
                <w:color w:val="auto"/>
                <w:w w:val="96"/>
              </w:rPr>
              <w:t>26,846</w:t>
            </w:r>
          </w:p>
        </w:tc>
        <w:tc>
          <w:tcPr>
            <w:tcW w:w="0" w:type="dxa"/>
            <w:vAlign w:val="bottom"/>
          </w:tcPr>
          <w:p>
            <w:pPr>
              <w:spacing w:after="0"/>
              <w:rPr>
                <w:sz w:val="1"/>
                <w:szCs w:val="1"/>
                <w:color w:val="auto"/>
              </w:rPr>
            </w:pPr>
          </w:p>
        </w:tc>
      </w:tr>
      <w:tr>
        <w:trPr>
          <w:trHeight w:val="236"/>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2620" w:type="dxa"/>
            <w:vAlign w:val="bottom"/>
            <w:gridSpan w:val="3"/>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3"/>
            <w:vMerge w:val="continue"/>
            <w:shd w:val="clear" w:color="auto" w:fill="CCEEFF"/>
          </w:tcPr>
          <w:p>
            <w:pPr>
              <w:spacing w:after="0"/>
              <w:rPr>
                <w:sz w:val="20"/>
                <w:szCs w:val="20"/>
                <w:color w:val="auto"/>
              </w:rPr>
            </w:pPr>
          </w:p>
        </w:tc>
        <w:tc>
          <w:tcPr>
            <w:tcW w:w="5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5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Marc D’Annunzio</w:t>
            </w:r>
          </w:p>
        </w:tc>
        <w:tc>
          <w:tcPr>
            <w:tcW w:w="2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strike w:val="1"/>
                <w:w w:val="99"/>
              </w:rPr>
              <w:t>500,000</w:t>
            </w:r>
          </w:p>
        </w:tc>
        <w:tc>
          <w:tcPr>
            <w:tcW w:w="6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i w:val="1"/>
                <w:iCs w:val="1"/>
                <w:color w:val="auto"/>
                <w:w w:val="95"/>
              </w:rPr>
              <w:t>134,228</w:t>
            </w:r>
          </w:p>
        </w:tc>
        <w:tc>
          <w:tcPr>
            <w:tcW w:w="0" w:type="dxa"/>
            <w:vAlign w:val="bottom"/>
          </w:tcPr>
          <w:p>
            <w:pPr>
              <w:spacing w:after="0"/>
              <w:rPr>
                <w:sz w:val="1"/>
                <w:szCs w:val="1"/>
                <w:color w:val="auto"/>
              </w:rPr>
            </w:pPr>
          </w:p>
        </w:tc>
      </w:tr>
      <w:tr>
        <w:trPr>
          <w:trHeight w:val="23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General Counsel &amp; Secretary</w:t>
            </w:r>
          </w:p>
        </w:tc>
        <w:tc>
          <w:tcPr>
            <w:tcW w:w="262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3"/>
            <w:vMerge w:val="continue"/>
          </w:tcPr>
          <w:p>
            <w:pPr>
              <w:spacing w:after="0"/>
              <w:rPr>
                <w:sz w:val="20"/>
                <w:szCs w:val="20"/>
                <w:color w:val="auto"/>
              </w:rPr>
            </w:pPr>
          </w:p>
        </w:tc>
        <w:tc>
          <w:tcPr>
            <w:tcW w:w="6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5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Nicholas Baes</w:t>
            </w:r>
          </w:p>
        </w:tc>
        <w:tc>
          <w:tcPr>
            <w:tcW w:w="2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strike w:val="1"/>
                <w:w w:val="95"/>
              </w:rPr>
              <w:t>200,000</w:t>
            </w: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i w:val="1"/>
                <w:iCs w:val="1"/>
                <w:color w:val="auto"/>
                <w:w w:val="96"/>
              </w:rPr>
              <w:t>53,691</w:t>
            </w:r>
          </w:p>
        </w:tc>
        <w:tc>
          <w:tcPr>
            <w:tcW w:w="0" w:type="dxa"/>
            <w:vAlign w:val="bottom"/>
          </w:tcPr>
          <w:p>
            <w:pPr>
              <w:spacing w:after="0"/>
              <w:rPr>
                <w:sz w:val="1"/>
                <w:szCs w:val="1"/>
                <w:color w:val="auto"/>
              </w:rPr>
            </w:pPr>
          </w:p>
        </w:tc>
      </w:tr>
      <w:tr>
        <w:trPr>
          <w:trHeight w:val="236"/>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2620" w:type="dxa"/>
            <w:vAlign w:val="bottom"/>
            <w:gridSpan w:val="3"/>
            <w:shd w:val="clear" w:color="auto" w:fill="CCEEFF"/>
          </w:tcPr>
          <w:p>
            <w:pPr>
              <w:spacing w:after="0"/>
              <w:rPr>
                <w:sz w:val="20"/>
                <w:szCs w:val="20"/>
                <w:color w:val="auto"/>
              </w:rPr>
            </w:pPr>
          </w:p>
        </w:tc>
        <w:tc>
          <w:tcPr>
            <w:tcW w:w="220" w:type="dxa"/>
            <w:vAlign w:val="bottom"/>
            <w:gridSpan w:val="2"/>
            <w:shd w:val="clear" w:color="auto" w:fill="CCEEFF"/>
          </w:tcPr>
          <w:p>
            <w:pPr>
              <w:spacing w:after="0"/>
              <w:rPr>
                <w:sz w:val="20"/>
                <w:szCs w:val="20"/>
                <w:color w:val="auto"/>
              </w:rPr>
            </w:pPr>
          </w:p>
        </w:tc>
        <w:tc>
          <w:tcPr>
            <w:tcW w:w="580" w:type="dxa"/>
            <w:vAlign w:val="bottom"/>
            <w:gridSpan w:val="3"/>
            <w:vMerge w:val="continue"/>
            <w:shd w:val="clear" w:color="auto" w:fill="CCEEFF"/>
          </w:tcPr>
          <w:p>
            <w:pPr>
              <w:spacing w:after="0"/>
              <w:rPr>
                <w:sz w:val="20"/>
                <w:szCs w:val="20"/>
                <w:color w:val="auto"/>
              </w:rPr>
            </w:pPr>
          </w:p>
        </w:tc>
        <w:tc>
          <w:tcPr>
            <w:tcW w:w="5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5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Phillip Lord</w:t>
            </w:r>
          </w:p>
        </w:tc>
        <w:tc>
          <w:tcPr>
            <w:tcW w:w="2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strike w:val="1"/>
                <w:w w:val="97"/>
              </w:rPr>
              <w:t>1,000,000</w:t>
            </w:r>
          </w:p>
        </w:tc>
        <w:tc>
          <w:tcPr>
            <w:tcW w:w="6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i w:val="1"/>
                <w:iCs w:val="1"/>
                <w:color w:val="auto"/>
                <w:w w:val="95"/>
              </w:rPr>
              <w:t>268,456</w:t>
            </w:r>
          </w:p>
        </w:tc>
        <w:tc>
          <w:tcPr>
            <w:tcW w:w="0" w:type="dxa"/>
            <w:vAlign w:val="bottom"/>
          </w:tcPr>
          <w:p>
            <w:pPr>
              <w:spacing w:after="0"/>
              <w:rPr>
                <w:sz w:val="1"/>
                <w:szCs w:val="1"/>
                <w:color w:val="auto"/>
              </w:rPr>
            </w:pPr>
          </w:p>
        </w:tc>
      </w:tr>
      <w:tr>
        <w:trPr>
          <w:trHeight w:val="23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Bakkt International</w:t>
            </w:r>
          </w:p>
        </w:tc>
        <w:tc>
          <w:tcPr>
            <w:tcW w:w="2620" w:type="dxa"/>
            <w:vAlign w:val="bottom"/>
            <w:gridSpan w:val="3"/>
          </w:tcPr>
          <w:p>
            <w:pPr>
              <w:spacing w:after="0"/>
              <w:rPr>
                <w:sz w:val="20"/>
                <w:szCs w:val="20"/>
                <w:color w:val="auto"/>
              </w:rPr>
            </w:pPr>
          </w:p>
        </w:tc>
        <w:tc>
          <w:tcPr>
            <w:tcW w:w="720" w:type="dxa"/>
            <w:vAlign w:val="bottom"/>
            <w:gridSpan w:val="4"/>
            <w:vMerge w:val="continue"/>
          </w:tcPr>
          <w:p>
            <w:pPr>
              <w:spacing w:after="0"/>
              <w:rPr>
                <w:sz w:val="20"/>
                <w:szCs w:val="20"/>
                <w:color w:val="auto"/>
              </w:rPr>
            </w:pPr>
          </w:p>
        </w:tc>
        <w:tc>
          <w:tcPr>
            <w:tcW w:w="6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All Executive Officers</w:t>
            </w:r>
          </w:p>
        </w:tc>
        <w:tc>
          <w:tcPr>
            <w:tcW w:w="2480" w:type="dxa"/>
            <w:vAlign w:val="bottom"/>
            <w:gridSpan w:val="2"/>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strike w:val="1"/>
                <w:w w:val="97"/>
              </w:rPr>
              <w:t>5,800,000</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i w:val="1"/>
                <w:iCs w:val="1"/>
                <w:color w:val="auto"/>
                <w:w w:val="97"/>
              </w:rPr>
              <w:t>1,557,047</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All Non-Employee Directors</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All Employees who are not Executive Officers</w:t>
            </w:r>
          </w:p>
        </w:tc>
        <w:tc>
          <w:tcPr>
            <w:tcW w:w="2620" w:type="dxa"/>
            <w:vAlign w:val="bottom"/>
            <w:gridSpan w:val="3"/>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strike w:val="1"/>
                <w:w w:val="97"/>
              </w:rPr>
              <w:t>1,650,000</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i w:val="1"/>
                <w:iCs w:val="1"/>
                <w:color w:val="auto"/>
                <w:w w:val="95"/>
              </w:rPr>
              <w:t>442,953</w:t>
            </w: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880" w:top="268" w:right="479" w:bottom="1440" w:gutter="0" w:footer="0" w:header="0"/>
        </w:sectPr>
      </w:pPr>
    </w:p>
    <w:bookmarkStart w:id="8" w:name="page9"/>
    <w:bookmarkEnd w:id="8"/>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Conditioned on Other Amendment Proposals</w:t>
      </w:r>
    </w:p>
    <w:p>
      <w:pPr>
        <w:spacing w:after="0" w:line="121" w:lineRule="exact"/>
        <w:rPr>
          <w:sz w:val="20"/>
          <w:szCs w:val="20"/>
          <w:color w:val="auto"/>
        </w:rPr>
      </w:pPr>
    </w:p>
    <w:p>
      <w:pPr>
        <w:ind w:right="600" w:firstLine="423"/>
        <w:spacing w:after="0" w:line="282" w:lineRule="auto"/>
        <w:rPr>
          <w:sz w:val="20"/>
          <w:szCs w:val="20"/>
          <w:color w:val="auto"/>
        </w:rPr>
      </w:pPr>
      <w:r>
        <w:rPr>
          <w:rFonts w:ascii="Times New Roman" w:cs="Times New Roman" w:eastAsia="Times New Roman" w:hAnsi="Times New Roman"/>
          <w:sz w:val="18"/>
          <w:szCs w:val="18"/>
          <w:color w:val="auto"/>
        </w:rPr>
        <w:t>This Options Proposal is independent of the others and the approval of this Options Proposal is not conditioned upon approval of the Adjournment Proposal or any other proposal.</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Effect of Vote in Favor of this Proposal</w:t>
      </w:r>
    </w:p>
    <w:p>
      <w:pPr>
        <w:spacing w:after="0" w:line="121" w:lineRule="exact"/>
        <w:rPr>
          <w:sz w:val="20"/>
          <w:szCs w:val="20"/>
          <w:color w:val="auto"/>
        </w:rPr>
      </w:pPr>
    </w:p>
    <w:p>
      <w:pPr>
        <w:ind w:firstLine="423"/>
        <w:spacing w:after="0" w:line="282" w:lineRule="auto"/>
        <w:rPr>
          <w:sz w:val="20"/>
          <w:szCs w:val="20"/>
          <w:color w:val="auto"/>
        </w:rPr>
      </w:pPr>
      <w:r>
        <w:rPr>
          <w:rFonts w:ascii="Times New Roman" w:cs="Times New Roman" w:eastAsia="Times New Roman" w:hAnsi="Times New Roman"/>
          <w:sz w:val="18"/>
          <w:szCs w:val="18"/>
          <w:color w:val="auto"/>
        </w:rPr>
        <w:t>If this proposal is approved by our stockholders, the individuals listed above will receive the Options to purchase shares of Class A Common Stock.</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Effect of Not Obtaining Required Vote for Approval of this Options Proposal</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the Company is unable to obtain approval of this Options Proposal, the Options will be null and void.</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Interests of Certain Persons</w:t>
      </w:r>
    </w:p>
    <w:p>
      <w:pPr>
        <w:spacing w:after="0" w:line="121" w:lineRule="exact"/>
        <w:rPr>
          <w:sz w:val="20"/>
          <w:szCs w:val="20"/>
          <w:color w:val="auto"/>
        </w:rPr>
      </w:pPr>
    </w:p>
    <w:p>
      <w:pPr>
        <w:ind w:right="520" w:firstLine="423"/>
        <w:spacing w:after="0" w:line="266" w:lineRule="auto"/>
        <w:rPr>
          <w:sz w:val="20"/>
          <w:szCs w:val="20"/>
          <w:color w:val="auto"/>
        </w:rPr>
      </w:pPr>
      <w:r>
        <w:rPr>
          <w:rFonts w:ascii="Times New Roman" w:cs="Times New Roman" w:eastAsia="Times New Roman" w:hAnsi="Times New Roman"/>
          <w:sz w:val="18"/>
          <w:szCs w:val="18"/>
          <w:color w:val="auto"/>
        </w:rPr>
        <w:t>When you consider the Board’s recommendation to vote in favor of this Options Proposal, you should be aware that our directors and executive officers and existing stockholders may have interests that may be different from, or in addition to, the interests of other of our stockholders. In particular, various directors and executive officers expect to receive the Options if this Options Proposal is approved.</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Potential Adverse Effects of the Options Proposal</w:t>
      </w:r>
    </w:p>
    <w:p>
      <w:pPr>
        <w:spacing w:after="0" w:line="121" w:lineRule="exact"/>
        <w:rPr>
          <w:sz w:val="20"/>
          <w:szCs w:val="20"/>
          <w:color w:val="auto"/>
        </w:rPr>
      </w:pPr>
    </w:p>
    <w:p>
      <w:pPr>
        <w:ind w:right="140" w:firstLine="423"/>
        <w:spacing w:after="0" w:line="282" w:lineRule="auto"/>
        <w:rPr>
          <w:sz w:val="20"/>
          <w:szCs w:val="20"/>
          <w:color w:val="auto"/>
        </w:rPr>
      </w:pPr>
      <w:r>
        <w:rPr>
          <w:rFonts w:ascii="Times New Roman" w:cs="Times New Roman" w:eastAsia="Times New Roman" w:hAnsi="Times New Roman"/>
          <w:sz w:val="18"/>
          <w:szCs w:val="18"/>
          <w:color w:val="auto"/>
        </w:rPr>
        <w:t>As of the record date, a total of 15,934,137 shares of Class A Common Stock were issued and outstanding and 7,177,076 shares of Class V Common Stock were issued and outstanding.</w:t>
      </w:r>
    </w:p>
    <w:p>
      <w:pPr>
        <w:spacing w:after="0" w:line="162" w:lineRule="exact"/>
        <w:rPr>
          <w:sz w:val="20"/>
          <w:szCs w:val="20"/>
          <w:color w:val="auto"/>
        </w:rPr>
      </w:pPr>
    </w:p>
    <w:p>
      <w:pPr>
        <w:ind w:right="160" w:firstLine="423"/>
        <w:spacing w:after="0" w:line="254" w:lineRule="auto"/>
        <w:rPr>
          <w:sz w:val="20"/>
          <w:szCs w:val="20"/>
          <w:color w:val="auto"/>
        </w:rPr>
      </w:pPr>
      <w:r>
        <w:rPr>
          <w:rFonts w:ascii="Times New Roman" w:cs="Times New Roman" w:eastAsia="Times New Roman" w:hAnsi="Times New Roman"/>
          <w:sz w:val="18"/>
          <w:szCs w:val="18"/>
          <w:color w:val="auto"/>
        </w:rPr>
        <w:t xml:space="preserve">Each share of Class A Common Stock is entitled to one vote. Each share of Class V Common Stock is also entitled to one vote. If the Options Proposal is passed, the Options will be convertible into approximately </w:t>
      </w:r>
      <w:r>
        <w:rPr>
          <w:rFonts w:ascii="Times New Roman" w:cs="Times New Roman" w:eastAsia="Times New Roman" w:hAnsi="Times New Roman"/>
          <w:sz w:val="18"/>
          <w:szCs w:val="18"/>
          <w:b w:val="1"/>
          <w:bCs w:val="1"/>
          <w:i w:val="1"/>
          <w:iCs w:val="1"/>
          <w:color w:val="auto"/>
          <w:strike w:val="1"/>
        </w:rPr>
        <w:t>7,450,000</w:t>
      </w:r>
      <w:r>
        <w:rPr>
          <w:rFonts w:ascii="Times New Roman" w:cs="Times New Roman" w:eastAsia="Times New Roman" w:hAnsi="Times New Roman"/>
          <w:sz w:val="18"/>
          <w:szCs w:val="18"/>
          <w:b w:val="1"/>
          <w:bCs w:val="1"/>
          <w:i w:val="1"/>
          <w:iCs w:val="1"/>
          <w:u w:val="single" w:color="auto"/>
          <w:color w:val="auto"/>
        </w:rPr>
        <w:t>2,000,000</w:t>
      </w:r>
      <w:r>
        <w:rPr>
          <w:rFonts w:ascii="Times New Roman" w:cs="Times New Roman" w:eastAsia="Times New Roman" w:hAnsi="Times New Roman"/>
          <w:sz w:val="18"/>
          <w:szCs w:val="18"/>
          <w:color w:val="auto"/>
        </w:rPr>
        <w:t xml:space="preserve"> shares of Class A Common Stock, with each share entitled to one vote. Assuming all Pre-Funded Warrants issued in the Offering are exercised and converted into Class A Common Stock, which we expect to be the case, if the Options are fully exercised they would collectively represent </w:t>
      </w:r>
      <w:r>
        <w:rPr>
          <w:rFonts w:ascii="Times New Roman" w:cs="Times New Roman" w:eastAsia="Times New Roman" w:hAnsi="Times New Roman"/>
          <w:sz w:val="18"/>
          <w:szCs w:val="18"/>
          <w:b w:val="1"/>
          <w:bCs w:val="1"/>
          <w:i w:val="1"/>
          <w:iCs w:val="1"/>
          <w:color w:val="auto"/>
          <w:strike w:val="1"/>
        </w:rPr>
        <w:t>24.3%</w:t>
      </w:r>
      <w:r>
        <w:rPr>
          <w:rFonts w:ascii="Times New Roman" w:cs="Times New Roman" w:eastAsia="Times New Roman" w:hAnsi="Times New Roman"/>
          <w:sz w:val="18"/>
          <w:szCs w:val="18"/>
          <w:b w:val="1"/>
          <w:bCs w:val="1"/>
          <w:i w:val="1"/>
          <w:iCs w:val="1"/>
          <w:u w:val="single" w:color="auto"/>
          <w:color w:val="auto"/>
        </w:rPr>
        <w:t>8.0%</w:t>
      </w:r>
      <w:r>
        <w:rPr>
          <w:rFonts w:ascii="Times New Roman" w:cs="Times New Roman" w:eastAsia="Times New Roman" w:hAnsi="Times New Roman"/>
          <w:sz w:val="18"/>
          <w:szCs w:val="18"/>
          <w:color w:val="auto"/>
        </w:rPr>
        <w:t xml:space="preserve"> of the outstanding votes of the Company’s Common Stock. As a result, the Options Proposal may have dilutive effect on current stockholders, in that the percentage ownership of the Company held by such other current stockholders will decline as a result of the issuance of such Class A Common Stock upon exercise of the Options. The issuance of such Class A Common Stock will also have a dilutive effect on book value per share and any future earnings per share. This dilution could also cause prevailing market prices for our Class A Common Stock to decline.</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Required Vote and Recommendation of the Board for Options Proposal</w:t>
      </w:r>
    </w:p>
    <w:p>
      <w:pPr>
        <w:spacing w:after="0" w:line="117" w:lineRule="exact"/>
        <w:rPr>
          <w:sz w:val="20"/>
          <w:szCs w:val="20"/>
          <w:color w:val="auto"/>
        </w:rPr>
      </w:pPr>
    </w:p>
    <w:p>
      <w:pPr>
        <w:ind w:right="40" w:firstLine="423"/>
        <w:spacing w:after="0" w:line="259" w:lineRule="auto"/>
        <w:rPr>
          <w:sz w:val="20"/>
          <w:szCs w:val="20"/>
          <w:color w:val="auto"/>
        </w:rPr>
      </w:pPr>
      <w:r>
        <w:rPr>
          <w:rFonts w:ascii="Times New Roman" w:cs="Times New Roman" w:eastAsia="Times New Roman" w:hAnsi="Times New Roman"/>
          <w:sz w:val="18"/>
          <w:szCs w:val="18"/>
          <w:color w:val="auto"/>
        </w:rPr>
        <w:t xml:space="preserve">This Options Proposal requires </w:t>
      </w:r>
      <w:r>
        <w:rPr>
          <w:rFonts w:ascii="Times New Roman" w:cs="Times New Roman" w:eastAsia="Times New Roman" w:hAnsi="Times New Roman"/>
          <w:sz w:val="18"/>
          <w:szCs w:val="18"/>
          <w:b w:val="1"/>
          <w:bCs w:val="1"/>
          <w:i w:val="1"/>
          <w:iCs w:val="1"/>
          <w:color w:val="auto"/>
          <w:strike w:val="1"/>
        </w:rPr>
        <w:t>must be approved by a majority of the votes cast affirmatively or negatively on such matter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the affirmative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vote of a majority of the voting power of the outstanding shares of the Company present in person or represented by proxy at the special meeting and entitled to vote on this proposal</w:t>
      </w:r>
      <w:r>
        <w:rPr>
          <w:rFonts w:ascii="Times New Roman" w:cs="Times New Roman" w:eastAsia="Times New Roman" w:hAnsi="Times New Roman"/>
          <w:sz w:val="18"/>
          <w:szCs w:val="18"/>
          <w:color w:val="auto"/>
        </w:rPr>
        <w:t>. Abstentions and “broker non-votes”, if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auto"/>
          <w:strike w:val="1"/>
        </w:rPr>
        <w:t>will have no effect on the vote on the Options</w:t>
      </w: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strike w:val="1"/>
        </w:rPr>
        <w:t xml:space="preserve">Proposal </w:t>
      </w:r>
      <w:r>
        <w:rPr>
          <w:rFonts w:ascii="Times New Roman" w:cs="Times New Roman" w:eastAsia="Times New Roman" w:hAnsi="Times New Roman"/>
          <w:sz w:val="18"/>
          <w:szCs w:val="18"/>
          <w:b w:val="1"/>
          <w:bCs w:val="1"/>
          <w:i w:val="1"/>
          <w:iCs w:val="1"/>
          <w:u w:val="single" w:color="auto"/>
          <w:color w:val="auto"/>
          <w:strike w:val="1"/>
        </w:rPr>
        <w:t>will be counted for purposes of determining the presence or absence of a quorum and will be considered as being present for the vote</w:t>
      </w:r>
      <w:r>
        <w:rPr>
          <w:rFonts w:ascii="Times New Roman" w:cs="Times New Roman" w:eastAsia="Times New Roman" w:hAnsi="Times New Roman"/>
          <w:sz w:val="18"/>
          <w:szCs w:val="18"/>
          <w:b w:val="1"/>
          <w:bCs w:val="1"/>
          <w:i w:val="1"/>
          <w:iCs w:val="1"/>
          <w:color w:val="auto"/>
          <w:strike w:val="1"/>
        </w:rPr>
        <w:t xml:space="preserve"> </w:t>
      </w:r>
      <w:r>
        <w:rPr>
          <w:rFonts w:ascii="Times New Roman" w:cs="Times New Roman" w:eastAsia="Times New Roman" w:hAnsi="Times New Roman"/>
          <w:sz w:val="18"/>
          <w:szCs w:val="18"/>
          <w:b w:val="1"/>
          <w:bCs w:val="1"/>
          <w:i w:val="1"/>
          <w:iCs w:val="1"/>
          <w:u w:val="single" w:color="auto"/>
          <w:color w:val="auto"/>
          <w:strike w:val="1"/>
        </w:rPr>
        <w:t>on this proposal but will not be counted as a vote cast “FOR” this proposal and will, therefore, have the effect of a vote “AGAINST” this proposal</w:t>
      </w:r>
      <w:r>
        <w:rPr>
          <w:rFonts w:ascii="Times New Roman" w:cs="Times New Roman" w:eastAsia="Times New Roman" w:hAnsi="Times New Roman"/>
          <w:sz w:val="18"/>
          <w:szCs w:val="18"/>
          <w:color w:val="auto"/>
          <w:strike w:val="1"/>
        </w:rPr>
        <w:t>.</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66" w:right="459" w:bottom="1440" w:gutter="0" w:footer="0" w:header="0"/>
        </w:sectPr>
      </w:pPr>
    </w:p>
    <w:bookmarkStart w:id="9" w:name="page10"/>
    <w:bookmarkEnd w:id="9"/>
    <w:p>
      <w:pPr>
        <w:ind w:left="440" w:right="540" w:firstLine="42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EVERY VOTE MATTERS. THE BOARD OF DIRECTORS RECOMMENDS A VOTE “FOR” APPROVAL OF THE OPTIONS PROPOSAL.</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Current Report may be deemed to be solicitation material in respect of the solicitation of proxies from shareholders for the Special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Meeting. </w:t>
      </w:r>
      <w:r>
        <w:rPr>
          <w:rFonts w:ascii="Times New Roman" w:cs="Times New Roman" w:eastAsia="Times New Roman" w:hAnsi="Times New Roman"/>
          <w:sz w:val="17"/>
          <w:szCs w:val="17"/>
          <w:b w:val="1"/>
          <w:bCs w:val="1"/>
          <w:color w:val="auto"/>
        </w:rPr>
        <w:t>The Company strongly encourages all of its stockholders to read the Proxy Statement and other proxy materials relating to the Special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 including this Current Report on Form 8-K, which are available free of charge on the SEC’s website at www.sec.gov.</w:t>
      </w:r>
    </w:p>
    <w:p>
      <w:pPr>
        <w:spacing w:after="0" w:line="35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 The following exhibits are filed with this Form 8-K: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Section 27A of the U.S. Securities Act of 1933, as amended, and Section 21E of the U.S. Securities and Exchange Act of 1934, as amended. Such statements include, but are not limited to, statements regarding the Company’s plans with respect to the Special Meeting and the Amended Options Proposal. Forward-looking statements can be identified by words such as “will,” “likely,” “expect,” “continue,” “anticipate,” “estimate,” “believe,” “intend,” “plan,” “projection,” “outlook,” “grow,” “progress,” “potential” or the negative of such terms or other variations thereof and words and terms of similar substance used in connection with any discussion of future plans, actions, or events identify forward-looking statements. However, the absence of these words does not mean that the statements are not forward-looking.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w:t>
      </w:r>
    </w:p>
    <w:p>
      <w:pPr>
        <w:spacing w:after="0" w:line="188"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You are cautioned not to place undue reliance on such forward-looking statements. Such forward-looking statements relate only to events as of the date on which such statements are made and are based on information available to us as of the date of this Current Report.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6" w:right="479" w:bottom="1440" w:gutter="0" w:footer="0" w:header="0"/>
        </w:sectPr>
      </w:pPr>
    </w:p>
    <w:bookmarkStart w:id="10" w:name="page11"/>
    <w:bookmarkEnd w:id="10"/>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22, 2025</w:t>
      </w:r>
    </w:p>
    <w:p>
      <w:pPr>
        <w:spacing w:after="0" w:line="20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sectPr>
      <w:pgSz w:w="11900" w:h="16838" w:orient="portrait"/>
      <w:cols w:equalWidth="0" w:num="1">
        <w:col w:w="10700"/>
      </w:cols>
      <w:pgMar w:left="440" w:top="26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2025-10-22T08:14:34Z</dcterms:created>
  <dcterms:modified xsi:type="dcterms:W3CDTF">2025-10-22T08:14:34Z</dcterms:modified>
</cp:coreProperties>
</file>