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3784d8k.htm"/>
      <w:bookmarkStart w:id="1" w:name="ksd2337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April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Bakkt,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41-2324812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3280 Peachtree Road NE, 7th Floor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Atlanta, Georgia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30305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(678) 534-5849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05" w:type="dxa"/>
        <w:jc w:val="left"/>
        <w:tblInd w:w="0" w:type="dxa"/>
        <w:tblLayout w:type="fixed"/>
        <w:tblCellMar>
          <w:top w:w="0" w:type="dxa"/>
          <w:left w:w="0" w:type="dxa"/>
          <w:bottom w:w="0" w:type="dxa"/>
          <w:right w:w="0" w:type="dxa"/>
        </w:tblCellMar>
      </w:tblPr>
      <w:tblGrid>
        <w:gridCol w:w="5075"/>
        <w:gridCol w:w="60"/>
        <w:gridCol w:w="1115"/>
        <w:gridCol w:w="60"/>
        <w:gridCol w:w="3095"/>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5075" w:type="dxa"/>
            <w:tcBorders/>
            <w:vAlign w:val="center"/>
          </w:tcPr>
          <w:p>
            <w:pPr>
              <w:pStyle w:val="TableContents"/>
              <w:bidi w:val="0"/>
              <w:spacing w:before="0" w:after="283"/>
              <w:jc w:val="center"/>
              <w:rPr/>
            </w:pPr>
            <w:r>
              <w:rPr/>
              <w:t>Warrants to purchase Class A Common Stock</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45" w:type="dxa"/>
        <w:jc w:val="left"/>
        <w:tblInd w:w="0" w:type="dxa"/>
        <w:tblLayout w:type="fixed"/>
        <w:tblCellMar>
          <w:top w:w="0" w:type="dxa"/>
          <w:left w:w="0" w:type="dxa"/>
          <w:bottom w:w="0" w:type="dxa"/>
          <w:right w:w="0" w:type="dxa"/>
        </w:tblCellMar>
      </w:tblPr>
      <w:tblGrid>
        <w:gridCol w:w="965"/>
        <w:gridCol w:w="4280"/>
      </w:tblGrid>
      <w:tr>
        <w:trPr/>
        <w:tc>
          <w:tcPr>
            <w:tcW w:w="965" w:type="dxa"/>
            <w:tcBorders/>
            <w:vAlign w:val="center"/>
          </w:tcPr>
          <w:p>
            <w:pPr>
              <w:pStyle w:val="TableContents"/>
              <w:bidi w:val="0"/>
              <w:spacing w:before="0" w:after="283"/>
              <w:jc w:val="left"/>
              <w:rPr>
                <w:b/>
              </w:rPr>
            </w:pPr>
            <w:r>
              <w:rPr>
                <w:b/>
              </w:rPr>
              <w:t>Item 2.01</w:t>
            </w:r>
          </w:p>
        </w:tc>
        <w:tc>
          <w:tcPr>
            <w:tcW w:w="4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30, 2026, Bakkt, Inc. (the “Company”), through an indirect wholly-owned subsidiary, Bividen Limited, a limited liability company incorporated in Cyprus (“Bividen”), completed its acquisition of Distributed Technologies Research Global Ltd., a private limited company incorporated in Cyprus (“DTR”). As previously disclosed, the Company and Bakkt Opco Holdings, LLC (“Opco”), a Delaware limited liability company and wholly owned subsidiary of the Company, entered into a Share Purchase Agreement dated January 11, 2026 (the “Purchase Agreement”) with, DTR and Akshay Naheta (Mr. Naheta or the “Seller”), pursuant to which the Company agreed to acquire all of the outstanding equity interests in DTR from the Seller and the other beneficial owners of DTR shares (collectively, the “DTR Holders”) in exchange for the Company issuing the Consideration Shares (as defined below) to the DTR Holders. Mr. Naheta is Chief Executive Officer (“CEO”), President and a member of the Board of Directors (the “Board”) of the Company. Prior to the Closing (as defined below), Opco designated Bividen as the Buyer Designee (as defined in the Purchase Agreement) pursuant to the Purchase Agreement and Bividen replaced Opco as Buyer (as defined in the Purchase Agreement) for purposes of consummating the acquisition of DTR at Closing.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acquisition of DTR (the “Closing”), the Company issued an aggregate of 11,316,775 shares (such shares, the “Consideration Shares”) of its Class A Common Stock, par value $0.0001 per share (the “Class A Common Stock”), comprised of (A) 31.5% of (i) the aggregate number of shares of Class A Common Stock that were issued and outstanding immediately prior to the Closing plus (ii) the aggregate number of shares of the Company’s capital stock issuable upon full exercise or conversion of any options or other convertible derivative securities that were outstanding immediately prior to the Closing, on an as-converted basis, but excluding any outstanding warrants to purchase shares of the Class A Common Stock, or 2,303,465 shares, less (B) the Adjustment Amount (as defined hereafter). The aggregate number of shares of Class A Common Stock issuable as Consideration Shares was reduced by 196,532 shares of Class A Common Stock (the “Adjustment Amount”) pursuant to the terms of the Purchase Agreement, which such Adjustment Amount equals (x) the aggregate amount of certain shareholder loans extended to DTR by the Seller or his affiliates that were outstanding immediately prior to the Closing and (y) transaction expenses that DTR or Mr. Naheta incurred in excess of the $1.5 million of transaction expenses that the Company agreed to reimburse under the Purchase Agreement divided by (z) the volume-weighted average trading price for a share of Class A Common Stock measured over the 20 consecutive trading day period ending on and including the day immediately prior to the Closing, or $8.65.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Closing, to the extent the Company issues shares of Class A Common Stock in respect of warrants to purchase shares of Class A Common Stock that were outstanding as of the date of the Purchase Agreement, the Consideration Shares will be increased by a number of shares equal to (x) 31.5% multiplied by (y) the number of shares of Class A Common Stock issued upon the exercise or conversion of such warrants. Assuming all such warrants are fully exercised for cash, the Company would issue up to an additional 725,592 shares of Class A Common Stock as part of the Consideration Shares.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and conditions of the Purchase Agreement were described in Item 1.01 of the Current Report on Form 8-K filed by the Company with the SEC on January 12, 2026 (the “Prior Report”) under the heading Purchase Agreement, the description of which is incorporated herein by reference and qualified in its entirety by reference to the full text of the Purchase Agreement, which was filed as Exhibit 10.1 to the Prior Report and is also incorporated herein by reference.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2.01 is hereby incorporated by reference into this Item 3.02. The securities of the Company issued, as described herein, were issued without registration pursuant to the exemption provided by Section 4(a)(2) under the Securities Act of 1933, as amended.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965"/>
        <w:gridCol w:w="2855"/>
      </w:tblGrid>
      <w:tr>
        <w:trPr/>
        <w:tc>
          <w:tcPr>
            <w:tcW w:w="965" w:type="dxa"/>
            <w:tcBorders/>
            <w:vAlign w:val="center"/>
          </w:tcPr>
          <w:p>
            <w:pPr>
              <w:pStyle w:val="TableContents"/>
              <w:bidi w:val="0"/>
              <w:spacing w:before="0" w:after="283"/>
              <w:jc w:val="left"/>
              <w:rPr>
                <w:b/>
              </w:rPr>
            </w:pPr>
            <w:r>
              <w:rPr>
                <w:b/>
              </w:rPr>
              <w:t>Item 5.01</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2.01 is hereby incorporated by reference into this Item 5.01. As a result of the Closing, a change in control of the Company occurred solely for purposes of this Item 5.01. Immediately after the Closing, Mr. Naheta, our CEO, President and a member of the Board beneficially owns 11,127,563 shares of Class A Common Stock of the Company, approximately 22.3% of the Company’s securities.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30, 2026, the Company issued a press release announcing the Closing of the acquisition of DTR. A copy of the press release is furnished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(the “Exchange Act”), nor shall they be deemed incorporated by reference in any filing under the Securities Act of 1933, as amended.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305"/>
        <w:gridCol w:w="3620"/>
      </w:tblGrid>
      <w:tr>
        <w:trPr/>
        <w:tc>
          <w:tcPr>
            <w:tcW w:w="305" w:type="dxa"/>
            <w:tcBorders/>
            <w:vAlign w:val="center"/>
          </w:tcPr>
          <w:p>
            <w:pPr>
              <w:pStyle w:val="TableContents"/>
              <w:bidi w:val="0"/>
              <w:spacing w:before="0" w:after="283"/>
              <w:jc w:val="left"/>
              <w:rPr>
                <w:i/>
              </w:rPr>
            </w:pPr>
            <w:r>
              <w:rPr>
                <w:i/>
              </w:rPr>
              <w:t>(a)</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Financial Statements of Business Acquired.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required by Item 9.01(a) of Form 8-K will be filed by amendment within 71 calendar days after the date on which this Current Report on Form 8-K is required to be filed.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305"/>
        <w:gridCol w:w="2885"/>
      </w:tblGrid>
      <w:tr>
        <w:trPr/>
        <w:tc>
          <w:tcPr>
            <w:tcW w:w="305" w:type="dxa"/>
            <w:tcBorders/>
            <w:vAlign w:val="center"/>
          </w:tcPr>
          <w:p>
            <w:pPr>
              <w:pStyle w:val="TableContents"/>
              <w:bidi w:val="0"/>
              <w:spacing w:before="0" w:after="283"/>
              <w:jc w:val="left"/>
              <w:rPr>
                <w:i/>
              </w:rPr>
            </w:pPr>
            <w:r>
              <w:rPr>
                <w:i/>
              </w:rPr>
              <w:t>(b)</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 Forma Financial Information.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required by Item 9.01(b) of Form 8-K will be filed by amendment within 71 calendar days after the date on which this Current Report on Form 8-K is required to be filed.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05"/>
        <w:gridCol w:w="755"/>
      </w:tblGrid>
      <w:tr>
        <w:trPr/>
        <w:tc>
          <w:tcPr>
            <w:tcW w:w="305" w:type="dxa"/>
            <w:tcBorders/>
            <w:vAlign w:val="center"/>
          </w:tcPr>
          <w:p>
            <w:pPr>
              <w:pStyle w:val="TableContents"/>
              <w:bidi w:val="0"/>
              <w:spacing w:before="0" w:after="283"/>
              <w:jc w:val="left"/>
              <w:rPr>
                <w:i/>
              </w:rPr>
            </w:pPr>
            <w:r>
              <w:rPr>
                <w:i/>
              </w:rPr>
              <w:t>(d)</w:t>
            </w:r>
          </w:p>
        </w:tc>
        <w:tc>
          <w:tcPr>
            <w:tcW w:w="75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233784dex991.htm">
              <w:r>
                <w:rPr>
                  <w:rStyle w:val="InternetLink"/>
                </w:rPr>
                <w:t xml:space="preserve">Press Release dated April 30,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543" w:type="dxa"/>
        <w:jc w:val="left"/>
        <w:tblInd w:w="0" w:type="dxa"/>
        <w:tblLayout w:type="fixed"/>
        <w:tblCellMar>
          <w:top w:w="0" w:type="dxa"/>
          <w:left w:w="0" w:type="dxa"/>
          <w:bottom w:w="0" w:type="dxa"/>
          <w:right w:w="0" w:type="dxa"/>
        </w:tblCellMar>
      </w:tblPr>
      <w:tblGrid>
        <w:gridCol w:w="615"/>
        <w:gridCol w:w="96"/>
        <w:gridCol w:w="2832"/>
      </w:tblGrid>
      <w:tr>
        <w:trPr/>
        <w:tc>
          <w:tcPr>
            <w:tcW w:w="615"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b/>
              </w:rPr>
            </w:pPr>
            <w:r>
              <w:rPr>
                <w:b/>
              </w:rPr>
              <w:t>BAKKT, INC.</w:t>
            </w:r>
          </w:p>
        </w:tc>
      </w:tr>
      <w:tr>
        <w:trPr/>
        <w:tc>
          <w:tcPr>
            <w:tcW w:w="615" w:type="dxa"/>
            <w:tcBorders/>
            <w:vAlign w:val="center"/>
          </w:tcPr>
          <w:p>
            <w:pPr>
              <w:pStyle w:val="TableContents"/>
              <w:bidi w:val="0"/>
              <w:spacing w:before="0" w:after="283"/>
              <w:jc w:val="left"/>
              <w:rPr>
                <w:sz w:val="4"/>
                <w:szCs w:val="4"/>
              </w:rPr>
            </w:pPr>
            <w:r>
              <w:rPr>
                <w:sz w:val="4"/>
                <w:szCs w:val="4"/>
              </w:rPr>
            </w:r>
          </w:p>
        </w:tc>
        <w:tc>
          <w:tcPr>
            <w:tcW w:w="2928"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vAlign w:val="center"/>
          </w:tcPr>
          <w:p>
            <w:pPr>
              <w:pStyle w:val="TableContents"/>
              <w:bidi w:val="0"/>
              <w:spacing w:before="0" w:after="283"/>
              <w:jc w:val="left"/>
              <w:rPr/>
            </w:pPr>
            <w:r>
              <w:rPr/>
              <w:t>By:</w:t>
            </w:r>
          </w:p>
        </w:tc>
        <w:tc>
          <w:tcPr>
            <w:tcW w:w="96" w:type="dxa"/>
            <w:tcBorders/>
            <w:vAlign w:val="center"/>
          </w:tcPr>
          <w:p>
            <w:pPr>
              <w:pStyle w:val="TableContents"/>
              <w:bidi w:val="0"/>
              <w:spacing w:before="0" w:after="283"/>
              <w:jc w:val="left"/>
              <w:rPr/>
            </w:pPr>
            <w:r>
              <w:rPr/>
              <w:t> </w:t>
            </w:r>
          </w:p>
        </w:tc>
        <w:tc>
          <w:tcPr>
            <w:tcW w:w="283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3543" w:type="dxa"/>
            <w:gridSpan w:val="3"/>
            <w:tcBorders/>
            <w:vAlign w:val="center"/>
          </w:tcPr>
          <w:p>
            <w:pPr>
              <w:pStyle w:val="TableContents"/>
              <w:bidi w:val="0"/>
              <w:spacing w:before="0" w:after="283"/>
              <w:jc w:val="left"/>
              <w:rPr/>
            </w:pPr>
            <w:r>
              <w:rPr/>
              <w:t>Name: Marc D’Annunzio</w:t>
            </w:r>
          </w:p>
        </w:tc>
      </w:tr>
      <w:tr>
        <w:trPr/>
        <w:tc>
          <w:tcPr>
            <w:tcW w:w="3543" w:type="dxa"/>
            <w:gridSpan w:val="3"/>
            <w:tcBorders/>
            <w:vAlign w:val="center"/>
          </w:tcPr>
          <w:p>
            <w:pPr>
              <w:pStyle w:val="TableContents"/>
              <w:bidi w:val="0"/>
              <w:spacing w:before="0" w:after="283"/>
              <w:jc w:val="left"/>
              <w:rPr/>
            </w:pPr>
            <w:r>
              <w:rPr/>
              <w:t>Title: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April 30, 2026 </w:t>
      </w:r>
    </w:p>
    <w:p>
      <w:pPr>
        <w:pStyle w:val="TextBody"/>
        <w:bidi w:val="0"/>
        <w:spacing w:before="0" w:after="0"/>
        <w:jc w:val="right"/>
        <w:rPr>
          <w:rFonts w:ascii="Times New Roman" w:hAnsi="Times New Roman"/>
          <w:b/>
          <w:sz w:val="20"/>
        </w:rPr>
      </w:pPr>
      <w:bookmarkStart w:id="2" w:name="d233784dex991.htm"/>
      <w:bookmarkStart w:id="3" w:name="ksd23378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Bakkt Completes Acquisition of Distributed Technologies Research </w:t>
      </w:r>
    </w:p>
    <w:p>
      <w:pPr>
        <w:pStyle w:val="TextBody"/>
        <w:bidi w:val="0"/>
        <w:spacing w:before="240" w:after="0"/>
        <w:jc w:val="center"/>
        <w:rPr>
          <w:rFonts w:ascii="Times New Roman" w:hAnsi="Times New Roman"/>
          <w:i/>
          <w:sz w:val="20"/>
        </w:rPr>
      </w:pPr>
      <w:r>
        <w:rPr>
          <w:rFonts w:ascii="Times New Roman" w:hAnsi="Times New Roman"/>
          <w:i/>
          <w:sz w:val="20"/>
        </w:rPr>
        <w:t xml:space="preserve">Acquisition unites Bakkt’s regulated institutional rails with DTR’s agentic technology and </w:t>
      </w:r>
    </w:p>
    <w:p>
      <w:pPr>
        <w:pStyle w:val="TextBody"/>
        <w:bidi w:val="0"/>
        <w:spacing w:before="0" w:after="0"/>
        <w:jc w:val="center"/>
        <w:rPr>
          <w:rFonts w:ascii="Times New Roman" w:hAnsi="Times New Roman"/>
          <w:i/>
          <w:sz w:val="20"/>
        </w:rPr>
      </w:pPr>
      <w:r>
        <w:rPr>
          <w:rFonts w:ascii="Times New Roman" w:hAnsi="Times New Roman"/>
          <w:i/>
          <w:sz w:val="20"/>
        </w:rPr>
        <w:t xml:space="preserve">compliance stack to address a $44T global payments market </w:t>
      </w:r>
    </w:p>
    <w:p>
      <w:pPr>
        <w:pStyle w:val="TextBody"/>
        <w:bidi w:val="0"/>
        <w:spacing w:before="240" w:after="0"/>
        <w:jc w:val="left"/>
        <w:rPr>
          <w:rFonts w:ascii="Times New Roman" w:hAnsi="Times New Roman"/>
          <w:sz w:val="20"/>
        </w:rPr>
      </w:pPr>
      <w:r>
        <w:rPr>
          <w:rFonts w:ascii="Times New Roman" w:hAnsi="Times New Roman"/>
          <w:sz w:val="20"/>
        </w:rPr>
        <w:t xml:space="preserve">ATLANTA, GA - April 30, 2026 - Bakkt, Inc. (“Bakkt” or the “Company”) (NYSE:BKKT) today announced that it has completed its previously announced acquisition of Distributed Technologies Research (“DTR”), a developer of agentic payments and stablecoin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combines Bakkt’s regulated, institutional-grade infrastructure and nationwide licensing footprint with DTR’s AI-native engine and scalable compliance stack, creating a unified platform purpose-built for institutions and fintechs seeking simplicity, programmability, and global scale. By embedding stablecoin capabilities directly into Bakkt’s core infrastructure, the combined company is establishing a 24/7 digital settlement layer that bypasses the friction of traditional correspondent banking. </w:t>
      </w:r>
    </w:p>
    <w:p>
      <w:pPr>
        <w:pStyle w:val="TextBody"/>
        <w:bidi w:val="0"/>
        <w:spacing w:before="240" w:after="0"/>
        <w:jc w:val="left"/>
        <w:rPr/>
      </w:pPr>
      <w:r>
        <w:rPr/>
        <w:t>“</w:t>
      </w:r>
      <w:r>
        <w:rPr>
          <w:rFonts w:ascii="Times New Roman" w:hAnsi="Times New Roman"/>
          <w:sz w:val="20"/>
        </w:rPr>
        <w:t xml:space="preserve">The architecture of money movement rarely evolves at this level,” said Akshay Naheta, CEO of Bakkt. “This transaction accelerates the re-platforming of global financial infrastructure. By fully integrating DTR’s technology, we are introducing stablecoin functionality as a critical bridge between legacy financial systems and the next generation of digital assets. Together, we are well positioned to capture a share of the more than $44 trillion cross-border payments market with a durable, scalable model designed for long-term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acquisition of DTR (the “Closing”), the Company issued an aggregate of 11,316,775 shares (such shares, the “Consideration Shares”) of its Class A Common Stock, par value $0.0001 per share (the “Class A Common Stock”), to the beneficial holders of DTR, pursuant to the terms of the Share Purchase Agreement, dated as of January 11, 2026 (the “Purchase Agreement”). In addition, following the Closing, Bakkt may issue up to an additional 725,592 shares of Class A Common Stock, as additional Consideration Shares, to the extent Bakkt issues shares of Class A Common Stock in respect of warrants to purchase shares of Class A Common Stock that were outstanding as of the date of the Purchase Agreement in accordance with the terms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 details regarding the acquisition of DTR and the Consideration Shares will be set forth in the Company’s Current Report on Form 8-K to be filed with the U.S. Securities and Exchange Commission (“SEC”) on April 30,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Bakkt </w:t>
      </w:r>
    </w:p>
    <w:p>
      <w:pPr>
        <w:pStyle w:val="TextBody"/>
        <w:bidi w:val="0"/>
        <w:spacing w:before="120" w:after="0"/>
        <w:jc w:val="left"/>
        <w:rPr>
          <w:rFonts w:ascii="Times New Roman" w:hAnsi="Times New Roman"/>
          <w:sz w:val="20"/>
        </w:rPr>
      </w:pPr>
      <w:r>
        <w:rPr>
          <w:rFonts w:ascii="Times New Roman" w:hAnsi="Times New Roman"/>
          <w:sz w:val="20"/>
        </w:rPr>
        <w:t xml:space="preserve">Founded in 2018, Bakkt, Inc. is a regulated financial technology company building infrastructure for the future of finance. Bakkt’s platform serves financial institutions, fintechs, and consumer finance products — providing the compliance, security, and scale required to deliver trusted financial services at a global level. Through its core business pillars, Bakkt powers institutional-grade trading capabilities, AI-enabled programmable finance, and cross-border payment infrastructure.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Bakkt is headquartered in Atlanta, GA. For more information, visit: </w:t>
      </w:r>
      <w:r>
        <w:rPr>
          <w:rFonts w:ascii="Times New Roman" w:hAnsi="Times New Roman"/>
          <w:sz w:val="20"/>
          <w:u w:val="single"/>
        </w:rPr>
        <w:t>https://www.bakkt.com/</w:t>
      </w:r>
      <w:r>
        <w:rPr>
          <w:rFonts w:ascii="Times New Roman" w:hAnsi="Times New Roman"/>
          <w:sz w:val="20"/>
        </w:rPr>
        <w:t xml:space="preserve"> | </w:t>
      </w:r>
      <w:r>
        <w:rPr>
          <w:rFonts w:ascii="Times New Roman" w:hAnsi="Times New Roman"/>
          <w:sz w:val="20"/>
          <w:u w:val="single"/>
        </w:rPr>
        <w:t>X</w:t>
      </w:r>
      <w:r>
        <w:rPr>
          <w:rFonts w:ascii="Times New Roman" w:hAnsi="Times New Roman"/>
          <w:sz w:val="20"/>
        </w:rPr>
        <w:t xml:space="preserve"> | </w:t>
      </w:r>
      <w:r>
        <w:rPr>
          <w:rFonts w:ascii="Times New Roman" w:hAnsi="Times New Roman"/>
          <w:sz w:val="20"/>
          <w:u w:val="single"/>
        </w:rPr>
        <w:t>LinkedIn</w:t>
      </w:r>
      <w:r>
        <w:rPr>
          <w:rFonts w:ascii="Times New Roman" w:hAnsi="Times New Roman"/>
          <w:sz w:val="20"/>
        </w:rPr>
        <w:t xml:space="preserve"> | </w:t>
      </w:r>
      <w:r>
        <w:rPr>
          <w:rFonts w:ascii="Times New Roman" w:hAnsi="Times New Roman"/>
          <w:sz w:val="20"/>
          <w:u w:val="single"/>
        </w:rPr>
        <w:t>Instagram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Yujia Zhai </w:t>
      </w:r>
    </w:p>
    <w:p>
      <w:pPr>
        <w:pStyle w:val="TextBody"/>
        <w:bidi w:val="0"/>
        <w:spacing w:before="0" w:after="0"/>
        <w:jc w:val="left"/>
        <w:rPr>
          <w:rFonts w:ascii="Times New Roman" w:hAnsi="Times New Roman"/>
          <w:sz w:val="20"/>
        </w:rPr>
      </w:pPr>
      <w:r>
        <w:rPr>
          <w:rFonts w:ascii="Times New Roman" w:hAnsi="Times New Roman"/>
          <w:sz w:val="20"/>
        </w:rPr>
        <w:t xml:space="preserve">OG Advisory Group </w:t>
      </w:r>
    </w:p>
    <w:p>
      <w:pPr>
        <w:pStyle w:val="TextBody"/>
        <w:bidi w:val="0"/>
        <w:spacing w:before="0" w:after="0"/>
        <w:jc w:val="left"/>
        <w:rPr>
          <w:rFonts w:ascii="Times New Roman" w:hAnsi="Times New Roman"/>
          <w:sz w:val="20"/>
        </w:rPr>
      </w:pPr>
      <w:r>
        <w:rPr>
          <w:rFonts w:ascii="Times New Roman" w:hAnsi="Times New Roman"/>
          <w:sz w:val="20"/>
        </w:rPr>
        <w:t xml:space="preserve">bakkt@orangegroupadvisors.com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Luna PR </w:t>
      </w:r>
    </w:p>
    <w:p>
      <w:pPr>
        <w:pStyle w:val="TextBody"/>
        <w:bidi w:val="0"/>
        <w:spacing w:before="0" w:after="0"/>
        <w:jc w:val="left"/>
        <w:rPr>
          <w:rFonts w:ascii="Times New Roman" w:hAnsi="Times New Roman"/>
          <w:sz w:val="20"/>
        </w:rPr>
      </w:pPr>
      <w:r>
        <w:rPr>
          <w:rFonts w:ascii="Times New Roman" w:hAnsi="Times New Roman"/>
          <w:sz w:val="20"/>
        </w:rPr>
        <w:t xml:space="preserve">bakkt@lunapr.io </w:t>
      </w:r>
    </w:p>
    <w:p>
      <w:pPr>
        <w:pStyle w:val="TextBody"/>
        <w:bidi w:val="0"/>
        <w:spacing w:before="360" w:after="0"/>
        <w:jc w:val="left"/>
        <w:rPr>
          <w:rFonts w:ascii="Times New Roman" w:hAnsi="Times New Roman"/>
          <w:b/>
          <w:sz w:val="20"/>
        </w:rPr>
      </w:pPr>
      <w:r>
        <w:rPr>
          <w:rFonts w:ascii="Times New Roman" w:hAnsi="Times New Roman"/>
          <w:b/>
          <w:sz w:val="20"/>
        </w:rPr>
        <w:t xml:space="preserve">Note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and accompanying remarks contain “forward-looking statements” within the meaning of Section 27A of the U.S. Securities Act of 1933, as amended, and Section 21E of the U.S. Securities Exchange Act of 1934, as amended. Forward-looking statements can be identified by words such as “will,” “likely,” “expect,” “continue,” “anticipate,” “estimate,” “believe,” “intend,” “plan,” “projection,” “outlook,” “grow,” “progress,” “potential” or other variations of these terms, as well as similar expressions that discuss future plans, actions, or events. The absence of such words does not mean that a statement is not forward-looking. These statements are based on the current beliefs and expectations of Bakkt and are inherently subject to significant business, economic, and competitive uncertainties and contingencies—many of which are difficult to predict and are beyond the Company’s control. Forward-looking statements in this release may include, for example, statements about: expectations regarding the Company’s strategic transformation and completion thereof, including the integration of DTR into the Company; future financial and operational performance, including the impact of the acquisition of DTR on the Company’s future performance; expansion of Bakkt Markets, Agent, and Global; anticipated benefits of investment in international markets; product launches and scalability; cost optimization and capital structure; industry growth in stablecoins, tokenization and digital assets; governance initiatives; and regulatory developments.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and the timing of events may differ materially from those anticipated due to a number of factors, including but not limited to: the Company’s ability to grow and manage growth profitably; whether the Company will be able to successfully integrate its operations with those of DTR, including its infrastructure, and achieve the expected benefits therefrom; risks associated with the integration of DTR or that Bakkt will not realize expected benefits, cost savings, accretion, synergies and/or growth, or that such benefits may take longer to realize than expected; risks that disruptions from the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harm business plans and operations; significant transaction and integration costs; the potential impact of the acquisition of DTR on Bakkt’s, DTR’s or the combined company’s relationships with partners, customers, employees and regulators; demand for Bakkt’s, DTR’s, or the combined company’s products and services; the regulatory environment for digital assets and digital stablecoin payments; changes in the Company’s business strategy; the Company’s adoption of its updated Investment Policy (“Investment Policy”) and related treasury strategy, including the Company’s ability to successfully consummate future acquisitions, integrate or manage investments in potential acquisition targets and investees;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sources and uses of cash, including funds to satisfy its liquidity needs; the Company’s ability to raise capital and investments, including by the Company’s chief executive officer; changes in the market in which the Company competes, including with respect to its competitive landscape, technology evolution or changes in applicable laws or regulations; changes in the markets that the Company targets; volatility and disruptions in the digital asset, digital payments and stablecoin markets that subject the Company to additional risks, including the risk that banks may not provide banking services to the Company and market sentiments regarding digital assets,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digital assets;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the Company’s ability to maintain the listing of its securities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risks are detailed in the Company’s filings with the SEC, including its most recent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forward-looking statements. These statements speak only as of the date of this release, and Bakkt undertakes no obligation to update or revise any forward-looking statements, whether as a result of new information, future events, or otherwise,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3090</Words>
  <Characters>17621</Characters>
  <CharactersWithSpaces>20697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