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122555</wp:posOffset>
            </wp:positionV>
            <wp:extent cx="15684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0" cy="1714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53975</wp:posOffset>
            </wp:positionV>
            <wp:extent cx="15684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7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79375</wp:posOffset>
            </wp:positionV>
            <wp:extent cx="15684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07" w:lineRule="exact"/>
        <w:rPr>
          <w:sz w:val="24"/>
          <w:szCs w:val="24"/>
          <w:color w:val="auto"/>
        </w:rPr>
      </w:pPr>
    </w:p>
    <w:p>
      <w:pPr>
        <w:ind w:left="80"/>
        <w:spacing w:after="0" w:line="207" w:lineRule="exact"/>
        <w:tabs>
          <w:tab w:leader="none" w:pos="2300" w:val="left"/>
        </w:tabs>
        <w:rPr>
          <w:sz w:val="20"/>
          <w:szCs w:val="20"/>
          <w:color w:val="auto"/>
        </w:rPr>
      </w:pPr>
      <w:r>
        <w:rPr>
          <w:rFonts w:ascii="Times New Roman" w:cs="Times New Roman" w:eastAsia="Times New Roman" w:hAnsi="Times New Roman"/>
          <w:sz w:val="18"/>
          <w:szCs w:val="18"/>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p>
    <w:p>
      <w:pPr>
        <w:spacing w:after="0" w:line="90" w:lineRule="exact"/>
        <w:rPr>
          <w:sz w:val="24"/>
          <w:szCs w:val="24"/>
          <w:color w:val="auto"/>
        </w:rPr>
      </w:pPr>
    </w:p>
    <w:p>
      <w:pPr>
        <w:ind w:left="2320" w:right="4940" w:hanging="6"/>
        <w:spacing w:after="0" w:line="434" w:lineRule="exact"/>
        <w:tabs>
          <w:tab w:leader="none" w:pos="25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N-SAR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 For Period Ended: December 31, 2025</w:t>
      </w:r>
    </w:p>
    <w:p>
      <w:pPr>
        <w:spacing w:after="0" w:line="200" w:lineRule="exact"/>
        <w:rPr>
          <w:rFonts w:ascii="MS PGothic" w:cs="MS PGothic" w:eastAsia="MS PGothic" w:hAnsi="MS PGothic"/>
          <w:sz w:val="18"/>
          <w:szCs w:val="18"/>
          <w:color w:val="auto"/>
        </w:rPr>
      </w:pPr>
    </w:p>
    <w:p>
      <w:pPr>
        <w:spacing w:after="0" w:line="201" w:lineRule="exact"/>
        <w:rPr>
          <w:rFonts w:ascii="MS PGothic" w:cs="MS PGothic" w:eastAsia="MS PGothic" w:hAnsi="MS PGothic"/>
          <w:sz w:val="18"/>
          <w:szCs w:val="18"/>
          <w:color w:val="auto"/>
        </w:rPr>
      </w:pPr>
    </w:p>
    <w:p>
      <w:pPr>
        <w:ind w:left="2520" w:hanging="206"/>
        <w:spacing w:after="0"/>
        <w:tabs>
          <w:tab w:leader="none" w:pos="2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7" w:lineRule="exact"/>
        <w:rPr>
          <w:rFonts w:ascii="MS PGothic" w:cs="MS PGothic" w:eastAsia="MS PGothic" w:hAnsi="MS PGothic"/>
          <w:sz w:val="18"/>
          <w:szCs w:val="18"/>
          <w:color w:val="auto"/>
        </w:rPr>
      </w:pPr>
    </w:p>
    <w:p>
      <w:pPr>
        <w:ind w:left="2520" w:hanging="206"/>
        <w:spacing w:after="0"/>
        <w:tabs>
          <w:tab w:leader="none" w:pos="2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157" w:lineRule="exact"/>
        <w:rPr>
          <w:rFonts w:ascii="MS PGothic" w:cs="MS PGothic" w:eastAsia="MS PGothic" w:hAnsi="MS PGothic"/>
          <w:sz w:val="18"/>
          <w:szCs w:val="18"/>
          <w:color w:val="auto"/>
        </w:rPr>
      </w:pPr>
    </w:p>
    <w:p>
      <w:pPr>
        <w:ind w:left="2520" w:hanging="206"/>
        <w:spacing w:after="0"/>
        <w:tabs>
          <w:tab w:leader="none" w:pos="2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157" w:lineRule="exact"/>
        <w:rPr>
          <w:rFonts w:ascii="MS PGothic" w:cs="MS PGothic" w:eastAsia="MS PGothic" w:hAnsi="MS PGothic"/>
          <w:sz w:val="18"/>
          <w:szCs w:val="18"/>
          <w:color w:val="auto"/>
        </w:rPr>
      </w:pPr>
    </w:p>
    <w:p>
      <w:pPr>
        <w:ind w:left="2520" w:hanging="206"/>
        <w:spacing w:after="0"/>
        <w:tabs>
          <w:tab w:leader="none" w:pos="2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157" w:lineRule="exact"/>
        <w:rPr>
          <w:rFonts w:ascii="MS PGothic" w:cs="MS PGothic" w:eastAsia="MS PGothic" w:hAnsi="MS PGothic"/>
          <w:sz w:val="18"/>
          <w:szCs w:val="18"/>
          <w:color w:val="auto"/>
        </w:rPr>
      </w:pPr>
    </w:p>
    <w:p>
      <w:pPr>
        <w:ind w:left="2520" w:hanging="206"/>
        <w:spacing w:after="0"/>
        <w:tabs>
          <w:tab w:leader="none" w:pos="2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N-SAR</w:t>
      </w:r>
    </w:p>
    <w:p>
      <w:pPr>
        <w:spacing w:after="0" w:line="200" w:lineRule="exact"/>
        <w:rPr>
          <w:sz w:val="24"/>
          <w:szCs w:val="24"/>
          <w:color w:val="auto"/>
        </w:rPr>
      </w:pPr>
    </w:p>
    <w:p>
      <w:pPr>
        <w:spacing w:after="0" w:line="241"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60325</wp:posOffset>
            </wp:positionV>
            <wp:extent cx="7071995"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394335"/>
                    </a:xfrm>
                    <a:prstGeom prst="rect">
                      <a:avLst/>
                    </a:prstGeom>
                    <a:noFill/>
                  </pic:spPr>
                </pic:pic>
              </a:graphicData>
            </a:graphic>
          </wp:anchor>
        </w:drawing>
      </w:r>
    </w:p>
    <w:p>
      <w:pPr>
        <w:spacing w:after="0" w:line="1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w:t>
      </w:r>
    </w:p>
    <w:p>
      <w:pPr>
        <w:spacing w:after="0" w:line="50"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any information contained herein.</w:t>
      </w:r>
    </w:p>
    <w:p>
      <w:pPr>
        <w:spacing w:after="0" w:line="18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77470</wp:posOffset>
            </wp:positionV>
            <wp:extent cx="66179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8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Bakkt, Inc.</w:t>
      </w:r>
    </w:p>
    <w:p>
      <w:pPr>
        <w:spacing w:after="0" w:line="8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(Full Name of Registrant)</w:t>
      </w:r>
    </w:p>
    <w:p>
      <w:pPr>
        <w:spacing w:after="0" w:line="27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0"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(Former Name if Applicable)</w:t>
      </w:r>
    </w:p>
    <w:p>
      <w:pPr>
        <w:spacing w:after="0" w:line="27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One Liberty Plaza, One Liberty Street, Ste. 305-306</w:t>
      </w:r>
    </w:p>
    <w:p>
      <w:pPr>
        <w:spacing w:after="0" w:line="50"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 (</w:t>
      </w:r>
      <w:r>
        <w:rPr>
          <w:rFonts w:ascii="Times New Roman" w:cs="Times New Roman" w:eastAsia="Times New Roman" w:hAnsi="Times New Roman"/>
          <w:sz w:val="18"/>
          <w:szCs w:val="18"/>
          <w:b w:val="1"/>
          <w:bCs w:val="1"/>
          <w:i w:val="1"/>
          <w:iCs w:val="1"/>
          <w:color w:val="auto"/>
        </w:rPr>
        <w:t>Street and Number</w:t>
      </w:r>
      <w:r>
        <w:rPr>
          <w:rFonts w:ascii="Times New Roman" w:cs="Times New Roman" w:eastAsia="Times New Roman" w:hAnsi="Times New Roman"/>
          <w:sz w:val="18"/>
          <w:szCs w:val="18"/>
          <w:b w:val="1"/>
          <w:bCs w:val="1"/>
          <w:color w:val="auto"/>
        </w:rPr>
        <w:t>))</w:t>
      </w:r>
    </w:p>
    <w:p>
      <w:pPr>
        <w:spacing w:after="0" w:line="27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5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71120</wp:posOffset>
            </wp:positionV>
            <wp:extent cx="68834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3400" cy="17145"/>
                    </a:xfrm>
                    <a:prstGeom prst="rect">
                      <a:avLst/>
                    </a:prstGeom>
                    <a:noFill/>
                  </pic:spPr>
                </pic:pic>
              </a:graphicData>
            </a:graphic>
          </wp:anchor>
        </w:drawing>
      </w:r>
    </w:p>
    <w:p>
      <w:pPr>
        <w:spacing w:after="0" w:line="20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83" w:lineRule="exact"/>
        <w:rPr>
          <w:sz w:val="24"/>
          <w:szCs w:val="24"/>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ectPr>
          <w:pgSz w:w="11900" w:h="16838" w:orient="portrait"/>
          <w:cols w:equalWidth="0" w:num="1">
            <w:col w:w="10700"/>
          </w:cols>
          <w:pgMar w:left="320" w:top="1211" w:right="879" w:bottom="1440" w:gutter="0" w:footer="0" w:header="0"/>
        </w:sectPr>
      </w:pPr>
    </w:p>
    <w:bookmarkStart w:id="1" w:name="page2"/>
    <w:bookmarkEnd w:id="1"/>
    <w:p>
      <w:pPr>
        <w:ind w:left="1420" w:hanging="641"/>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242570</wp:posOffset>
            </wp:positionH>
            <wp:positionV relativeFrom="page">
              <wp:posOffset>723265</wp:posOffset>
            </wp:positionV>
            <wp:extent cx="7037705" cy="1825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1825625"/>
                    </a:xfrm>
                    <a:prstGeom prst="rect">
                      <a:avLst/>
                    </a:prstGeom>
                    <a:noFill/>
                  </pic:spPr>
                </pic:pic>
              </a:graphicData>
            </a:graphic>
          </wp:anchor>
        </w:drawing>
        <w:t>The reason described in reasonable detail in Part III of this form could not be eliminated without unreasonable effort or expense;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1420" w:hanging="641"/>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N-SAR or Form N-CSR,</w:t>
      </w:r>
    </w:p>
    <w:p>
      <w:pPr>
        <w:spacing w:after="0" w:line="49" w:lineRule="exact"/>
        <w:rPr>
          <w:rFonts w:ascii="Times New Roman" w:cs="Times New Roman" w:eastAsia="Times New Roman" w:hAnsi="Times New Roman"/>
          <w:sz w:val="18"/>
          <w:szCs w:val="18"/>
          <w:color w:val="auto"/>
        </w:rPr>
      </w:pPr>
    </w:p>
    <w:p>
      <w:pPr>
        <w:ind w:left="1420" w:right="220" w:hanging="1162"/>
        <w:spacing w:after="0" w:line="235" w:lineRule="auto"/>
        <w:tabs>
          <w:tab w:leader="none" w:pos="142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0" w:lineRule="exact"/>
        <w:rPr>
          <w:rFonts w:ascii="MS PGothic" w:cs="MS PGothic" w:eastAsia="MS PGothic" w:hAnsi="MS PGothic"/>
          <w:sz w:val="36"/>
          <w:szCs w:val="36"/>
          <w:color w:val="auto"/>
          <w:vertAlign w:val="subscript"/>
        </w:rPr>
      </w:pPr>
    </w:p>
    <w:p>
      <w:pPr>
        <w:spacing w:after="0" w:line="200" w:lineRule="exact"/>
        <w:rPr>
          <w:rFonts w:ascii="MS PGothic" w:cs="MS PGothic" w:eastAsia="MS PGothic" w:hAnsi="MS PGothic"/>
          <w:sz w:val="36"/>
          <w:szCs w:val="36"/>
          <w:color w:val="auto"/>
          <w:vertAlign w:val="subscript"/>
        </w:rPr>
      </w:pPr>
    </w:p>
    <w:p>
      <w:pPr>
        <w:spacing w:after="0" w:line="202" w:lineRule="exact"/>
        <w:rPr>
          <w:rFonts w:ascii="MS PGothic" w:cs="MS PGothic" w:eastAsia="MS PGothic" w:hAnsi="MS PGothic"/>
          <w:sz w:val="36"/>
          <w:szCs w:val="36"/>
          <w:color w:val="auto"/>
          <w:vertAlign w:val="subscript"/>
        </w:rPr>
      </w:pPr>
    </w:p>
    <w:p>
      <w:pPr>
        <w:ind w:left="1420" w:hanging="64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r>
        <w:rPr>
          <w:rFonts w:ascii="Times New Roman" w:cs="Times New Roman" w:eastAsia="Times New Roman" w:hAnsi="Times New Roman"/>
          <w:sz w:val="23"/>
          <w:szCs w:val="23"/>
          <w:color w:val="auto"/>
          <w:vertAlign w:val="superscript"/>
        </w:rPr>
        <w:t>a</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Bakkt, Inc. (the “Company”) was unable to file its Annual Report on Form 10-K for the fiscal year ended December 31, 2025 (the “Form 10-K”) within the prescribed time period without unreasonable effort or expense. The Company’s delay is due to additional time needed for the Company to finalize its consolidated financial statements and its independent registered public accounting firm to complete its first-year independent audit of the Company’s consolidated financial statements and internal control over financial reporting as of and for the fiscal year ended December 31, 2025.</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97" w:lineRule="exact"/>
        <w:rPr>
          <w:sz w:val="20"/>
          <w:szCs w:val="20"/>
          <w:color w:val="auto"/>
        </w:rPr>
      </w:pPr>
    </w:p>
    <w:p>
      <w:pPr>
        <w:ind w:right="40" w:firstLine="648"/>
        <w:spacing w:after="0" w:line="297" w:lineRule="auto"/>
        <w:rPr>
          <w:sz w:val="20"/>
          <w:szCs w:val="20"/>
          <w:color w:val="auto"/>
        </w:rPr>
      </w:pPr>
      <w:r>
        <w:rPr>
          <w:rFonts w:ascii="Times New Roman" w:cs="Times New Roman" w:eastAsia="Times New Roman" w:hAnsi="Times New Roman"/>
          <w:sz w:val="18"/>
          <w:szCs w:val="18"/>
          <w:color w:val="auto"/>
        </w:rPr>
        <w:t>This Form 12b-25 includes “forward-looking statements” within the meaning of Section 27A of the Securities Act of 1933, as amended, and Section 21E of the Securities Exchange Act of 1934, as amended that involve risks and uncertainties, including statements regarding the Company’s expected date of filing the Form 10-K. Forward looking statements are based on current expectations, but are subject to risks and uncertainties that could cause actual results to differ materially from those indicated, including but not limited to risks and uncertainties related to the completion of matters necessary to permit the filing of the Form 10-K. There can be no assurance that these forward-looking statements will be achieved, and actual results could differ materially from those suggested by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062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148" w:lineRule="exact"/>
        <w:rPr>
          <w:sz w:val="20"/>
          <w:szCs w:val="20"/>
          <w:color w:val="auto"/>
        </w:rPr>
      </w:pPr>
    </w:p>
    <w:p>
      <w:pPr>
        <w:ind w:left="480" w:hanging="394"/>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Karen Alexander</w:t>
            </w: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678</w:t>
            </w:r>
          </w:p>
        </w:tc>
        <w:tc>
          <w:tcPr>
            <w:tcW w:w="240" w:type="dxa"/>
            <w:vAlign w:val="bottom"/>
          </w:tcPr>
          <w:p>
            <w:pPr>
              <w:spacing w:after="0"/>
              <w:rPr>
                <w:sz w:val="20"/>
                <w:szCs w:val="20"/>
                <w:color w:val="auto"/>
              </w:rPr>
            </w:pPr>
          </w:p>
        </w:tc>
        <w:tc>
          <w:tcPr>
            <w:tcW w:w="370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534-5849</w:t>
            </w:r>
          </w:p>
        </w:tc>
      </w:tr>
      <w:tr>
        <w:trPr>
          <w:trHeight w:val="68"/>
        </w:trPr>
        <w:tc>
          <w:tcPr>
            <w:tcW w:w="47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r>
      <w:tr>
        <w:trPr>
          <w:trHeight w:val="290"/>
        </w:trPr>
        <w:tc>
          <w:tcPr>
            <w:tcW w:w="5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(Name)</w:t>
            </w: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(Area Code)</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(Telephone Number)</w:t>
            </w:r>
          </w:p>
        </w:tc>
      </w:tr>
    </w:tbl>
    <w:p>
      <w:pPr>
        <w:spacing w:after="0" w:line="387" w:lineRule="exact"/>
        <w:rPr>
          <w:sz w:val="20"/>
          <w:szCs w:val="20"/>
          <w:color w:val="auto"/>
        </w:rPr>
      </w:pPr>
    </w:p>
    <w:p>
      <w:pPr>
        <w:ind w:left="480" w:right="80" w:hanging="394"/>
        <w:spacing w:after="0" w:line="254" w:lineRule="exact"/>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rFonts w:ascii="Times New Roman" w:cs="Times New Roman" w:eastAsia="Times New Roman" w:hAnsi="Times New Roman"/>
          <w:sz w:val="18"/>
          <w:szCs w:val="18"/>
          <w:color w:val="auto"/>
        </w:rPr>
      </w:pPr>
    </w:p>
    <w:p>
      <w:pPr>
        <w:ind w:left="480" w:right="420" w:hanging="394"/>
        <w:spacing w:after="0" w:line="259" w:lineRule="exact"/>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25" w:lineRule="exact"/>
        <w:rPr>
          <w:rFonts w:ascii="Times New Roman" w:cs="Times New Roman" w:eastAsia="Times New Roman" w:hAnsi="Times New Roman"/>
          <w:sz w:val="18"/>
          <w:szCs w:val="18"/>
          <w:color w:val="auto"/>
        </w:rPr>
      </w:pPr>
    </w:p>
    <w:p>
      <w:pPr>
        <w:ind w:left="480" w:right="42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FFFFFF"/>
        </w:rPr>
        <w:t>a</w:t>
      </w:r>
    </w:p>
    <w:p>
      <w:pPr>
        <w:sectPr>
          <w:pgSz w:w="11900" w:h="16838" w:orient="portrait"/>
          <w:cols w:equalWidth="0" w:num="1">
            <w:col w:w="11220"/>
          </w:cols>
          <w:pgMar w:left="320" w:top="1215" w:right="3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Bakkt, Inc.</w:t>
      </w:r>
    </w:p>
    <w:p>
      <w:pPr>
        <w:spacing w:after="0" w:line="29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Charter)</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387" w:lineRule="exact"/>
        <w:rPr>
          <w:sz w:val="20"/>
          <w:szCs w:val="20"/>
          <w:color w:val="auto"/>
        </w:rPr>
      </w:pPr>
    </w:p>
    <w:p>
      <w:pPr>
        <w:ind w:left="380"/>
        <w:spacing w:after="0"/>
        <w:tabs>
          <w:tab w:leader="none" w:pos="6300" w:val="left"/>
          <w:tab w:leader="none" w:pos="6740" w:val="left"/>
        </w:tabs>
        <w:rPr>
          <w:sz w:val="20"/>
          <w:szCs w:val="20"/>
          <w:color w:val="auto"/>
        </w:rPr>
      </w:pPr>
      <w:r>
        <w:rPr>
          <w:rFonts w:ascii="Times New Roman" w:cs="Times New Roman" w:eastAsia="Times New Roman" w:hAnsi="Times New Roman"/>
          <w:sz w:val="18"/>
          <w:szCs w:val="18"/>
          <w:color w:val="auto"/>
        </w:rPr>
        <w:t>Date March 17, 2026</w:t>
      </w:r>
      <w:r>
        <w:rPr>
          <w:sz w:val="20"/>
          <w:szCs w:val="20"/>
          <w:color w:val="auto"/>
        </w:rPr>
        <w:tab/>
      </w:r>
      <w:r>
        <w:rPr>
          <w:rFonts w:ascii="Times New Roman" w:cs="Times New Roman" w:eastAsia="Times New Roman" w:hAnsi="Times New Roman"/>
          <w:sz w:val="18"/>
          <w:szCs w:val="18"/>
          <w:color w:val="auto"/>
        </w:rPr>
        <w:t>By</w:t>
        <w:tab/>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68580</wp:posOffset>
            </wp:positionV>
            <wp:extent cx="28289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5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153670</wp:posOffset>
            </wp:positionV>
            <wp:extent cx="7106285" cy="626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626110"/>
                    </a:xfrm>
                    <a:prstGeom prst="rect">
                      <a:avLst/>
                    </a:prstGeom>
                    <a:noFill/>
                  </pic:spPr>
                </pic:pic>
              </a:graphicData>
            </a:graphic>
          </wp:anchor>
        </w:drawing>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ATTENTION</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Intentional misstatements or omissions of fact constitute Federal Criminal Violations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(See 18 U.S.C. 1001).</w:t>
      </w:r>
    </w:p>
    <w:sectPr>
      <w:pgSz w:w="11900" w:h="16838" w:orient="portrait"/>
      <w:cols w:equalWidth="0" w:num="1">
        <w:col w:w="11200"/>
      </w:cols>
      <w:pgMar w:left="320" w:top="11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2026-03-17T07:57:24Z</dcterms:created>
  <dcterms:modified xsi:type="dcterms:W3CDTF">2026-03-17T07:57:24Z</dcterms:modified>
</cp:coreProperties>
</file>