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16, 2020.</w:t>
      </w:r>
    </w:p>
    <w:p>
      <w:pPr>
        <w:spacing w:after="0" w:line="21" w:lineRule="exact"/>
        <w:rPr>
          <w:sz w:val="24"/>
          <w:szCs w:val="24"/>
          <w:color w:val="auto"/>
        </w:rPr>
      </w:pPr>
    </w:p>
    <w:p>
      <w:pPr>
        <w:ind w:left="9320"/>
        <w:spacing w:after="0"/>
        <w:rPr>
          <w:sz w:val="20"/>
          <w:szCs w:val="20"/>
          <w:color w:val="auto"/>
        </w:rPr>
      </w:pPr>
      <w:r>
        <w:rPr>
          <w:rFonts w:ascii="Arial" w:cs="Arial" w:eastAsia="Arial" w:hAnsi="Arial"/>
          <w:sz w:val="14"/>
          <w:szCs w:val="14"/>
          <w:b w:val="1"/>
          <w:bCs w:val="1"/>
          <w:color w:val="auto"/>
        </w:rPr>
        <w:t>Registration No. 333-248619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AMENDMENT NO. 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TO</w:t>
      </w:r>
    </w:p>
    <w:p>
      <w:pPr>
        <w:jc w:val="center"/>
        <w:spacing w:after="0"/>
        <w:rPr>
          <w:sz w:val="20"/>
          <w:szCs w:val="20"/>
          <w:color w:val="auto"/>
        </w:rPr>
      </w:pPr>
      <w:r>
        <w:rPr>
          <w:rFonts w:ascii="Arial" w:cs="Arial" w:eastAsia="Arial" w:hAnsi="Arial"/>
          <w:sz w:val="13"/>
          <w:szCs w:val="13"/>
          <w:b w:val="1"/>
          <w:bCs w:val="1"/>
          <w:color w:val="auto"/>
        </w:rPr>
        <w:t>FORM S-1</w:t>
      </w:r>
    </w:p>
    <w:p>
      <w:pPr>
        <w:jc w:val="center"/>
        <w:spacing w:after="0"/>
        <w:rPr>
          <w:sz w:val="20"/>
          <w:szCs w:val="20"/>
          <w:color w:val="auto"/>
        </w:rPr>
      </w:pPr>
      <w:r>
        <w:rPr>
          <w:rFonts w:ascii="Arial" w:cs="Arial" w:eastAsia="Arial" w:hAnsi="Arial"/>
          <w:sz w:val="13"/>
          <w:szCs w:val="13"/>
          <w:b w:val="1"/>
          <w:bCs w:val="1"/>
          <w:color w:val="auto"/>
        </w:rPr>
        <w:t>REGISTRATION STATEMENT 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VPC Impact Acquisition Holdings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305" w:lineRule="exact"/>
        <w:rPr>
          <w:sz w:val="24"/>
          <w:szCs w:val="24"/>
          <w:color w:val="auto"/>
        </w:rPr>
      </w:pPr>
    </w:p>
    <w:p>
      <w:pPr>
        <w:ind w:left="1460"/>
        <w:spacing w:after="0"/>
        <w:rPr>
          <w:sz w:val="20"/>
          <w:szCs w:val="20"/>
          <w:color w:val="auto"/>
        </w:rPr>
      </w:pPr>
      <w:r>
        <w:rPr>
          <w:rFonts w:ascii="Arial" w:cs="Arial" w:eastAsia="Arial" w:hAnsi="Arial"/>
          <w:sz w:val="13"/>
          <w:szCs w:val="13"/>
          <w:b w:val="1"/>
          <w:bCs w:val="1"/>
          <w:color w:val="auto"/>
        </w:rPr>
        <w:t>Cayman Islands</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13"/>
          <w:szCs w:val="13"/>
          <w:b w:val="1"/>
          <w:bCs w:val="1"/>
          <w:color w:val="auto"/>
        </w:rPr>
        <w:t>(State or other jurisdiction of</w:t>
      </w:r>
    </w:p>
    <w:p>
      <w:pPr>
        <w:ind w:left="10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6770</w:t>
      </w:r>
    </w:p>
    <w:p>
      <w:pPr>
        <w:spacing w:after="0" w:line="16" w:lineRule="exact"/>
        <w:rPr>
          <w:sz w:val="24"/>
          <w:szCs w:val="24"/>
          <w:color w:val="auto"/>
        </w:rPr>
      </w:pPr>
    </w:p>
    <w:p>
      <w:pPr>
        <w:jc w:val="center"/>
        <w:ind w:right="1280"/>
        <w:spacing w:after="0"/>
        <w:rPr>
          <w:sz w:val="20"/>
          <w:szCs w:val="20"/>
          <w:color w:val="auto"/>
        </w:rPr>
      </w:pPr>
      <w:r>
        <w:rPr>
          <w:rFonts w:ascii="Arial" w:cs="Arial" w:eastAsia="Arial" w:hAnsi="Arial"/>
          <w:sz w:val="13"/>
          <w:szCs w:val="13"/>
          <w:b w:val="1"/>
          <w:bCs w:val="1"/>
          <w:color w:val="auto"/>
        </w:rPr>
        <w:t>(Primary Standard Industrial</w:t>
      </w:r>
    </w:p>
    <w:p>
      <w:pPr>
        <w:jc w:val="center"/>
        <w:ind w:right="128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98-1550750</w:t>
      </w:r>
    </w:p>
    <w:p>
      <w:pPr>
        <w:spacing w:after="0" w:line="16" w:lineRule="exact"/>
        <w:rPr>
          <w:sz w:val="24"/>
          <w:szCs w:val="24"/>
          <w:color w:val="auto"/>
        </w:rPr>
      </w:pPr>
    </w:p>
    <w:p>
      <w:pPr>
        <w:jc w:val="center"/>
        <w:ind w:right="1020"/>
        <w:spacing w:after="0"/>
        <w:rPr>
          <w:sz w:val="20"/>
          <w:szCs w:val="20"/>
          <w:color w:val="auto"/>
        </w:rPr>
      </w:pPr>
      <w:r>
        <w:rPr>
          <w:rFonts w:ascii="Arial" w:cs="Arial" w:eastAsia="Arial" w:hAnsi="Arial"/>
          <w:sz w:val="13"/>
          <w:szCs w:val="13"/>
          <w:b w:val="1"/>
          <w:bCs w:val="1"/>
          <w:color w:val="auto"/>
        </w:rPr>
        <w:t>(I.R.S. Employer</w:t>
      </w:r>
    </w:p>
    <w:p>
      <w:pPr>
        <w:jc w:val="center"/>
        <w:ind w:right="1020"/>
        <w:spacing w:after="0"/>
        <w:rPr>
          <w:sz w:val="20"/>
          <w:szCs w:val="20"/>
          <w:color w:val="auto"/>
        </w:rPr>
      </w:pPr>
      <w:r>
        <w:rPr>
          <w:rFonts w:ascii="Arial" w:cs="Arial" w:eastAsia="Arial" w:hAnsi="Arial"/>
          <w:sz w:val="13"/>
          <w:szCs w:val="13"/>
          <w:b w:val="1"/>
          <w:bCs w:val="1"/>
          <w:color w:val="auto"/>
        </w:rPr>
        <w:t>Identification Number)</w:t>
      </w:r>
    </w:p>
    <w:p>
      <w:pPr>
        <w:spacing w:after="0" w:line="49" w:lineRule="exact"/>
        <w:rPr>
          <w:sz w:val="24"/>
          <w:szCs w:val="24"/>
          <w:color w:val="auto"/>
        </w:rPr>
      </w:pPr>
    </w:p>
    <w:p>
      <w:pPr>
        <w:sectPr>
          <w:pgSz w:w="11900" w:h="16838" w:orient="portrait"/>
          <w:cols w:equalWidth="0" w:num="3">
            <w:col w:w="4220" w:space="720"/>
            <w:col w:w="3120" w:space="720"/>
            <w:col w:w="2460"/>
          </w:cols>
          <w:pgMar w:left="320" w:top="226" w:right="339" w:bottom="1440" w:gutter="0" w:footer="0" w:header="0"/>
          <w:type w:val="continuous"/>
        </w:sectPr>
      </w:pPr>
    </w:p>
    <w:p>
      <w:pPr>
        <w:ind w:left="4520"/>
        <w:spacing w:after="0"/>
        <w:rPr>
          <w:sz w:val="20"/>
          <w:szCs w:val="20"/>
          <w:color w:val="auto"/>
        </w:rPr>
      </w:pPr>
      <w:r>
        <w:rPr>
          <w:rFonts w:ascii="Arial" w:cs="Arial" w:eastAsia="Arial" w:hAnsi="Arial"/>
          <w:sz w:val="13"/>
          <w:szCs w:val="13"/>
          <w:b w:val="1"/>
          <w:bCs w:val="1"/>
          <w:color w:val="auto"/>
        </w:rPr>
        <w:t>Victory Park Capital Advisors, LLC</w:t>
      </w:r>
    </w:p>
    <w:p>
      <w:pPr>
        <w:spacing w:after="0" w:line="16"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150 North Riverside Plaza, Suite 5200</w:t>
      </w:r>
    </w:p>
    <w:p>
      <w:pPr>
        <w:ind w:left="5060"/>
        <w:spacing w:after="0"/>
        <w:rPr>
          <w:sz w:val="20"/>
          <w:szCs w:val="20"/>
          <w:color w:val="auto"/>
        </w:rPr>
      </w:pPr>
      <w:r>
        <w:rPr>
          <w:rFonts w:ascii="Arial" w:cs="Arial" w:eastAsia="Arial" w:hAnsi="Arial"/>
          <w:sz w:val="13"/>
          <w:szCs w:val="13"/>
          <w:b w:val="1"/>
          <w:bCs w:val="1"/>
          <w:color w:val="auto"/>
        </w:rPr>
        <w:t>Chicago, IL 60606</w:t>
      </w:r>
    </w:p>
    <w:p>
      <w:pPr>
        <w:ind w:left="5200"/>
        <w:spacing w:after="0"/>
        <w:rPr>
          <w:sz w:val="20"/>
          <w:szCs w:val="20"/>
          <w:color w:val="auto"/>
        </w:rPr>
      </w:pPr>
      <w:r>
        <w:rPr>
          <w:rFonts w:ascii="Arial" w:cs="Arial" w:eastAsia="Arial" w:hAnsi="Arial"/>
          <w:sz w:val="13"/>
          <w:szCs w:val="13"/>
          <w:b w:val="1"/>
          <w:bCs w:val="1"/>
          <w:color w:val="auto"/>
        </w:rPr>
        <w:t>312-701-1777</w:t>
      </w:r>
    </w:p>
    <w:p>
      <w:pPr>
        <w:sectPr>
          <w:pgSz w:w="11900" w:h="16838" w:orient="portrait"/>
          <w:cols w:equalWidth="0" w:num="1">
            <w:col w:w="11240"/>
          </w:cols>
          <w:pgMar w:left="320" w:top="2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110490</wp:posOffset>
            </wp:positionV>
            <wp:extent cx="2280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Scott R. Zemnick</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Victory Park Capital Advisors, LLC</w:t>
      </w:r>
    </w:p>
    <w:p>
      <w:pPr>
        <w:jc w:val="center"/>
        <w:spacing w:after="0"/>
        <w:rPr>
          <w:sz w:val="20"/>
          <w:szCs w:val="20"/>
          <w:color w:val="auto"/>
        </w:rPr>
      </w:pPr>
      <w:r>
        <w:rPr>
          <w:rFonts w:ascii="Arial" w:cs="Arial" w:eastAsia="Arial" w:hAnsi="Arial"/>
          <w:sz w:val="13"/>
          <w:szCs w:val="13"/>
          <w:b w:val="1"/>
          <w:bCs w:val="1"/>
          <w:color w:val="auto"/>
        </w:rPr>
        <w:t>150 North Riverside Plaza, Suite 5200</w:t>
      </w:r>
    </w:p>
    <w:p>
      <w:pPr>
        <w:jc w:val="center"/>
        <w:spacing w:after="0"/>
        <w:rPr>
          <w:sz w:val="20"/>
          <w:szCs w:val="20"/>
          <w:color w:val="auto"/>
        </w:rPr>
      </w:pPr>
      <w:r>
        <w:rPr>
          <w:rFonts w:ascii="Arial" w:cs="Arial" w:eastAsia="Arial" w:hAnsi="Arial"/>
          <w:sz w:val="13"/>
          <w:szCs w:val="13"/>
          <w:b w:val="1"/>
          <w:bCs w:val="1"/>
          <w:color w:val="auto"/>
        </w:rPr>
        <w:t>Chicago, IL 60606</w:t>
      </w:r>
    </w:p>
    <w:p>
      <w:pPr>
        <w:jc w:val="center"/>
        <w:spacing w:after="0"/>
        <w:rPr>
          <w:sz w:val="20"/>
          <w:szCs w:val="20"/>
          <w:color w:val="auto"/>
        </w:rPr>
      </w:pPr>
      <w:r>
        <w:rPr>
          <w:rFonts w:ascii="Arial" w:cs="Arial" w:eastAsia="Arial" w:hAnsi="Arial"/>
          <w:sz w:val="13"/>
          <w:szCs w:val="13"/>
          <w:b w:val="1"/>
          <w:bCs w:val="1"/>
          <w:color w:val="auto"/>
        </w:rPr>
        <w:t>312-705-2786</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120015</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30" w:lineRule="exact"/>
        <w:rPr>
          <w:sz w:val="24"/>
          <w:szCs w:val="24"/>
          <w:color w:val="auto"/>
        </w:rPr>
      </w:pPr>
    </w:p>
    <w:tbl>
      <w:tblPr>
        <w:tblLayout w:type="fixed"/>
        <w:tblInd w:w="104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3780" w:type="dxa"/>
            <w:vAlign w:val="bottom"/>
          </w:tcPr>
          <w:p>
            <w:pPr>
              <w:ind w:left="1480"/>
              <w:spacing w:after="0"/>
              <w:rPr>
                <w:sz w:val="20"/>
                <w:szCs w:val="20"/>
                <w:color w:val="auto"/>
              </w:rPr>
            </w:pPr>
            <w:r>
              <w:rPr>
                <w:rFonts w:ascii="Arial" w:cs="Arial" w:eastAsia="Arial" w:hAnsi="Arial"/>
                <w:sz w:val="13"/>
                <w:szCs w:val="13"/>
                <w:b w:val="1"/>
                <w:bCs w:val="1"/>
                <w:i w:val="1"/>
                <w:iCs w:val="1"/>
                <w:color w:val="auto"/>
              </w:rPr>
              <w:t>Copies to:</w:t>
            </w:r>
          </w:p>
        </w:tc>
        <w:tc>
          <w:tcPr>
            <w:tcW w:w="2620" w:type="dxa"/>
            <w:vAlign w:val="bottom"/>
          </w:tcPr>
          <w:p>
            <w:pPr>
              <w:spacing w:after="0"/>
              <w:rPr>
                <w:sz w:val="15"/>
                <w:szCs w:val="15"/>
                <w:color w:val="auto"/>
              </w:rPr>
            </w:pPr>
          </w:p>
        </w:tc>
      </w:tr>
      <w:tr>
        <w:trPr>
          <w:trHeight w:val="214"/>
        </w:trPr>
        <w:tc>
          <w:tcPr>
            <w:tcW w:w="2800" w:type="dxa"/>
            <w:vAlign w:val="bottom"/>
          </w:tcPr>
          <w:p>
            <w:pPr>
              <w:jc w:val="center"/>
              <w:ind w:right="997"/>
              <w:spacing w:after="0"/>
              <w:rPr>
                <w:sz w:val="20"/>
                <w:szCs w:val="20"/>
                <w:color w:val="auto"/>
              </w:rPr>
            </w:pPr>
            <w:r>
              <w:rPr>
                <w:rFonts w:ascii="Arial" w:cs="Arial" w:eastAsia="Arial" w:hAnsi="Arial"/>
                <w:sz w:val="13"/>
                <w:szCs w:val="13"/>
                <w:b w:val="1"/>
                <w:bCs w:val="1"/>
                <w:color w:val="auto"/>
                <w:w w:val="98"/>
              </w:rPr>
              <w:t>Joel L. Rubinstein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Matthew Gardner</w:t>
            </w:r>
          </w:p>
        </w:tc>
        <w:tc>
          <w:tcPr>
            <w:tcW w:w="2620" w:type="dxa"/>
            <w:vAlign w:val="bottom"/>
          </w:tcPr>
          <w:p>
            <w:pPr>
              <w:jc w:val="center"/>
              <w:ind w:left="977"/>
              <w:spacing w:after="0"/>
              <w:rPr>
                <w:sz w:val="20"/>
                <w:szCs w:val="20"/>
                <w:color w:val="auto"/>
              </w:rPr>
            </w:pPr>
            <w:r>
              <w:rPr>
                <w:rFonts w:ascii="Arial" w:cs="Arial" w:eastAsia="Arial" w:hAnsi="Arial"/>
                <w:sz w:val="13"/>
                <w:szCs w:val="13"/>
                <w:b w:val="1"/>
                <w:bCs w:val="1"/>
                <w:color w:val="auto"/>
                <w:w w:val="97"/>
              </w:rPr>
              <w:t>Christian Nagler</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Elliott M. Smith</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Michael Johns</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Peter Seligson</w:t>
            </w:r>
          </w:p>
        </w:tc>
      </w:tr>
      <w:tr>
        <w:trPr>
          <w:trHeight w:val="135"/>
        </w:trPr>
        <w:tc>
          <w:tcPr>
            <w:tcW w:w="2800" w:type="dxa"/>
            <w:vAlign w:val="bottom"/>
          </w:tcPr>
          <w:p>
            <w:pPr>
              <w:jc w:val="center"/>
              <w:ind w:right="977"/>
              <w:spacing w:after="0" w:line="135" w:lineRule="exact"/>
              <w:rPr>
                <w:sz w:val="20"/>
                <w:szCs w:val="20"/>
                <w:color w:val="auto"/>
              </w:rPr>
            </w:pPr>
            <w:r>
              <w:rPr>
                <w:rFonts w:ascii="Arial" w:cs="Arial" w:eastAsia="Arial" w:hAnsi="Arial"/>
                <w:sz w:val="13"/>
                <w:szCs w:val="13"/>
                <w:b w:val="1"/>
                <w:bCs w:val="1"/>
                <w:color w:val="auto"/>
                <w:w w:val="97"/>
              </w:rPr>
              <w:t>White &amp; Case LLP</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Maples and Calder</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7"/>
              </w:rPr>
              <w:t>Kirkland &amp; Ellis LLP</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6"/>
              </w:rPr>
              <w:t>1221 Avenue of the Americas</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P.O. Box 309, Ugland House</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601 Lexington Ave</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New York, New York 10020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Grand Cayman</w:t>
            </w:r>
          </w:p>
        </w:tc>
        <w:tc>
          <w:tcPr>
            <w:tcW w:w="2620" w:type="dxa"/>
            <w:vAlign w:val="bottom"/>
          </w:tcPr>
          <w:p>
            <w:pPr>
              <w:jc w:val="center"/>
              <w:ind w:left="977"/>
              <w:spacing w:after="0" w:line="135" w:lineRule="exact"/>
              <w:rPr>
                <w:sz w:val="20"/>
                <w:szCs w:val="20"/>
                <w:color w:val="auto"/>
              </w:rPr>
            </w:pPr>
            <w:r>
              <w:rPr>
                <w:rFonts w:ascii="Arial" w:cs="Arial" w:eastAsia="Arial" w:hAnsi="Arial"/>
                <w:sz w:val="13"/>
                <w:szCs w:val="13"/>
                <w:b w:val="1"/>
                <w:bCs w:val="1"/>
                <w:color w:val="auto"/>
                <w:w w:val="95"/>
              </w:rPr>
              <w:t>New York, New York 10022</w:t>
            </w:r>
          </w:p>
        </w:tc>
      </w:tr>
      <w:tr>
        <w:trPr>
          <w:trHeight w:val="135"/>
        </w:trPr>
        <w:tc>
          <w:tcPr>
            <w:tcW w:w="2800" w:type="dxa"/>
            <w:vAlign w:val="bottom"/>
          </w:tcPr>
          <w:p>
            <w:pPr>
              <w:jc w:val="center"/>
              <w:ind w:right="997"/>
              <w:spacing w:after="0" w:line="135" w:lineRule="exact"/>
              <w:rPr>
                <w:sz w:val="20"/>
                <w:szCs w:val="20"/>
                <w:color w:val="auto"/>
              </w:rPr>
            </w:pPr>
            <w:r>
              <w:rPr>
                <w:rFonts w:ascii="Arial" w:cs="Arial" w:eastAsia="Arial" w:hAnsi="Arial"/>
                <w:sz w:val="13"/>
                <w:szCs w:val="13"/>
                <w:b w:val="1"/>
                <w:bCs w:val="1"/>
                <w:color w:val="auto"/>
                <w:w w:val="95"/>
              </w:rPr>
              <w:t>Tel: (212) 819-8200</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KY1-1104</w:t>
            </w:r>
          </w:p>
        </w:tc>
        <w:tc>
          <w:tcPr>
            <w:tcW w:w="262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6"/>
              </w:rPr>
              <w:t>Tel: (212) 370-1300</w:t>
            </w:r>
          </w:p>
        </w:tc>
      </w:tr>
      <w:tr>
        <w:trPr>
          <w:trHeight w:val="135"/>
        </w:trPr>
        <w:tc>
          <w:tcPr>
            <w:tcW w:w="2800" w:type="dxa"/>
            <w:vAlign w:val="bottom"/>
          </w:tcPr>
          <w:p>
            <w:pPr>
              <w:spacing w:after="0"/>
              <w:rPr>
                <w:sz w:val="11"/>
                <w:szCs w:val="11"/>
                <w:color w:val="auto"/>
              </w:rPr>
            </w:pP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Cayman Islands</w:t>
            </w:r>
          </w:p>
        </w:tc>
        <w:tc>
          <w:tcPr>
            <w:tcW w:w="2620" w:type="dxa"/>
            <w:vAlign w:val="bottom"/>
          </w:tcPr>
          <w:p>
            <w:pPr>
              <w:spacing w:after="0"/>
              <w:rPr>
                <w:sz w:val="11"/>
                <w:szCs w:val="11"/>
                <w:color w:val="auto"/>
              </w:rPr>
            </w:pPr>
          </w:p>
        </w:tc>
      </w:tr>
      <w:tr>
        <w:trPr>
          <w:trHeight w:val="178"/>
        </w:trPr>
        <w:tc>
          <w:tcPr>
            <w:tcW w:w="280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5"/>
              </w:rPr>
              <w:t>Tel: (345) 949-8066</w:t>
            </w:r>
          </w:p>
        </w:tc>
        <w:tc>
          <w:tcPr>
            <w:tcW w:w="26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107950</wp:posOffset>
            </wp:positionV>
            <wp:extent cx="228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0"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14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4" w:lineRule="exact"/>
        <w:rPr>
          <w:sz w:val="24"/>
          <w:szCs w:val="24"/>
          <w:color w:val="auto"/>
        </w:rPr>
      </w:pPr>
    </w:p>
    <w:p>
      <w:pPr>
        <w:ind w:right="120"/>
        <w:spacing w:after="0" w:line="16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1" w:lineRule="exact"/>
        <w:rPr>
          <w:sz w:val="24"/>
          <w:szCs w:val="24"/>
          <w:color w:val="auto"/>
        </w:rPr>
      </w:pPr>
    </w:p>
    <w:p>
      <w:pPr>
        <w:ind w:right="6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3"/>
          <w:szCs w:val="13"/>
          <w:i w:val="1"/>
          <w:iCs w:val="1"/>
          <w:color w:val="auto"/>
        </w:rPr>
        <w:t>large accelerated filer</w:t>
      </w:r>
      <w:r>
        <w:rPr>
          <w:rFonts w:ascii="Arial" w:cs="Arial" w:eastAsia="Arial" w:hAnsi="Arial"/>
          <w:sz w:val="13"/>
          <w:szCs w:val="13"/>
          <w:color w:val="auto"/>
        </w:rPr>
        <w:t>,” “</w:t>
      </w:r>
      <w:r>
        <w:rPr>
          <w:rFonts w:ascii="Arial" w:cs="Arial" w:eastAsia="Arial" w:hAnsi="Arial"/>
          <w:sz w:val="13"/>
          <w:szCs w:val="13"/>
          <w:i w:val="1"/>
          <w:iCs w:val="1"/>
          <w:color w:val="auto"/>
        </w:rPr>
        <w:t>accelerated filer</w:t>
      </w:r>
      <w:r>
        <w:rPr>
          <w:rFonts w:ascii="Arial" w:cs="Arial" w:eastAsia="Arial" w:hAnsi="Arial"/>
          <w:sz w:val="13"/>
          <w:szCs w:val="13"/>
          <w:color w:val="auto"/>
        </w:rPr>
        <w:t>,” “</w:t>
      </w:r>
      <w:r>
        <w:rPr>
          <w:rFonts w:ascii="Arial" w:cs="Arial" w:eastAsia="Arial" w:hAnsi="Arial"/>
          <w:sz w:val="13"/>
          <w:szCs w:val="13"/>
          <w:i w:val="1"/>
          <w:iCs w:val="1"/>
          <w:color w:val="auto"/>
        </w:rPr>
        <w:t>smaller reporting company</w:t>
      </w:r>
      <w:r>
        <w:rPr>
          <w:rFonts w:ascii="Arial" w:cs="Arial" w:eastAsia="Arial" w:hAnsi="Arial"/>
          <w:sz w:val="13"/>
          <w:szCs w:val="13"/>
          <w:color w:val="auto"/>
        </w:rPr>
        <w:t>” and “</w:t>
      </w:r>
      <w:r>
        <w:rPr>
          <w:rFonts w:ascii="Arial" w:cs="Arial" w:eastAsia="Arial" w:hAnsi="Arial"/>
          <w:sz w:val="13"/>
          <w:szCs w:val="13"/>
          <w:i w:val="1"/>
          <w:iCs w:val="1"/>
          <w:color w:val="auto"/>
        </w:rPr>
        <w:t>emerging growth company</w:t>
      </w:r>
      <w:r>
        <w:rPr>
          <w:rFonts w:ascii="Arial" w:cs="Arial" w:eastAsia="Arial" w:hAnsi="Arial"/>
          <w:sz w:val="13"/>
          <w:szCs w:val="13"/>
          <w:color w:val="auto"/>
        </w:rPr>
        <w:t>”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0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340" w:type="dxa"/>
            <w:vAlign w:val="bottom"/>
          </w:tcPr>
          <w:p>
            <w:pPr>
              <w:ind w:left="364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340" w:type="dxa"/>
            <w:vAlign w:val="bottom"/>
          </w:tcPr>
          <w:p>
            <w:pPr>
              <w:ind w:left="364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 w:lineRule="exact"/>
        <w:rPr>
          <w:sz w:val="24"/>
          <w:szCs w:val="24"/>
          <w:color w:val="auto"/>
        </w:rPr>
      </w:pPr>
    </w:p>
    <w:p>
      <w:pPr>
        <w:ind w:right="44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0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40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left="14"/>
              <w:spacing w:after="0" w:line="127" w:lineRule="exact"/>
              <w:rPr>
                <w:sz w:val="20"/>
                <w:szCs w:val="20"/>
                <w:color w:val="auto"/>
              </w:rPr>
            </w:pPr>
            <w:r>
              <w:rPr>
                <w:rFonts w:ascii="Arial" w:cs="Arial" w:eastAsia="Arial" w:hAnsi="Arial"/>
                <w:sz w:val="14"/>
                <w:szCs w:val="14"/>
                <w:b w:val="1"/>
                <w:bCs w:val="1"/>
                <w:color w:val="auto"/>
              </w:rPr>
              <w:t>Proposed Maximum</w:t>
            </w:r>
          </w:p>
        </w:tc>
        <w:tc>
          <w:tcPr>
            <w:tcW w:w="178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 Maximum</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jc w:val="center"/>
              <w:ind w:left="34"/>
              <w:spacing w:after="0" w:line="159" w:lineRule="exact"/>
              <w:rPr>
                <w:sz w:val="20"/>
                <w:szCs w:val="20"/>
                <w:color w:val="auto"/>
              </w:rPr>
            </w:pPr>
            <w:r>
              <w:rPr>
                <w:rFonts w:ascii="Arial" w:cs="Arial" w:eastAsia="Arial" w:hAnsi="Arial"/>
                <w:sz w:val="14"/>
                <w:szCs w:val="14"/>
                <w:b w:val="1"/>
                <w:bCs w:val="1"/>
                <w:color w:val="auto"/>
              </w:rPr>
              <w:t>Amount Being</w:t>
            </w:r>
          </w:p>
        </w:tc>
        <w:tc>
          <w:tcPr>
            <w:tcW w:w="1820" w:type="dxa"/>
            <w:vAlign w:val="bottom"/>
            <w:tcBorders>
              <w:right w:val="single" w:sz="8" w:color="auto"/>
            </w:tcBorders>
          </w:tcPr>
          <w:p>
            <w:pPr>
              <w:jc w:val="center"/>
              <w:ind w:left="14"/>
              <w:spacing w:after="0" w:line="159" w:lineRule="exact"/>
              <w:rPr>
                <w:sz w:val="20"/>
                <w:szCs w:val="20"/>
                <w:color w:val="auto"/>
              </w:rPr>
            </w:pPr>
            <w:r>
              <w:rPr>
                <w:rFonts w:ascii="Arial" w:cs="Arial" w:eastAsia="Arial" w:hAnsi="Arial"/>
                <w:sz w:val="14"/>
                <w:szCs w:val="14"/>
                <w:b w:val="1"/>
                <w:bCs w:val="1"/>
                <w:color w:val="auto"/>
              </w:rPr>
              <w:t>Offering Price</w:t>
            </w:r>
          </w:p>
        </w:tc>
        <w:tc>
          <w:tcPr>
            <w:tcW w:w="17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w:t>
            </w:r>
          </w:p>
        </w:tc>
        <w:tc>
          <w:tcPr>
            <w:tcW w:w="1760" w:type="dxa"/>
            <w:vAlign w:val="bottom"/>
          </w:tcPr>
          <w:p>
            <w:pPr>
              <w:jc w:val="center"/>
              <w:ind w:left="14"/>
              <w:spacing w:after="0" w:line="15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1"/>
        </w:trPr>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80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center"/>
              <w:ind w:left="14"/>
              <w:spacing w:after="0" w:line="181" w:lineRule="exact"/>
              <w:rPr>
                <w:sz w:val="20"/>
                <w:szCs w:val="20"/>
                <w:color w:val="auto"/>
              </w:rPr>
            </w:pPr>
            <w:r>
              <w:rPr>
                <w:rFonts w:ascii="Arial" w:cs="Arial" w:eastAsia="Arial" w:hAnsi="Arial"/>
                <w:sz w:val="12"/>
                <w:szCs w:val="12"/>
                <w:b w:val="1"/>
                <w:bCs w:val="1"/>
                <w:color w:val="auto"/>
              </w:rPr>
              <w:t>per Security</w:t>
            </w:r>
            <w:r>
              <w:rPr>
                <w:rFonts w:ascii="Arial" w:cs="Arial" w:eastAsia="Arial" w:hAnsi="Arial"/>
                <w:sz w:val="20"/>
                <w:szCs w:val="20"/>
                <w:b w:val="1"/>
                <w:bCs w:val="1"/>
                <w:color w:val="auto"/>
                <w:vertAlign w:val="superscript"/>
              </w:rPr>
              <w:t>(1)</w:t>
            </w:r>
          </w:p>
        </w:tc>
        <w:tc>
          <w:tcPr>
            <w:tcW w:w="1780" w:type="dxa"/>
            <w:vAlign w:val="bottom"/>
            <w:tcBorders>
              <w:bottom w:val="single" w:sz="8" w:color="auto"/>
              <w:right w:val="single" w:sz="8" w:color="auto"/>
            </w:tcBorders>
          </w:tcPr>
          <w:p>
            <w:pPr>
              <w:jc w:val="center"/>
              <w:ind w:left="15"/>
              <w:spacing w:after="0" w:line="181" w:lineRule="exact"/>
              <w:rPr>
                <w:sz w:val="20"/>
                <w:szCs w:val="20"/>
                <w:color w:val="auto"/>
              </w:rPr>
            </w:pPr>
            <w:r>
              <w:rPr>
                <w:rFonts w:ascii="Arial" w:cs="Arial" w:eastAsia="Arial" w:hAnsi="Arial"/>
                <w:sz w:val="12"/>
                <w:szCs w:val="12"/>
                <w:b w:val="1"/>
                <w:bCs w:val="1"/>
                <w:color w:val="auto"/>
              </w:rPr>
              <w:t>Offering Price</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07"/>
        </w:trPr>
        <w:tc>
          <w:tcPr>
            <w:tcW w:w="4080" w:type="dxa"/>
            <w:vAlign w:val="bottom"/>
            <w:tcBorders>
              <w:right w:val="single" w:sz="8" w:color="auto"/>
            </w:tcBorders>
          </w:tcPr>
          <w:p>
            <w:pPr>
              <w:spacing w:after="0" w:line="107" w:lineRule="exact"/>
              <w:rPr>
                <w:sz w:val="20"/>
                <w:szCs w:val="20"/>
                <w:color w:val="auto"/>
              </w:rPr>
            </w:pPr>
            <w:r>
              <w:rPr>
                <w:rFonts w:ascii="Arial" w:cs="Arial" w:eastAsia="Arial" w:hAnsi="Arial"/>
                <w:sz w:val="12"/>
                <w:szCs w:val="12"/>
                <w:color w:val="auto"/>
              </w:rPr>
              <w:t>Units, each consisting of one Class A ordinary share, $0.0001 par value,</w:t>
            </w:r>
          </w:p>
        </w:tc>
        <w:tc>
          <w:tcPr>
            <w:tcW w:w="180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7"/>
              </w:rPr>
              <w:t>23,000,000 Units</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3"/>
                <w:szCs w:val="13"/>
                <w:color w:val="auto"/>
                <w:w w:val="95"/>
              </w:rPr>
              <w:t>$10.00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$230,000,000</w:t>
            </w:r>
          </w:p>
        </w:tc>
        <w:tc>
          <w:tcPr>
            <w:tcW w:w="1760" w:type="dxa"/>
            <w:vAlign w:val="bottom"/>
            <w:vMerge w:val="restart"/>
          </w:tcPr>
          <w:p>
            <w:pPr>
              <w:jc w:val="center"/>
              <w:ind w:left="14"/>
              <w:spacing w:after="0"/>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157"/>
        </w:trPr>
        <w:tc>
          <w:tcPr>
            <w:tcW w:w="40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and one-half of one redeemable warrant</w:t>
            </w:r>
            <w:r>
              <w:rPr>
                <w:rFonts w:ascii="Arial" w:cs="Arial" w:eastAsia="Arial" w:hAnsi="Arial"/>
                <w:sz w:val="10"/>
                <w:szCs w:val="10"/>
                <w:color w:val="auto"/>
              </w:rPr>
              <w:t>(2)</w:t>
            </w:r>
          </w:p>
        </w:tc>
        <w:tc>
          <w:tcPr>
            <w:tcW w:w="1800" w:type="dxa"/>
            <w:vAlign w:val="bottom"/>
            <w:tcBorders>
              <w:bottom w:val="single" w:sz="8" w:color="auto"/>
              <w:right w:val="single" w:sz="8" w:color="auto"/>
            </w:tcBorders>
            <w:vMerge w:val="continue"/>
          </w:tcPr>
          <w:p>
            <w:pPr>
              <w:spacing w:after="0"/>
              <w:rPr>
                <w:sz w:val="13"/>
                <w:szCs w:val="13"/>
                <w:color w:val="auto"/>
              </w:rPr>
            </w:pPr>
          </w:p>
        </w:tc>
        <w:tc>
          <w:tcPr>
            <w:tcW w:w="1820" w:type="dxa"/>
            <w:vAlign w:val="bottom"/>
            <w:tcBorders>
              <w:bottom w:val="single" w:sz="8" w:color="auto"/>
              <w:right w:val="single" w:sz="8" w:color="auto"/>
            </w:tcBorders>
            <w:vMerge w:val="continue"/>
          </w:tcPr>
          <w:p>
            <w:pPr>
              <w:spacing w:after="0"/>
              <w:rPr>
                <w:sz w:val="13"/>
                <w:szCs w:val="13"/>
                <w:color w:val="auto"/>
              </w:rPr>
            </w:pPr>
          </w:p>
        </w:tc>
        <w:tc>
          <w:tcPr>
            <w:tcW w:w="1780" w:type="dxa"/>
            <w:vAlign w:val="bottom"/>
            <w:tcBorders>
              <w:bottom w:val="single" w:sz="8" w:color="auto"/>
              <w:right w:val="single" w:sz="8" w:color="auto"/>
            </w:tcBorders>
            <w:vMerge w:val="continue"/>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ordinary shares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w w:val="96"/>
              </w:rPr>
              <w:t>23,000,000 Shares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9"/>
        </w:trPr>
        <w:tc>
          <w:tcPr>
            <w:tcW w:w="408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Redeemable warrants included as part of the units</w:t>
            </w:r>
            <w:r>
              <w:rPr>
                <w:rFonts w:ascii="Arial" w:cs="Arial" w:eastAsia="Arial" w:hAnsi="Arial"/>
                <w:sz w:val="10"/>
                <w:szCs w:val="10"/>
                <w:color w:val="auto"/>
              </w:rPr>
              <w:t>(3)</w:t>
            </w:r>
          </w:p>
        </w:tc>
        <w:tc>
          <w:tcPr>
            <w:tcW w:w="180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w w:val="95"/>
              </w:rPr>
              <w:t>11,500,000 Warrants</w:t>
            </w:r>
          </w:p>
        </w:tc>
        <w:tc>
          <w:tcPr>
            <w:tcW w:w="1820" w:type="dxa"/>
            <w:vAlign w:val="bottom"/>
            <w:tcBorders>
              <w:bottom w:val="single" w:sz="8" w:color="auto"/>
              <w:right w:val="single" w:sz="8" w:color="auto"/>
            </w:tcBorders>
          </w:tcPr>
          <w:p>
            <w:pPr>
              <w:jc w:val="center"/>
              <w:ind w:left="14"/>
              <w:spacing w:after="0" w:line="129" w:lineRule="exact"/>
              <w:rPr>
                <w:sz w:val="20"/>
                <w:szCs w:val="20"/>
                <w:color w:val="auto"/>
              </w:rPr>
            </w:pPr>
            <w:r>
              <w:rPr>
                <w:rFonts w:ascii="Arial" w:cs="Arial" w:eastAsia="Arial" w:hAnsi="Arial"/>
                <w:sz w:val="13"/>
                <w:szCs w:val="13"/>
                <w:color w:val="auto"/>
              </w:rPr>
              <w:t>—</w:t>
            </w:r>
          </w:p>
        </w:tc>
        <w:tc>
          <w:tcPr>
            <w:tcW w:w="17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91"/>
              </w:rPr>
              <w:t>—</w:t>
            </w:r>
          </w:p>
        </w:tc>
        <w:tc>
          <w:tcPr>
            <w:tcW w:w="1760" w:type="dxa"/>
            <w:vAlign w:val="bottom"/>
            <w:tcBorders>
              <w:bottom w:val="single" w:sz="8" w:color="auto"/>
            </w:tcBorders>
          </w:tcPr>
          <w:p>
            <w:pPr>
              <w:jc w:val="center"/>
              <w:ind w:left="34"/>
              <w:spacing w:after="0" w:line="129"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Total</w:t>
            </w:r>
          </w:p>
        </w:tc>
        <w:tc>
          <w:tcPr>
            <w:tcW w:w="180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4"/>
              </w:rPr>
              <w:t>Units</w:t>
            </w:r>
          </w:p>
        </w:tc>
        <w:tc>
          <w:tcPr>
            <w:tcW w:w="18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5"/>
              </w:rPr>
              <w:t>$230,000,000</w:t>
            </w:r>
          </w:p>
        </w:tc>
        <w:tc>
          <w:tcPr>
            <w:tcW w:w="176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w w:val="98"/>
              </w:rPr>
              <w:t>$29,854.00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4"/>
          <w:szCs w:val="24"/>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w:t>
      </w:r>
    </w:p>
    <w:p>
      <w:pPr>
        <w:spacing w:after="0" w:line="93"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3,000,000 units, consisting of 3,000,000 Class A ordinary shares and 1,500,000 redeemable warrants, which may be issued upon exercise of a 45-day option granted to the underwriters to cover over-allotments, if any.</w:t>
      </w:r>
    </w:p>
    <w:p>
      <w:pPr>
        <w:spacing w:after="0" w:line="40" w:lineRule="exact"/>
        <w:rPr>
          <w:rFonts w:ascii="Arial" w:cs="Arial" w:eastAsia="Arial" w:hAnsi="Arial"/>
          <w:sz w:val="13"/>
          <w:szCs w:val="13"/>
          <w:color w:val="auto"/>
        </w:rPr>
      </w:pPr>
    </w:p>
    <w:p>
      <w:pPr>
        <w:ind w:left="440" w:hanging="262"/>
        <w:spacing w:after="0" w:line="249"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there are also being registered an indeterminable number of additional securities as may be issued to prevent dilution resulting from share sub-divisions, share dividends or similar transactions.</w:t>
      </w:r>
    </w:p>
    <w:p>
      <w:pPr>
        <w:spacing w:after="0" w:line="40" w:lineRule="exact"/>
        <w:rPr>
          <w:rFonts w:ascii="Arial" w:cs="Arial" w:eastAsia="Arial" w:hAnsi="Arial"/>
          <w:sz w:val="13"/>
          <w:szCs w:val="13"/>
          <w:color w:val="auto"/>
        </w:rPr>
      </w:pPr>
    </w:p>
    <w:p>
      <w:pPr>
        <w:ind w:left="440" w:hanging="26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w:t>
      </w:r>
    </w:p>
    <w:p>
      <w:pPr>
        <w:spacing w:after="0" w:line="78" w:lineRule="exact"/>
        <w:rPr>
          <w:sz w:val="24"/>
          <w:szCs w:val="24"/>
          <w:color w:val="auto"/>
        </w:rPr>
      </w:pPr>
    </w:p>
    <w:p>
      <w:pPr>
        <w:ind w:right="160"/>
        <w:spacing w:after="0" w:line="23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C2112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2" w:lineRule="exact"/>
        <w:rPr>
          <w:sz w:val="20"/>
          <w:szCs w:val="20"/>
          <w:color w:val="auto"/>
        </w:rPr>
      </w:pPr>
    </w:p>
    <w:p>
      <w:pPr>
        <w:spacing w:after="0"/>
        <w:tabs>
          <w:tab w:leader="none" w:pos="7260" w:val="left"/>
        </w:tabs>
        <w:rPr>
          <w:sz w:val="20"/>
          <w:szCs w:val="20"/>
          <w:color w:val="auto"/>
        </w:rPr>
      </w:pPr>
      <w:r>
        <w:rPr>
          <w:rFonts w:ascii="Arial" w:cs="Arial" w:eastAsia="Arial" w:hAnsi="Arial"/>
          <w:sz w:val="14"/>
          <w:szCs w:val="14"/>
          <w:color w:val="C21128"/>
        </w:rPr>
        <w:t>PRELIMINARY PROSPECTUS</w:t>
      </w:r>
      <w:r>
        <w:rPr>
          <w:sz w:val="20"/>
          <w:szCs w:val="20"/>
          <w:color w:val="auto"/>
        </w:rPr>
        <w:tab/>
      </w:r>
      <w:r>
        <w:rPr>
          <w:rFonts w:ascii="Arial" w:cs="Arial" w:eastAsia="Arial" w:hAnsi="Arial"/>
          <w:sz w:val="14"/>
          <w:szCs w:val="14"/>
          <w:color w:val="C21128"/>
        </w:rPr>
        <w:t>SUBJECT TO COMPLETION, DATED SEPTEMBER 16,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VPC Impact Acquisition Holdings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 Units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VPC Impact Acquisition Holdings is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an additional 3,000,000 units to cover over-allotments, if any.</w:t>
      </w:r>
    </w:p>
    <w:p>
      <w:pPr>
        <w:spacing w:after="0" w:line="31"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Class A ordinary shares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subject to applicable law and certain conditions as further described herein.</w:t>
      </w:r>
    </w:p>
    <w:p>
      <w:pPr>
        <w:spacing w:after="0" w:line="34" w:lineRule="exact"/>
        <w:rPr>
          <w:sz w:val="20"/>
          <w:szCs w:val="20"/>
          <w:color w:val="auto"/>
        </w:rPr>
      </w:pPr>
    </w:p>
    <w:p>
      <w:pPr>
        <w:ind w:right="220"/>
        <w:spacing w:after="0" w:line="263" w:lineRule="auto"/>
        <w:rPr>
          <w:sz w:val="20"/>
          <w:szCs w:val="20"/>
          <w:color w:val="auto"/>
        </w:rPr>
      </w:pPr>
      <w:r>
        <w:rPr>
          <w:rFonts w:ascii="Arial" w:cs="Arial" w:eastAsia="Arial" w:hAnsi="Arial"/>
          <w:sz w:val="13"/>
          <w:szCs w:val="13"/>
          <w:color w:val="auto"/>
        </w:rPr>
        <w:t>Our sponsor, VPC Impact Acquisition Holdings Sponsor, LLC, has committed to purchase an aggregate of 6,000,000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w:t>
      </w:r>
    </w:p>
    <w:p>
      <w:pPr>
        <w:spacing w:after="0" w:line="35" w:lineRule="exact"/>
        <w:rPr>
          <w:sz w:val="20"/>
          <w:szCs w:val="20"/>
          <w:color w:val="auto"/>
        </w:rPr>
      </w:pPr>
    </w:p>
    <w:p>
      <w:pPr>
        <w:ind w:right="80"/>
        <w:spacing w:after="0" w:line="246" w:lineRule="auto"/>
        <w:rPr>
          <w:sz w:val="20"/>
          <w:szCs w:val="20"/>
          <w:color w:val="auto"/>
        </w:rPr>
      </w:pPr>
      <w:r>
        <w:rPr>
          <w:rFonts w:ascii="Arial" w:cs="Arial" w:eastAsia="Arial" w:hAnsi="Arial"/>
          <w:sz w:val="13"/>
          <w:szCs w:val="13"/>
          <w:color w:val="auto"/>
        </w:rPr>
        <w:t>Our initial shareholders, which include our sponsor, currently own an aggregate of 5,750,000 Class B ordinary shares, up to 750,000 of which will be surrendered to us for no consideration after the closing of this offering depending on the extent to which the underwriters’ over-allotment option is exercised, which will automatically convert into Class A ordinary shares concurrently with or immediately following the consummation of our initial business combination on a one-for-one basis, subject to the adjustments described herein. Only holders of Class B ordinary shares will have the right to appoint directors in any election held prior to or in connection with the completion of our initial business combination. On any other matters submitted to a vote of our shareholders, holders of the Class B ordinary shares and holders of the Class A ordinary shares will vote together as a single class, except that in a vote to continue the Company in a jurisdiction outside the Cayman Islands, holders of Class B ordinary shares will have ten votes per share and holders of Class A ordinary shares will have one vote per share, and except as required by law or the applicable rules of Nasdaq then in effect.</w:t>
      </w:r>
    </w:p>
    <w:p>
      <w:pPr>
        <w:spacing w:after="0" w:line="34"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Currently, there is no public market for our units, Class A ordinary shares or warrants. We intend to apply to have our units listed on The Nasdaq Capital Market, or Nasdaq, under the symbol “VIHAU.” We expect that our units will be listed on Nasdaq on or promptly after the date of this prospectus. We cannot guarantee that our securities will be approved for listing on Nasdaq. We expect the Class A ordinary shares and warrants comprising the units to begin separate trading on the 52</w:t>
      </w:r>
      <w:r>
        <w:rPr>
          <w:rFonts w:ascii="Arial" w:cs="Arial" w:eastAsia="Arial" w:hAnsi="Arial"/>
          <w:sz w:val="11"/>
          <w:szCs w:val="11"/>
          <w:color w:val="auto"/>
        </w:rPr>
        <w:t>nd</w:t>
      </w:r>
      <w:r>
        <w:rPr>
          <w:rFonts w:ascii="Arial" w:cs="Arial" w:eastAsia="Arial" w:hAnsi="Arial"/>
          <w:sz w:val="13"/>
          <w:szCs w:val="13"/>
          <w:color w:val="auto"/>
        </w:rPr>
        <w:t xml:space="preserve"> day following the date of this prospectus unless Jefferies LLC, the representative of the underwriters, informs us of its decision to allow earlier separate trading, subject to our satisfaction of certain conditions as described further herein. Once the securities comprising the units begin separate trading, we expect that the Class A ordinary shares and warrants will be listed on Nasdaq under the symbols “VIH” and “VIHAW,” respectively.</w:t>
      </w:r>
    </w:p>
    <w:p>
      <w:pPr>
        <w:spacing w:after="0" w:line="29" w:lineRule="exact"/>
        <w:rPr>
          <w:sz w:val="20"/>
          <w:szCs w:val="20"/>
          <w:color w:val="auto"/>
        </w:rPr>
      </w:pPr>
    </w:p>
    <w:p>
      <w:pPr>
        <w:ind w:right="480"/>
        <w:spacing w:after="0" w:line="271" w:lineRule="auto"/>
        <w:rPr>
          <w:rFonts w:ascii="Arial" w:cs="Arial" w:eastAsia="Arial" w:hAnsi="Arial"/>
          <w:sz w:val="13"/>
          <w:szCs w:val="13"/>
          <w:b w:val="1"/>
          <w:bCs w:val="1"/>
          <w:color w:val="auto"/>
        </w:rPr>
      </w:pPr>
      <w:r>
        <w:rPr>
          <w:rFonts w:ascii="Arial" w:cs="Arial" w:eastAsia="Arial" w:hAnsi="Arial"/>
          <w:sz w:val="13"/>
          <w:szCs w:val="13"/>
          <w:b w:val="1"/>
          <w:bCs w:val="1"/>
          <w:color w:val="auto"/>
        </w:rPr>
        <w:t>We are an “emerging growth company” under applicable federal securities laws and will be subject to reduced public company reporting requirements. Investing in our securities involves a high degree of risk. See “</w:t>
      </w:r>
      <w:hyperlink w:anchor="page35">
        <w:r>
          <w:rPr>
            <w:rFonts w:ascii="Arial" w:cs="Arial" w:eastAsia="Arial" w:hAnsi="Arial"/>
            <w:sz w:val="13"/>
            <w:szCs w:val="13"/>
            <w:b w:val="1"/>
            <w:bCs w:val="1"/>
            <w:i w:val="1"/>
            <w:iCs w:val="1"/>
            <w:u w:val="single" w:color="auto"/>
            <w:color w:val="0000EE"/>
          </w:rPr>
          <w:t>Risk Factors</w:t>
        </w:r>
      </w:hyperlink>
      <w:r>
        <w:rPr>
          <w:rFonts w:ascii="Arial" w:cs="Arial" w:eastAsia="Arial" w:hAnsi="Arial"/>
          <w:sz w:val="13"/>
          <w:szCs w:val="13"/>
          <w:b w:val="1"/>
          <w:bCs w:val="1"/>
          <w:color w:val="auto"/>
        </w:rPr>
        <w:t>” beginning on page [32] for a discussion of information that should be considered in connection with an investment in our securities. Investors will not be entitled to protections normally afforded to investors in Rule 419 blank check offerings.</w:t>
      </w:r>
    </w:p>
    <w:p>
      <w:pPr>
        <w:spacing w:after="0" w:line="20"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Per Unit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5040" w:type="dxa"/>
            <w:vAlign w:val="bottom"/>
          </w:tcPr>
          <w:p>
            <w:pPr>
              <w:spacing w:after="0" w:line="142" w:lineRule="exact"/>
              <w:rPr>
                <w:sz w:val="20"/>
                <w:szCs w:val="20"/>
                <w:color w:val="auto"/>
              </w:rPr>
            </w:pPr>
            <w:r>
              <w:rPr>
                <w:rFonts w:ascii="Arial" w:cs="Arial" w:eastAsia="Arial" w:hAnsi="Arial"/>
                <w:sz w:val="13"/>
                <w:szCs w:val="13"/>
                <w:color w:val="auto"/>
              </w:rPr>
              <w:t>Public offering price</w:t>
            </w:r>
          </w:p>
        </w:tc>
        <w:tc>
          <w:tcPr>
            <w:tcW w:w="24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10.00</w:t>
            </w:r>
          </w:p>
        </w:tc>
        <w:tc>
          <w:tcPr>
            <w:tcW w:w="4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200,000,000</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9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w:t>
            </w:r>
            <w:r>
              <w:rPr>
                <w:rFonts w:ascii="Arial" w:cs="Arial" w:eastAsia="Arial" w:hAnsi="Arial"/>
                <w:sz w:val="11"/>
                <w:szCs w:val="11"/>
                <w:color w:val="auto"/>
              </w:rPr>
              <w:t>(1)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11,000,000</w:t>
            </w:r>
          </w:p>
        </w:tc>
        <w:tc>
          <w:tcPr>
            <w:tcW w:w="900" w:type="dxa"/>
            <w:vAlign w:val="bottom"/>
          </w:tcPr>
          <w:p>
            <w:pPr>
              <w:spacing w:after="0"/>
              <w:rPr>
                <w:sz w:val="12"/>
                <w:szCs w:val="12"/>
                <w:color w:val="auto"/>
              </w:rPr>
            </w:pPr>
          </w:p>
        </w:tc>
      </w:tr>
      <w:tr>
        <w:trPr>
          <w:trHeight w:val="180"/>
        </w:trPr>
        <w:tc>
          <w:tcPr>
            <w:tcW w:w="9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9.45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189,000,000</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bl>
    <w:p>
      <w:pPr>
        <w:spacing w:after="0" w:line="100" w:lineRule="exact"/>
        <w:rPr>
          <w:sz w:val="20"/>
          <w:szCs w:val="20"/>
          <w:color w:val="auto"/>
        </w:rPr>
      </w:pPr>
    </w:p>
    <w:p>
      <w:pPr>
        <w:ind w:left="440" w:right="100" w:hanging="262"/>
        <w:spacing w:after="0" w:line="230" w:lineRule="auto"/>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$0.20 per unit, or $4,000,000 in the aggregate (or $4,600,000 if the underwriters’ over-allotment option is exercised in full), payable to the underwriters upon the closing of this offering. Also includes $0.35 per unit, or $7,000,000 in the aggregate (or up to $8,050,000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w:t>
      </w:r>
      <w:r>
        <w:rPr>
          <w:rFonts w:ascii="Arial" w:cs="Arial" w:eastAsia="Arial" w:hAnsi="Arial"/>
          <w:sz w:val="13"/>
          <w:szCs w:val="13"/>
          <w:i w:val="1"/>
          <w:iCs w:val="1"/>
          <w:color w:val="auto"/>
        </w:rPr>
        <w:t>Underwriting</w:t>
      </w:r>
      <w:r>
        <w:rPr>
          <w:rFonts w:ascii="Arial" w:cs="Arial" w:eastAsia="Arial" w:hAnsi="Arial"/>
          <w:sz w:val="13"/>
          <w:szCs w:val="13"/>
          <w:color w:val="auto"/>
        </w:rPr>
        <w:t>” for a description of compensation and other items of value payable to the underwriters.</w:t>
      </w:r>
    </w:p>
    <w:p>
      <w:pPr>
        <w:spacing w:after="0" w:line="40"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Of the proceeds we receive from this offering and the sale of the private placement warrants described in this prospectus, $200 million, or $230 million if the underwriters’ over-allotment option is exercised in full ($10.00 per unit in either case), will be deposited into a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$1 million to pay fees and expenses in connection with the closing of this offering and for working capital following the closing of this offering.</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The underwriters are offering the units for sale on a firm commitment basis. The underwriters expect to deliver the units to the purchasers on or about [•], 2020.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Jefferies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2020</w:t>
      </w:r>
    </w:p>
    <w:p>
      <w:pPr>
        <w:sectPr>
          <w:pgSz w:w="11900" w:h="16838" w:orient="portrait"/>
          <w:cols w:equalWidth="0" w:num="1">
            <w:col w:w="11240"/>
          </w:cols>
          <w:pgMar w:left="32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1"/>
                <w:szCs w:val="21"/>
                <w:color w:val="auto"/>
              </w:rPr>
            </w:pPr>
          </w:p>
        </w:tc>
      </w:tr>
      <w:tr>
        <w:trPr>
          <w:trHeight w:val="353"/>
        </w:trPr>
        <w:tc>
          <w:tcPr>
            <w:tcW w:w="8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39"/>
        </w:trPr>
        <w:tc>
          <w:tcPr>
            <w:tcW w:w="874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Summary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Risks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Cautionary note regarding forward-looking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Use of proceeds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Dividend policy</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Dilution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Capitalization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Management’s discussion and analysis of financial condition and results of operations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Proposed business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Effecting our initial business combination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0">
              <w:r>
                <w:rPr>
                  <w:rFonts w:ascii="Arial" w:cs="Arial" w:eastAsia="Arial" w:hAnsi="Arial"/>
                  <w:sz w:val="17"/>
                  <w:szCs w:val="17"/>
                  <w:u w:val="single" w:color="auto"/>
                  <w:color w:val="0000EE"/>
                </w:rPr>
                <w:t>Management</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Principal shareholders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Certain relationships and related party transactions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22">
              <w:r>
                <w:rPr>
                  <w:rFonts w:ascii="Arial" w:cs="Arial" w:eastAsia="Arial" w:hAnsi="Arial"/>
                  <w:sz w:val="17"/>
                  <w:szCs w:val="17"/>
                  <w:u w:val="single" w:color="auto"/>
                  <w:color w:val="0000EE"/>
                </w:rPr>
                <w:t>Description of securities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Taxation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Underwriting</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Legal matters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Experts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Where you can find additional information</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405"/>
        </w:trPr>
        <w:tc>
          <w:tcPr>
            <w:tcW w:w="8740" w:type="dxa"/>
            <w:vAlign w:val="bottom"/>
          </w:tcPr>
          <w:p>
            <w:pPr>
              <w:spacing w:after="0"/>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Index to Financial Statements</w:t>
              </w:r>
            </w:hyperlink>
          </w:p>
        </w:tc>
        <w:tc>
          <w:tcPr>
            <w:tcW w:w="25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or inconsistent with that contained in this prospectus.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6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318"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otherwise stated in this prospectus or the context otherwise requires, references to:</w:t>
      </w:r>
    </w:p>
    <w:p>
      <w:pPr>
        <w:spacing w:after="0" w:line="196" w:lineRule="exact"/>
        <w:rPr>
          <w:sz w:val="20"/>
          <w:szCs w:val="20"/>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“we,” “us,” “company” or “our company” are to VPC Impact Acquisition Holdings, a Cayman Islands exempted company;</w:t>
      </w:r>
    </w:p>
    <w:p>
      <w:pPr>
        <w:spacing w:after="0" w:line="34" w:lineRule="exact"/>
        <w:rPr>
          <w:rFonts w:ascii="MS PGothic" w:cs="MS PGothic" w:eastAsia="MS PGothic" w:hAnsi="MS PGothic"/>
          <w:sz w:val="13"/>
          <w:szCs w:val="13"/>
          <w:color w:val="auto"/>
        </w:rPr>
      </w:pPr>
    </w:p>
    <w:p>
      <w:pPr>
        <w:ind w:left="1060" w:right="3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“Companies Law” are to the Companies Law (2020 Revision) of the Cayman Islands as the same may be amended from time to time;</w:t>
      </w:r>
    </w:p>
    <w:p>
      <w:pPr>
        <w:spacing w:after="0" w:line="1" w:lineRule="exact"/>
        <w:rPr>
          <w:rFonts w:ascii="MS PGothic" w:cs="MS PGothic" w:eastAsia="MS PGothic" w:hAnsi="MS PGothic"/>
          <w:sz w:val="13"/>
          <w:szCs w:val="13"/>
          <w:color w:val="auto"/>
        </w:rPr>
      </w:pPr>
    </w:p>
    <w:p>
      <w:pPr>
        <w:ind w:left="1060" w:right="2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“founder shares” are to Class B ordinary shares initially purchased by our sponsor in a private placement prior to this offering and the Class A ordinary shares that will be issued upon the automatic conversion of the Class B ordinary shares at the time of our initial business combination as described herein;</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“initial shareholders” are to holders of our founder shares prior to this offering;</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“management” or our “management team” are to our officers and directors;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“ordinary shares” are to our Class A ordinary shares and our Class B ordinary shares;</w:t>
      </w:r>
    </w:p>
    <w:p>
      <w:pPr>
        <w:spacing w:after="0" w:line="34" w:lineRule="exact"/>
        <w:rPr>
          <w:rFonts w:ascii="MS PGothic" w:cs="MS PGothic" w:eastAsia="MS PGothic" w:hAnsi="MS PGothic"/>
          <w:sz w:val="13"/>
          <w:szCs w:val="13"/>
          <w:color w:val="auto"/>
        </w:rPr>
      </w:pPr>
    </w:p>
    <w:p>
      <w:pPr>
        <w:ind w:left="1060" w:right="6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shares” are to Class A ordinary shares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jc w:val="both"/>
        <w:ind w:left="1060" w:right="140" w:hanging="434"/>
        <w:spacing w:after="0" w:line="248"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shareholders” are to the holders of our public shares, including our initial shareholders and management team to the extent our initial shareholders and/or members of our management team purchase public shares, provided that each initial shareholder’s and member of our management team’s status as a “public shareholder” will only exist with respect to such public shares;</w:t>
      </w:r>
    </w:p>
    <w:p>
      <w:pPr>
        <w:spacing w:after="0" w:line="1" w:lineRule="exact"/>
        <w:rPr>
          <w:rFonts w:ascii="MS PGothic" w:cs="MS PGothic" w:eastAsia="MS PGothic" w:hAnsi="MS PGothic"/>
          <w:sz w:val="13"/>
          <w:szCs w:val="13"/>
          <w:color w:val="auto"/>
        </w:rPr>
      </w:pPr>
    </w:p>
    <w:p>
      <w:pPr>
        <w:ind w:left="1060" w:right="2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“public warrants” are to the warrants sold as part of the units in this offering (whether they are purchased in this offering or thereafter in the open market);</w:t>
      </w:r>
    </w:p>
    <w:p>
      <w:pPr>
        <w:spacing w:after="0" w:line="1" w:lineRule="exact"/>
        <w:rPr>
          <w:rFonts w:ascii="MS PGothic" w:cs="MS PGothic" w:eastAsia="MS PGothic" w:hAnsi="MS PGothic"/>
          <w:sz w:val="13"/>
          <w:szCs w:val="13"/>
          <w:color w:val="auto"/>
        </w:rPr>
      </w:pPr>
    </w:p>
    <w:p>
      <w:pPr>
        <w:ind w:left="1060" w:right="40" w:hanging="434"/>
        <w:spacing w:after="0" w:line="256" w:lineRule="auto"/>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“private placement warrants” are to the warrants issued to our sponsor in a private placement simultaneously with the closing of this offering;</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“sponsor” are to VPC Impact Acquisition Holdings Sponsor, LLC, a Delaware limited liability company;</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“Jefferies” are to Jefferies LLC, the representative of the underwriters in this offering; and</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3"/>
        </w:numPr>
        <w:rPr>
          <w:rFonts w:ascii="MS PGothic" w:cs="MS PGothic" w:eastAsia="MS PGothic" w:hAnsi="MS PGothic"/>
          <w:sz w:val="13"/>
          <w:szCs w:val="13"/>
          <w:color w:val="auto"/>
        </w:rPr>
      </w:pPr>
      <w:r>
        <w:rPr>
          <w:rFonts w:ascii="Arial" w:cs="Arial" w:eastAsia="Arial" w:hAnsi="Arial"/>
          <w:sz w:val="17"/>
          <w:szCs w:val="17"/>
          <w:i w:val="1"/>
          <w:iCs w:val="1"/>
          <w:color w:val="auto"/>
        </w:rPr>
        <w:t>“warrants” are to our public warrants and private placement warrants.</w:t>
      </w:r>
    </w:p>
    <w:p>
      <w:pPr>
        <w:spacing w:after="0" w:line="156" w:lineRule="exact"/>
        <w:rPr>
          <w:sz w:val="20"/>
          <w:szCs w:val="20"/>
          <w:color w:val="auto"/>
        </w:rPr>
      </w:pPr>
    </w:p>
    <w:p>
      <w:pPr>
        <w:ind w:left="200" w:right="160"/>
        <w:spacing w:after="0" w:line="245"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Any forfeiture of shares, and all references to forfeiture of shares, described in this prospectus shall take effect as a surrender of shares for no consideration as a matter of Cayman Islands law. Any share dividend described in this prospectus will take effect as a share capitalization as a matter of Cayman Islands law.</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Unless we tell you otherwise, the information in this prospectus assumes that the underwriters will not exercise their over-allotment option.</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60"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796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4796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Our sponsor is affiliated with Victory Park Capital Advisors, LLC (“VPC”), a registered investment advisor with the Securities and Exchange Commission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3" w:lineRule="exact"/>
        <w:rPr>
          <w:sz w:val="20"/>
          <w:szCs w:val="20"/>
          <w:color w:val="auto"/>
        </w:rPr>
      </w:pPr>
    </w:p>
    <w:p>
      <w:pPr>
        <w:ind w:left="200" w:right="200"/>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left="200" w:right="1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ind w:left="200" w:right="20"/>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small-to-medium enterprise (“SME”) through lowering overall transaction costs and providing access to high-quality financial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81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4819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Business Strategy</w:t>
      </w:r>
    </w:p>
    <w:p>
      <w:pPr>
        <w:spacing w:after="0" w:line="316" w:lineRule="exact"/>
        <w:rPr>
          <w:sz w:val="20"/>
          <w:szCs w:val="20"/>
          <w:color w:val="auto"/>
        </w:rPr>
      </w:pPr>
    </w:p>
    <w:p>
      <w:pPr>
        <w:ind w:left="200" w:right="1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utilize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left="200" w:right="80"/>
        <w:spacing w:after="0" w:line="239" w:lineRule="auto"/>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International Finance Corporation (“IFC”), a member of the World Bank, and Inter-American Development Bank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Acquisition Criteria</w:t>
      </w:r>
    </w:p>
    <w:p>
      <w:pPr>
        <w:spacing w:after="0" w:line="316"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1060" w:right="4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1060" w:right="760" w:hanging="434"/>
        <w:spacing w:after="0" w:line="256"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1060" w:right="120" w:hanging="434"/>
        <w:spacing w:after="0" w:line="273" w:lineRule="auto"/>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98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1060" w:right="660" w:hanging="434"/>
        <w:spacing w:after="0" w:line="273" w:lineRule="auto"/>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left="200" w:right="60"/>
        <w:spacing w:after="0"/>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Management Team</w:t>
      </w:r>
    </w:p>
    <w:p>
      <w:pPr>
        <w:spacing w:after="0" w:line="316" w:lineRule="exact"/>
        <w:rPr>
          <w:sz w:val="20"/>
          <w:szCs w:val="20"/>
          <w:color w:val="auto"/>
        </w:rPr>
      </w:pPr>
    </w:p>
    <w:p>
      <w:pPr>
        <w:ind w:left="200" w:right="1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7"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3"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Olibia Stamatoglou, our Chief Financial Officer, is the Chief Financial Officer and Chief Compliance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owned ventures. She joined First National Assets from Aurora Investment Management where she progressed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13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several accounting roles. Mrs. Stamatoglou was recognized as one of Crain’s Notable Women in Finance for 2019.</w:t>
      </w:r>
    </w:p>
    <w:p>
      <w:pPr>
        <w:spacing w:after="0" w:line="156" w:lineRule="exact"/>
        <w:rPr>
          <w:sz w:val="20"/>
          <w:szCs w:val="20"/>
          <w:color w:val="auto"/>
        </w:rPr>
      </w:pPr>
    </w:p>
    <w:p>
      <w:pPr>
        <w:ind w:left="200" w:right="100"/>
        <w:spacing w:after="0" w:line="236" w:lineRule="auto"/>
        <w:rPr>
          <w:sz w:val="20"/>
          <w:szCs w:val="20"/>
          <w:color w:val="auto"/>
        </w:rPr>
      </w:pPr>
      <w:r>
        <w:rPr>
          <w:rFonts w:ascii="Arial" w:cs="Arial" w:eastAsia="Arial" w:hAnsi="Arial"/>
          <w:sz w:val="17"/>
          <w:szCs w:val="17"/>
          <w:color w:val="auto"/>
        </w:rPr>
        <w:t>Adrienne Harris will be one of our directors as of the effective date of the registration statement of which this prospectus forms a part. Ms. Harris is currently a Professor of the Practice and a Gates Foundation Senior Research 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27"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Kai Schmitz will be one of our directors as of the effective date of the registration statement of which this prospectus forms a part. Mr. Schmitz is currently a Partner at Amadeus Capital, where he focuses on growth stage 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Kurt Summers will be one of our directors as of the effective date of the registration statement. Mr. Summers has twenty years of experience in both private and public sector finance. 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w:t>
      </w:r>
    </w:p>
    <w:p>
      <w:pPr>
        <w:spacing w:after="0" w:line="3" w:lineRule="exact"/>
        <w:rPr>
          <w:sz w:val="20"/>
          <w:szCs w:val="20"/>
          <w:color w:val="auto"/>
        </w:rPr>
      </w:pPr>
    </w:p>
    <w:p>
      <w:pPr>
        <w:ind w:left="200" w:right="40"/>
        <w:spacing w:after="0" w:line="236" w:lineRule="auto"/>
        <w:rPr>
          <w:sz w:val="20"/>
          <w:szCs w:val="20"/>
          <w:color w:val="auto"/>
        </w:rPr>
      </w:pPr>
      <w:r>
        <w:rPr>
          <w:rFonts w:ascii="Arial" w:cs="Arial" w:eastAsia="Arial" w:hAnsi="Arial"/>
          <w:sz w:val="17"/>
          <w:szCs w:val="17"/>
          <w:color w:val="auto"/>
        </w:rPr>
        <w:t>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129" w:lineRule="exact"/>
        <w:rPr>
          <w:sz w:val="20"/>
          <w:szCs w:val="20"/>
          <w:color w:val="auto"/>
        </w:rPr>
      </w:pPr>
    </w:p>
    <w:p>
      <w:pPr>
        <w:ind w:left="200" w:right="460"/>
        <w:spacing w:after="0" w:line="248" w:lineRule="auto"/>
        <w:rPr>
          <w:sz w:val="20"/>
          <w:szCs w:val="20"/>
          <w:color w:val="auto"/>
        </w:rPr>
      </w:pPr>
      <w:r>
        <w:rPr>
          <w:rFonts w:ascii="Arial" w:cs="Arial" w:eastAsia="Arial" w:hAnsi="Arial"/>
          <w:sz w:val="18"/>
          <w:szCs w:val="18"/>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55" w:right="5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13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120"/>
        <w:spacing w:after="0" w:line="306" w:lineRule="auto"/>
        <w:rPr>
          <w:sz w:val="20"/>
          <w:szCs w:val="20"/>
          <w:color w:val="auto"/>
        </w:rPr>
      </w:pPr>
      <w:r>
        <w:rPr>
          <w:rFonts w:ascii="Arial" w:cs="Arial" w:eastAsia="Arial" w:hAnsi="Arial"/>
          <w:sz w:val="17"/>
          <w:szCs w:val="17"/>
          <w:color w:val="auto"/>
        </w:rPr>
        <w:t xml:space="preserve">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154"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3"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 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3" w:lineRule="exact"/>
        <w:rPr>
          <w:sz w:val="20"/>
          <w:szCs w:val="20"/>
          <w:color w:val="auto"/>
        </w:rPr>
      </w:pPr>
    </w:p>
    <w:p>
      <w:pPr>
        <w:ind w:left="200" w:right="6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left="200" w:right="180"/>
        <w:spacing w:after="0" w:line="242" w:lineRule="auto"/>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93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60"/>
        <w:spacing w:after="0" w:line="275" w:lineRule="auto"/>
        <w:rPr>
          <w:sz w:val="20"/>
          <w:szCs w:val="20"/>
          <w:color w:val="auto"/>
        </w:rPr>
      </w:pPr>
      <w:r>
        <w:rPr>
          <w:rFonts w:ascii="Arial" w:cs="Arial" w:eastAsia="Arial" w:hAnsi="Arial"/>
          <w:sz w:val="17"/>
          <w:szCs w:val="17"/>
          <w:color w:val="auto"/>
        </w:rPr>
        <w:t>focusing on mergers and acquisitions, leveraged finance and growth capital transactions. Mr. Welch received a B.S. in finance with honors from the University of Illinois.</w:t>
      </w:r>
    </w:p>
    <w:p>
      <w:pPr>
        <w:spacing w:after="0" w:line="92"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w:t>
      </w:r>
    </w:p>
    <w:p>
      <w:pPr>
        <w:spacing w:after="0" w:line="2" w:lineRule="exact"/>
        <w:rPr>
          <w:sz w:val="20"/>
          <w:szCs w:val="20"/>
          <w:color w:val="auto"/>
        </w:rPr>
      </w:pPr>
    </w:p>
    <w:p>
      <w:pPr>
        <w:ind w:left="200" w:right="40"/>
        <w:spacing w:after="0" w:line="238" w:lineRule="auto"/>
        <w:rPr>
          <w:sz w:val="20"/>
          <w:szCs w:val="20"/>
          <w:color w:val="auto"/>
        </w:rPr>
      </w:pPr>
      <w:r>
        <w:rPr>
          <w:rFonts w:ascii="Arial" w:cs="Arial" w:eastAsia="Arial" w:hAnsi="Arial"/>
          <w:sz w:val="17"/>
          <w:szCs w:val="17"/>
          <w:color w:val="auto"/>
        </w:rPr>
        <w:t>$8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1" w:lineRule="exact"/>
        <w:rPr>
          <w:sz w:val="20"/>
          <w:szCs w:val="20"/>
          <w:color w:val="auto"/>
        </w:rPr>
      </w:pPr>
    </w:p>
    <w:p>
      <w:pPr>
        <w:ind w:left="200" w:right="4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Business Combination</w:t>
      </w:r>
    </w:p>
    <w:p>
      <w:pPr>
        <w:spacing w:after="0" w:line="60"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intial business combination must be approved by a majority of our independent directors.</w:t>
      </w:r>
    </w:p>
    <w:p>
      <w:pPr>
        <w:spacing w:after="0" w:line="122" w:lineRule="exact"/>
        <w:rPr>
          <w:sz w:val="20"/>
          <w:szCs w:val="20"/>
          <w:color w:val="auto"/>
        </w:rPr>
      </w:pPr>
    </w:p>
    <w:p>
      <w:pPr>
        <w:ind w:left="200" w:right="20"/>
        <w:spacing w:after="0"/>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60"/>
          </w:cols>
          <w:pgMar w:left="320" w:top="455" w:right="5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21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4216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left="200" w:right="300"/>
        <w:spacing w:after="0" w:line="253" w:lineRule="auto"/>
        <w:rPr>
          <w:sz w:val="20"/>
          <w:szCs w:val="20"/>
          <w:color w:val="auto"/>
        </w:rPr>
      </w:pPr>
      <w:r>
        <w:rPr>
          <w:rFonts w:ascii="Arial" w:cs="Arial" w:eastAsia="Arial" w:hAnsi="Arial"/>
          <w:sz w:val="17"/>
          <w:szCs w:val="17"/>
          <w:color w:val="auto"/>
        </w:rPr>
        <w:t>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11" w:lineRule="exact"/>
        <w:rPr>
          <w:sz w:val="20"/>
          <w:szCs w:val="20"/>
          <w:color w:val="auto"/>
        </w:rPr>
      </w:pPr>
    </w:p>
    <w:p>
      <w:pPr>
        <w:ind w:left="200" w:right="26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left="200" w:right="10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jc w:val="both"/>
        <w:ind w:left="200" w:right="1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left="200" w:right="6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00" w:right="420"/>
        <w:spacing w:after="0" w:line="275" w:lineRule="auto"/>
        <w:rPr>
          <w:sz w:val="20"/>
          <w:szCs w:val="20"/>
          <w:color w:val="auto"/>
        </w:rPr>
      </w:pPr>
      <w:r>
        <w:rPr>
          <w:rFonts w:ascii="Arial" w:cs="Arial" w:eastAsia="Arial" w:hAnsi="Arial"/>
          <w:sz w:val="17"/>
          <w:szCs w:val="17"/>
          <w:color w:val="auto"/>
        </w:rPr>
        <w:t>Our executive offices are located at 150 North Riverside Plaza, Suite 5200, Chicago, Illinois 60606, and our telephone number is 312-701-1777.</w:t>
      </w:r>
    </w:p>
    <w:p>
      <w:pPr>
        <w:spacing w:after="0" w:line="92"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05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40589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right="40"/>
        <w:spacing w:after="0"/>
        <w:rPr>
          <w:sz w:val="20"/>
          <w:szCs w:val="20"/>
          <w:color w:val="auto"/>
        </w:rPr>
      </w:pPr>
      <w:r>
        <w:rPr>
          <w:rFonts w:ascii="Arial" w:cs="Arial" w:eastAsia="Arial" w:hAnsi="Arial"/>
          <w:sz w:val="17"/>
          <w:szCs w:val="17"/>
          <w:color w:val="auto"/>
        </w:rPr>
        <w:t>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1" w:lineRule="exact"/>
        <w:rPr>
          <w:sz w:val="20"/>
          <w:szCs w:val="20"/>
          <w:color w:val="auto"/>
        </w:rPr>
      </w:pPr>
    </w:p>
    <w:p>
      <w:pPr>
        <w:ind w:left="200" w:right="100"/>
        <w:spacing w:after="0" w:line="23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as modified by the Jumpstart Our Business Startups Act of 2012 (the “</w:t>
      </w:r>
      <w:r>
        <w:rPr>
          <w:rFonts w:ascii="Arial" w:cs="Arial" w:eastAsia="Arial" w:hAnsi="Arial"/>
          <w:sz w:val="17"/>
          <w:szCs w:val="17"/>
          <w:b w:val="1"/>
          <w:bCs w:val="1"/>
          <w:color w:val="auto"/>
        </w:rPr>
        <w:t>JOBS Act</w:t>
      </w:r>
      <w:r>
        <w:rPr>
          <w:rFonts w:ascii="Arial" w:cs="Arial" w:eastAsia="Arial" w:hAnsi="Arial"/>
          <w:sz w:val="17"/>
          <w:szCs w:val="17"/>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5" w:lineRule="exact"/>
        <w:rPr>
          <w:sz w:val="20"/>
          <w:szCs w:val="20"/>
          <w:color w:val="auto"/>
        </w:rPr>
      </w:pPr>
    </w:p>
    <w:p>
      <w:pPr>
        <w:ind w:left="20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ind w:left="200" w:right="60"/>
        <w:spacing w:after="0" w:line="242"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21"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40"/>
          </w:cols>
          <w:pgMar w:left="320" w:top="455" w:right="5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67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318" w:lineRule="exact"/>
        <w:rPr>
          <w:sz w:val="20"/>
          <w:szCs w:val="20"/>
          <w:color w:val="auto"/>
        </w:rPr>
      </w:pPr>
    </w:p>
    <w:p>
      <w:pPr>
        <w:ind w:left="200" w:right="300"/>
        <w:spacing w:after="0" w:line="245" w:lineRule="auto"/>
        <w:rPr>
          <w:sz w:val="20"/>
          <w:szCs w:val="20"/>
          <w:color w:val="auto"/>
        </w:rPr>
      </w:pPr>
      <w:r>
        <w:rPr>
          <w:rFonts w:ascii="Arial" w:cs="Arial" w:eastAsia="Arial" w:hAnsi="Arial"/>
          <w:sz w:val="17"/>
          <w:szCs w:val="17"/>
          <w:i w:val="1"/>
          <w:iCs w:val="1"/>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w:t>
      </w:r>
    </w:p>
    <w:p>
      <w:pPr>
        <w:spacing w:after="0" w:line="156"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Securities offered:</w:t>
      </w:r>
      <w:r>
        <w:rPr>
          <w:sz w:val="20"/>
          <w:szCs w:val="20"/>
          <w:color w:val="auto"/>
        </w:rPr>
        <w:tab/>
      </w:r>
      <w:r>
        <w:rPr>
          <w:rFonts w:ascii="Arial" w:cs="Arial" w:eastAsia="Arial" w:hAnsi="Arial"/>
          <w:sz w:val="17"/>
          <w:szCs w:val="17"/>
          <w:color w:val="auto"/>
        </w:rPr>
        <w:t>20,000,000 units, at $10.00 per unit, each unit consisting of:</w:t>
      </w:r>
    </w:p>
    <w:p>
      <w:pPr>
        <w:spacing w:after="0" w:line="212" w:lineRule="exact"/>
        <w:rPr>
          <w:sz w:val="20"/>
          <w:szCs w:val="20"/>
          <w:color w:val="auto"/>
        </w:rPr>
      </w:pPr>
    </w:p>
    <w:p>
      <w:pPr>
        <w:ind w:left="4960" w:hanging="325"/>
        <w:spacing w:after="0"/>
        <w:tabs>
          <w:tab w:leader="none" w:pos="49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one Class A ordinary share;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one-half of one redeemable warrant.</w:t>
      </w:r>
    </w:p>
    <w:p>
      <w:pPr>
        <w:sectPr>
          <w:pgSz w:w="11900" w:h="16838" w:orient="portrait"/>
          <w:cols w:equalWidth="0" w:num="1">
            <w:col w:w="11040"/>
          </w:cols>
          <w:pgMar w:left="320" w:top="455" w:right="53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Trading commencement and separation of</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Units: “VIHAU”</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“VIH”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Warrants: “VIHAW”</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6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080" w:space="24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40"/>
          </w:cols>
          <w:pgMar w:left="320" w:top="455" w:right="5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64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3700" w:type="dxa"/>
            <w:vAlign w:val="bottom"/>
          </w:tcPr>
          <w:p>
            <w:pPr>
              <w:spacing w:after="0"/>
              <w:rPr>
                <w:sz w:val="20"/>
                <w:szCs w:val="20"/>
                <w:color w:val="auto"/>
              </w:rPr>
            </w:pPr>
            <w:r>
              <w:rPr>
                <w:rFonts w:ascii="Arial" w:cs="Arial" w:eastAsia="Arial" w:hAnsi="Arial"/>
                <w:sz w:val="17"/>
                <w:szCs w:val="17"/>
                <w:b w:val="1"/>
                <w:bCs w:val="1"/>
                <w:color w:val="auto"/>
              </w:rPr>
              <w:t>Units:</w:t>
            </w:r>
          </w:p>
        </w:tc>
        <w:tc>
          <w:tcPr>
            <w:tcW w:w="1800" w:type="dxa"/>
            <w:vAlign w:val="bottom"/>
          </w:tcPr>
          <w:p>
            <w:pPr>
              <w:spacing w:after="0"/>
              <w:rPr>
                <w:sz w:val="21"/>
                <w:szCs w:val="21"/>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0</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20,000,000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rPr>
              <w:t>(1)</w:t>
            </w:r>
          </w:p>
        </w:tc>
      </w:tr>
      <w:tr>
        <w:trPr>
          <w:trHeight w:val="378"/>
        </w:trPr>
        <w:tc>
          <w:tcPr>
            <w:tcW w:w="3700" w:type="dxa"/>
            <w:vAlign w:val="bottom"/>
          </w:tcPr>
          <w:p>
            <w:pPr>
              <w:spacing w:after="0"/>
              <w:rPr>
                <w:sz w:val="20"/>
                <w:szCs w:val="20"/>
                <w:color w:val="auto"/>
              </w:rPr>
            </w:pPr>
            <w:r>
              <w:rPr>
                <w:rFonts w:ascii="Arial" w:cs="Arial" w:eastAsia="Arial" w:hAnsi="Arial"/>
                <w:sz w:val="17"/>
                <w:szCs w:val="17"/>
                <w:b w:val="1"/>
                <w:bCs w:val="1"/>
                <w:color w:val="auto"/>
              </w:rPr>
              <w:t>Ordinary shares:</w:t>
            </w:r>
          </w:p>
        </w:tc>
        <w:tc>
          <w:tcPr>
            <w:tcW w:w="1800" w:type="dxa"/>
            <w:vAlign w:val="bottom"/>
          </w:tcPr>
          <w:p>
            <w:pPr>
              <w:spacing w:after="0"/>
              <w:rPr>
                <w:sz w:val="24"/>
                <w:szCs w:val="24"/>
                <w:color w:val="auto"/>
              </w:rPr>
            </w:pPr>
          </w:p>
        </w:tc>
      </w:tr>
      <w:tr>
        <w:trPr>
          <w:trHeight w:val="392"/>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before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5,750,000</w:t>
            </w:r>
            <w:r>
              <w:rPr>
                <w:rFonts w:ascii="Arial" w:cs="Arial" w:eastAsia="Arial" w:hAnsi="Arial"/>
                <w:sz w:val="14"/>
                <w:szCs w:val="14"/>
                <w:color w:val="auto"/>
              </w:rPr>
              <w:t>(2)(3)</w:t>
            </w:r>
          </w:p>
        </w:tc>
      </w:tr>
      <w:tr>
        <w:trPr>
          <w:trHeight w:val="196"/>
        </w:trPr>
        <w:tc>
          <w:tcPr>
            <w:tcW w:w="3700" w:type="dxa"/>
            <w:vAlign w:val="bottom"/>
          </w:tcPr>
          <w:p>
            <w:pPr>
              <w:spacing w:after="0"/>
              <w:rPr>
                <w:sz w:val="20"/>
                <w:szCs w:val="20"/>
                <w:color w:val="auto"/>
              </w:rPr>
            </w:pPr>
            <w:r>
              <w:rPr>
                <w:rFonts w:ascii="Arial" w:cs="Arial" w:eastAsia="Arial" w:hAnsi="Arial"/>
                <w:sz w:val="17"/>
                <w:szCs w:val="17"/>
                <w:b w:val="1"/>
                <w:bCs w:val="1"/>
                <w:color w:val="auto"/>
              </w:rPr>
              <w:t>Number outstanding after this offering</w:t>
            </w:r>
          </w:p>
        </w:tc>
        <w:tc>
          <w:tcPr>
            <w:tcW w:w="1800" w:type="dxa"/>
            <w:vAlign w:val="bottom"/>
          </w:tcPr>
          <w:p>
            <w:pPr>
              <w:ind w:left="420"/>
              <w:spacing w:after="0"/>
              <w:rPr>
                <w:sz w:val="20"/>
                <w:szCs w:val="20"/>
                <w:color w:val="auto"/>
              </w:rPr>
            </w:pPr>
            <w:r>
              <w:rPr>
                <w:rFonts w:ascii="Arial" w:cs="Arial" w:eastAsia="Arial" w:hAnsi="Arial"/>
                <w:sz w:val="17"/>
                <w:szCs w:val="17"/>
                <w:color w:val="auto"/>
              </w:rPr>
              <w:t>25,000,000</w:t>
            </w:r>
          </w:p>
        </w:tc>
      </w:tr>
      <w:tr>
        <w:trPr>
          <w:trHeight w:val="195"/>
        </w:trPr>
        <w:tc>
          <w:tcPr>
            <w:tcW w:w="3700" w:type="dxa"/>
            <w:vAlign w:val="bottom"/>
          </w:tcPr>
          <w:p>
            <w:pPr>
              <w:spacing w:after="0"/>
              <w:rPr>
                <w:sz w:val="16"/>
                <w:szCs w:val="16"/>
                <w:color w:val="auto"/>
              </w:rPr>
            </w:pPr>
          </w:p>
        </w:tc>
        <w:tc>
          <w:tcPr>
            <w:tcW w:w="1800" w:type="dxa"/>
            <w:vAlign w:val="bottom"/>
          </w:tcPr>
          <w:p>
            <w:pPr>
              <w:ind w:left="1260"/>
              <w:spacing w:after="0"/>
              <w:rPr>
                <w:sz w:val="20"/>
                <w:szCs w:val="20"/>
                <w:color w:val="auto"/>
              </w:rPr>
            </w:pPr>
            <w:r>
              <w:rPr>
                <w:rFonts w:ascii="Arial" w:cs="Arial" w:eastAsia="Arial" w:hAnsi="Arial"/>
                <w:sz w:val="15"/>
                <w:szCs w:val="15"/>
                <w:color w:val="auto"/>
                <w:w w:val="94"/>
              </w:rPr>
              <w:t>(1)(3)(4)</w:t>
            </w: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Warrants:</w:t>
      </w:r>
    </w:p>
    <w:p>
      <w:pPr>
        <w:sectPr>
          <w:pgSz w:w="11900" w:h="16838" w:orient="portrait"/>
          <w:cols w:equalWidth="0" w:num="1">
            <w:col w:w="10960"/>
          </w:cols>
          <w:pgMar w:left="320" w:top="455" w:right="619" w:bottom="1440" w:gutter="0" w:footer="0" w:header="0"/>
        </w:sectPr>
      </w:pPr>
    </w:p>
    <w:p>
      <w:pPr>
        <w:spacing w:after="0" w:line="196"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Number of private placement warrants to be sold in a private placement simultaneously with this offering</w:t>
      </w:r>
    </w:p>
    <w:p>
      <w:pPr>
        <w:spacing w:after="0" w:line="145" w:lineRule="exact"/>
        <w:rPr>
          <w:sz w:val="20"/>
          <w:szCs w:val="20"/>
          <w:color w:val="auto"/>
        </w:rPr>
      </w:pPr>
    </w:p>
    <w:p>
      <w:pPr>
        <w:ind w:left="280" w:right="100" w:hanging="80"/>
        <w:spacing w:after="0" w:line="290" w:lineRule="auto"/>
        <w:rPr>
          <w:sz w:val="20"/>
          <w:szCs w:val="20"/>
          <w:color w:val="auto"/>
        </w:rPr>
      </w:pPr>
      <w:r>
        <w:rPr>
          <w:rFonts w:ascii="Arial" w:cs="Arial" w:eastAsia="Arial" w:hAnsi="Arial"/>
          <w:sz w:val="17"/>
          <w:szCs w:val="17"/>
          <w:b w:val="1"/>
          <w:bCs w:val="1"/>
          <w:color w:val="auto"/>
        </w:rPr>
        <w:t>Number of warrants to be outstanding after this offering and the private placement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Exercisability:</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6,000,000</w:t>
      </w:r>
      <w:r>
        <w:rPr>
          <w:rFonts w:ascii="Arial" w:cs="Arial" w:eastAsia="Arial" w:hAnsi="Arial"/>
          <w:sz w:val="14"/>
          <w:szCs w:val="14"/>
          <w:color w:val="auto"/>
        </w:rPr>
        <w:t>(1)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16,000,000</w:t>
      </w:r>
      <w:r>
        <w:rPr>
          <w:rFonts w:ascii="Arial" w:cs="Arial" w:eastAsia="Arial" w:hAnsi="Arial"/>
          <w:sz w:val="14"/>
          <w:szCs w:val="14"/>
          <w:color w:val="auto"/>
        </w:rPr>
        <w:t>(1)(5)</w:t>
      </w:r>
    </w:p>
    <w:p>
      <w:pPr>
        <w:spacing w:after="0" w:line="399" w:lineRule="exact"/>
        <w:rPr>
          <w:sz w:val="20"/>
          <w:szCs w:val="20"/>
          <w:color w:val="auto"/>
        </w:rPr>
      </w:pPr>
    </w:p>
    <w:p>
      <w:pPr>
        <w:jc w:val="both"/>
        <w:ind w:right="420"/>
        <w:spacing w:after="0" w:line="253" w:lineRule="auto"/>
        <w:rPr>
          <w:sz w:val="20"/>
          <w:szCs w:val="20"/>
          <w:color w:val="auto"/>
        </w:rPr>
      </w:pPr>
      <w:r>
        <w:rPr>
          <w:rFonts w:ascii="Arial" w:cs="Arial" w:eastAsia="Arial" w:hAnsi="Arial"/>
          <w:sz w:val="17"/>
          <w:szCs w:val="17"/>
          <w:color w:val="auto"/>
        </w:rPr>
        <w:t>Each whole warrant offered in this offering is exercisable to purchase one Class A ordinary share. Only whole warrants are exercisable. No fractional warrants will be issued upon separation of the units and only whole warrants will trade.</w:t>
      </w:r>
    </w:p>
    <w:p>
      <w:pPr>
        <w:spacing w:after="0" w:line="1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structured each unit to contain one-half of one warrant, with each whole warrant exercisable for one Class A ordinary share,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68" w:lineRule="exact"/>
        <w:rPr>
          <w:sz w:val="20"/>
          <w:szCs w:val="20"/>
          <w:color w:val="auto"/>
        </w:rPr>
      </w:pPr>
    </w:p>
    <w:p>
      <w:pPr>
        <w:sectPr>
          <w:pgSz w:w="11900" w:h="16838" w:orient="portrait"/>
          <w:cols w:equalWidth="0" w:num="2">
            <w:col w:w="4160" w:space="160"/>
            <w:col w:w="6640"/>
          </w:cols>
          <w:pgMar w:left="320" w:top="455" w:right="619" w:bottom="1440" w:gutter="0" w:footer="0" w:header="0"/>
          <w:type w:val="continuous"/>
        </w:sectPr>
      </w:pPr>
    </w:p>
    <w:p>
      <w:pPr>
        <w:ind w:left="620" w:hanging="291"/>
        <w:spacing w:after="0"/>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Assumes no exercise of the underwriters’ over-allotment option and 750,000 founder shares are surrendered to us for no consideration.</w:t>
      </w:r>
    </w:p>
    <w:p>
      <w:pPr>
        <w:ind w:left="620" w:right="40" w:hanging="291"/>
        <w:spacing w:after="0" w:line="182" w:lineRule="auto"/>
        <w:tabs>
          <w:tab w:leader="none" w:pos="6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Includes up to 750,000 founder shares that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jc w:val="both"/>
        <w:ind w:left="620" w:right="380" w:hanging="291"/>
        <w:spacing w:after="0" w:line="204" w:lineRule="auto"/>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Comprised of 20,000,000 Class A ordinary shares included in the units to be sold in this offering and 5,000,000 Class B ordinary shares (or founder shares). Founder shares are currently classified as Class B ordinary shares, which shares will automatically convert into Class A ordinary shares concurrently with or immediately following the consummation of our initial business combination on a one-for-one basis, subject to adjustment as described below adjacent to the caption “Founder shares conversion and anti-dilution rights.”</w:t>
      </w:r>
    </w:p>
    <w:p>
      <w:pPr>
        <w:spacing w:after="0" w:line="2" w:lineRule="exact"/>
        <w:rPr>
          <w:rFonts w:ascii="Arial" w:cs="Arial" w:eastAsia="Arial" w:hAnsi="Arial"/>
          <w:sz w:val="24"/>
          <w:szCs w:val="24"/>
          <w:color w:val="auto"/>
          <w:vertAlign w:val="superscript"/>
        </w:rPr>
      </w:pPr>
    </w:p>
    <w:p>
      <w:pPr>
        <w:ind w:left="620" w:right="140" w:hanging="291"/>
        <w:spacing w:after="0" w:line="182" w:lineRule="auto"/>
        <w:tabs>
          <w:tab w:leader="none" w:pos="620" w:val="left"/>
        </w:tabs>
        <w:numPr>
          <w:ilvl w:val="0"/>
          <w:numId w:val="7"/>
        </w:numPr>
        <w:rPr>
          <w:rFonts w:ascii="Arial" w:cs="Arial" w:eastAsia="Arial" w:hAnsi="Arial"/>
          <w:sz w:val="23"/>
          <w:szCs w:val="23"/>
          <w:color w:val="auto"/>
          <w:vertAlign w:val="superscript"/>
        </w:rPr>
      </w:pPr>
      <w:r>
        <w:rPr>
          <w:rFonts w:ascii="Arial" w:cs="Arial" w:eastAsia="Arial" w:hAnsi="Arial"/>
          <w:sz w:val="14"/>
          <w:szCs w:val="14"/>
          <w:color w:val="auto"/>
        </w:rPr>
        <w:t>Assumes surrender of all 750,000 founder shares. Up to 750,000 founder shares will be surrendered to us for no consideration depending on the extent to which the underwriters’ over-allotment option is exercised.</w:t>
      </w:r>
    </w:p>
    <w:p>
      <w:pPr>
        <w:spacing w:after="0" w:line="1" w:lineRule="exact"/>
        <w:rPr>
          <w:rFonts w:ascii="Arial" w:cs="Arial" w:eastAsia="Arial" w:hAnsi="Arial"/>
          <w:sz w:val="23"/>
          <w:szCs w:val="23"/>
          <w:color w:val="auto"/>
          <w:vertAlign w:val="superscript"/>
        </w:rPr>
      </w:pPr>
    </w:p>
    <w:p>
      <w:pPr>
        <w:ind w:left="620" w:right="540" w:hanging="291"/>
        <w:spacing w:after="0" w:line="185" w:lineRule="auto"/>
        <w:tabs>
          <w:tab w:leader="none" w:pos="6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Comprised of 10,000,000 public warrants included in the units to be sold in this offering and 6,000,000 private placement warrants to be sold in the private placement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455" w:right="6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18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price:</w:t>
      </w:r>
      <w:r>
        <w:rPr>
          <w:sz w:val="20"/>
          <w:szCs w:val="20"/>
          <w:color w:val="auto"/>
        </w:rPr>
        <w:tab/>
      </w:r>
      <w:r>
        <w:rPr>
          <w:rFonts w:ascii="Arial" w:cs="Arial" w:eastAsia="Arial" w:hAnsi="Arial"/>
          <w:sz w:val="17"/>
          <w:szCs w:val="17"/>
          <w:color w:val="auto"/>
        </w:rPr>
        <w:t>$11.50 per share, subject to adjustments as described herein.</w:t>
      </w:r>
    </w:p>
    <w:p>
      <w:pPr>
        <w:spacing w:after="0" w:line="21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In addition, if (x) we issue additional Class A ordinary shares or equity-linked securities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for capital raising purposes in connection with the closing of our initial business</w:t>
      </w:r>
    </w:p>
    <w:p>
      <w:pPr>
        <w:ind w:left="4320"/>
        <w:spacing w:after="0" w:line="232" w:lineRule="auto"/>
        <w:rPr>
          <w:sz w:val="20"/>
          <w:szCs w:val="20"/>
          <w:color w:val="auto"/>
        </w:rPr>
      </w:pPr>
      <w:r>
        <w:rPr>
          <w:rFonts w:ascii="Arial" w:cs="Arial" w:eastAsia="Arial" w:hAnsi="Arial"/>
          <w:sz w:val="17"/>
          <w:szCs w:val="17"/>
          <w:color w:val="auto"/>
        </w:rPr>
        <w:t>combination at an issue price or effective issue price of less than $9.20 per Class A</w:t>
      </w:r>
    </w:p>
    <w:p>
      <w:pPr>
        <w:ind w:left="4320"/>
        <w:spacing w:after="0" w:line="232" w:lineRule="auto"/>
        <w:rPr>
          <w:sz w:val="20"/>
          <w:szCs w:val="20"/>
          <w:color w:val="auto"/>
        </w:rPr>
      </w:pPr>
      <w:r>
        <w:rPr>
          <w:rFonts w:ascii="Arial" w:cs="Arial" w:eastAsia="Arial" w:hAnsi="Arial"/>
          <w:sz w:val="17"/>
          <w:szCs w:val="17"/>
          <w:color w:val="auto"/>
        </w:rPr>
        <w:t>ordinary share (with such issue price or effective issue price to be determined in good</w:t>
      </w:r>
    </w:p>
    <w:p>
      <w:pPr>
        <w:ind w:left="4320"/>
        <w:spacing w:after="0" w:line="232" w:lineRule="auto"/>
        <w:rPr>
          <w:sz w:val="20"/>
          <w:szCs w:val="20"/>
          <w:color w:val="auto"/>
        </w:rPr>
      </w:pPr>
      <w:r>
        <w:rPr>
          <w:rFonts w:ascii="Arial" w:cs="Arial" w:eastAsia="Arial" w:hAnsi="Arial"/>
          <w:sz w:val="17"/>
          <w:szCs w:val="17"/>
          <w:color w:val="auto"/>
        </w:rPr>
        <w:t>faith by our board of directors and, in the case of any such issuance to our initial</w:t>
      </w:r>
    </w:p>
    <w:p>
      <w:pPr>
        <w:ind w:left="4320"/>
        <w:spacing w:after="0" w:line="232" w:lineRule="auto"/>
        <w:rPr>
          <w:sz w:val="20"/>
          <w:szCs w:val="20"/>
          <w:color w:val="auto"/>
        </w:rPr>
      </w:pPr>
      <w:r>
        <w:rPr>
          <w:rFonts w:ascii="Arial" w:cs="Arial" w:eastAsia="Arial" w:hAnsi="Arial"/>
          <w:sz w:val="17"/>
          <w:szCs w:val="17"/>
          <w:color w:val="auto"/>
        </w:rPr>
        <w:t>shareholders or their affiliates, without taking into account any founder shares held by</w:t>
      </w:r>
    </w:p>
    <w:p>
      <w:pPr>
        <w:ind w:left="4320"/>
        <w:spacing w:after="0" w:line="232" w:lineRule="auto"/>
        <w:rPr>
          <w:sz w:val="20"/>
          <w:szCs w:val="20"/>
          <w:color w:val="auto"/>
        </w:rPr>
      </w:pPr>
      <w:r>
        <w:rPr>
          <w:rFonts w:ascii="Arial" w:cs="Arial" w:eastAsia="Arial" w:hAnsi="Arial"/>
          <w:sz w:val="17"/>
          <w:szCs w:val="17"/>
          <w:color w:val="auto"/>
        </w:rPr>
        <w:t>our initial shareholders or such affiliates, as applicable, prior to such issuance) (the</w:t>
      </w:r>
    </w:p>
    <w:p>
      <w:pPr>
        <w:ind w:left="4320"/>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Newly Issued Price</w:t>
      </w:r>
      <w:r>
        <w:rPr>
          <w:rFonts w:ascii="Arial" w:cs="Arial" w:eastAsia="Arial" w:hAnsi="Arial"/>
          <w:sz w:val="17"/>
          <w:szCs w:val="17"/>
          <w:color w:val="auto"/>
        </w:rPr>
        <w:t>”), (y) the aggregate gross proceeds from such issuances represent</w:t>
      </w:r>
    </w:p>
    <w:p>
      <w:pPr>
        <w:ind w:left="4320"/>
        <w:spacing w:after="0" w:line="232" w:lineRule="auto"/>
        <w:rPr>
          <w:sz w:val="20"/>
          <w:szCs w:val="20"/>
          <w:color w:val="auto"/>
        </w:rPr>
      </w:pPr>
      <w:r>
        <w:rPr>
          <w:rFonts w:ascii="Arial" w:cs="Arial" w:eastAsia="Arial" w:hAnsi="Arial"/>
          <w:sz w:val="17"/>
          <w:szCs w:val="17"/>
          <w:color w:val="auto"/>
        </w:rPr>
        <w:t>more than 60% of the total equity proceeds, and interest thereon, available for the</w:t>
      </w:r>
    </w:p>
    <w:p>
      <w:pPr>
        <w:ind w:left="4320"/>
        <w:spacing w:after="0" w:line="232" w:lineRule="auto"/>
        <w:rPr>
          <w:sz w:val="20"/>
          <w:szCs w:val="20"/>
          <w:color w:val="auto"/>
        </w:rPr>
      </w:pPr>
      <w:r>
        <w:rPr>
          <w:rFonts w:ascii="Arial" w:cs="Arial" w:eastAsia="Arial" w:hAnsi="Arial"/>
          <w:sz w:val="17"/>
          <w:szCs w:val="17"/>
          <w:color w:val="auto"/>
        </w:rPr>
        <w:t>funding of our initial business combination on the date of the consummation of our initial</w:t>
      </w:r>
    </w:p>
    <w:p>
      <w:pPr>
        <w:ind w:left="4320"/>
        <w:spacing w:after="0" w:line="232" w:lineRule="auto"/>
        <w:rPr>
          <w:sz w:val="20"/>
          <w:szCs w:val="20"/>
          <w:color w:val="auto"/>
        </w:rPr>
      </w:pPr>
      <w:r>
        <w:rPr>
          <w:rFonts w:ascii="Arial" w:cs="Arial" w:eastAsia="Arial" w:hAnsi="Arial"/>
          <w:sz w:val="17"/>
          <w:szCs w:val="17"/>
          <w:color w:val="auto"/>
        </w:rPr>
        <w:t>business combination (net of redemptions), and (z) the volume weighted average trading</w:t>
      </w:r>
    </w:p>
    <w:p>
      <w:pPr>
        <w:ind w:left="4320"/>
        <w:spacing w:after="0" w:line="232" w:lineRule="auto"/>
        <w:rPr>
          <w:sz w:val="20"/>
          <w:szCs w:val="20"/>
          <w:color w:val="auto"/>
        </w:rPr>
      </w:pPr>
      <w:r>
        <w:rPr>
          <w:rFonts w:ascii="Arial" w:cs="Arial" w:eastAsia="Arial" w:hAnsi="Arial"/>
          <w:sz w:val="17"/>
          <w:szCs w:val="17"/>
          <w:color w:val="auto"/>
        </w:rPr>
        <w:t>price of our Class A ordinary shares during the 10 trading day period starting on the</w:t>
      </w:r>
    </w:p>
    <w:p>
      <w:pPr>
        <w:ind w:left="4320"/>
        <w:spacing w:after="0" w:line="232" w:lineRule="auto"/>
        <w:rPr>
          <w:sz w:val="20"/>
          <w:szCs w:val="20"/>
          <w:color w:val="auto"/>
        </w:rPr>
      </w:pPr>
      <w:r>
        <w:rPr>
          <w:rFonts w:ascii="Arial" w:cs="Arial" w:eastAsia="Arial" w:hAnsi="Arial"/>
          <w:sz w:val="17"/>
          <w:szCs w:val="17"/>
          <w:color w:val="auto"/>
        </w:rPr>
        <w:t>trading day prior to the day on which we consummate our initial business combination</w:t>
      </w:r>
    </w:p>
    <w:p>
      <w:pPr>
        <w:ind w:left="4320"/>
        <w:spacing w:after="0" w:line="232" w:lineRule="auto"/>
        <w:rPr>
          <w:sz w:val="20"/>
          <w:szCs w:val="20"/>
          <w:color w:val="auto"/>
        </w:rPr>
      </w:pPr>
      <w:r>
        <w:rPr>
          <w:rFonts w:ascii="Arial" w:cs="Arial" w:eastAsia="Arial" w:hAnsi="Arial"/>
          <w:sz w:val="17"/>
          <w:szCs w:val="17"/>
          <w:color w:val="auto"/>
        </w:rPr>
        <w:t>(such price, the “</w:t>
      </w:r>
      <w:r>
        <w:rPr>
          <w:rFonts w:ascii="Arial" w:cs="Arial" w:eastAsia="Arial" w:hAnsi="Arial"/>
          <w:sz w:val="17"/>
          <w:szCs w:val="17"/>
          <w:b w:val="1"/>
          <w:bCs w:val="1"/>
          <w:color w:val="auto"/>
        </w:rPr>
        <w:t>Market Value</w:t>
      </w:r>
      <w:r>
        <w:rPr>
          <w:rFonts w:ascii="Arial" w:cs="Arial" w:eastAsia="Arial" w:hAnsi="Arial"/>
          <w:sz w:val="17"/>
          <w:szCs w:val="17"/>
          <w:color w:val="auto"/>
        </w:rPr>
        <w:t>”) is below $9.20 per share, then the exercise price of the</w:t>
      </w:r>
    </w:p>
    <w:p>
      <w:pPr>
        <w:ind w:left="4320"/>
        <w:spacing w:after="0" w:line="232" w:lineRule="auto"/>
        <w:rPr>
          <w:sz w:val="20"/>
          <w:szCs w:val="20"/>
          <w:color w:val="auto"/>
        </w:rPr>
      </w:pPr>
      <w:r>
        <w:rPr>
          <w:rFonts w:ascii="Arial" w:cs="Arial" w:eastAsia="Arial" w:hAnsi="Arial"/>
          <w:sz w:val="17"/>
          <w:szCs w:val="17"/>
          <w:color w:val="auto"/>
        </w:rPr>
        <w:t>warrants will be adjusted (to the nearest cent) to be equal to 115% of the higher of the</w:t>
      </w:r>
    </w:p>
    <w:p>
      <w:pPr>
        <w:ind w:left="4320"/>
        <w:spacing w:after="0" w:line="232" w:lineRule="auto"/>
        <w:rPr>
          <w:sz w:val="20"/>
          <w:szCs w:val="20"/>
          <w:color w:val="auto"/>
        </w:rPr>
      </w:pPr>
      <w:r>
        <w:rPr>
          <w:rFonts w:ascii="Arial" w:cs="Arial" w:eastAsia="Arial" w:hAnsi="Arial"/>
          <w:sz w:val="17"/>
          <w:szCs w:val="17"/>
          <w:color w:val="auto"/>
        </w:rPr>
        <w:t>Market Value and the Newly Issued Price, and the $18.00 per share redemption trigger</w:t>
      </w:r>
    </w:p>
    <w:p>
      <w:pPr>
        <w:ind w:left="4320"/>
        <w:spacing w:after="0" w:line="232" w:lineRule="auto"/>
        <w:rPr>
          <w:sz w:val="20"/>
          <w:szCs w:val="20"/>
          <w:color w:val="auto"/>
        </w:rPr>
      </w:pPr>
      <w:r>
        <w:rPr>
          <w:rFonts w:ascii="Arial" w:cs="Arial" w:eastAsia="Arial" w:hAnsi="Arial"/>
          <w:sz w:val="17"/>
          <w:szCs w:val="17"/>
          <w:color w:val="auto"/>
        </w:rPr>
        <w:t>prices described below under “Redemption of warrants when the price per Class A</w:t>
      </w:r>
    </w:p>
    <w:p>
      <w:pPr>
        <w:ind w:left="4320"/>
        <w:spacing w:after="0" w:line="232" w:lineRule="auto"/>
        <w:rPr>
          <w:sz w:val="20"/>
          <w:szCs w:val="20"/>
          <w:color w:val="auto"/>
        </w:rPr>
      </w:pPr>
      <w:r>
        <w:rPr>
          <w:rFonts w:ascii="Arial" w:cs="Arial" w:eastAsia="Arial" w:hAnsi="Arial"/>
          <w:sz w:val="17"/>
          <w:szCs w:val="17"/>
          <w:color w:val="auto"/>
        </w:rPr>
        <w:t>ordinary share equals or exceeds $18.00” and “Redemption of warrants when the price</w:t>
      </w:r>
    </w:p>
    <w:p>
      <w:pPr>
        <w:ind w:left="4320"/>
        <w:spacing w:after="0" w:line="232" w:lineRule="auto"/>
        <w:rPr>
          <w:sz w:val="20"/>
          <w:szCs w:val="20"/>
          <w:color w:val="auto"/>
        </w:rPr>
      </w:pPr>
      <w:r>
        <w:rPr>
          <w:rFonts w:ascii="Arial" w:cs="Arial" w:eastAsia="Arial" w:hAnsi="Arial"/>
          <w:sz w:val="17"/>
          <w:szCs w:val="17"/>
          <w:color w:val="auto"/>
        </w:rPr>
        <w:t>per Class A ordinary share equals or exceeds $10.00” will be adjusted (to the nearest</w:t>
      </w:r>
    </w:p>
    <w:p>
      <w:pPr>
        <w:ind w:left="4320"/>
        <w:spacing w:after="0" w:line="232" w:lineRule="auto"/>
        <w:rPr>
          <w:sz w:val="20"/>
          <w:szCs w:val="20"/>
          <w:color w:val="auto"/>
        </w:rPr>
      </w:pPr>
      <w:r>
        <w:rPr>
          <w:rFonts w:ascii="Arial" w:cs="Arial" w:eastAsia="Arial" w:hAnsi="Arial"/>
          <w:sz w:val="17"/>
          <w:szCs w:val="17"/>
          <w:color w:val="auto"/>
        </w:rPr>
        <w:t>cent) to be equal to 180% of the higher of the Market Value and the Newly Issued Price,</w:t>
      </w:r>
    </w:p>
    <w:p>
      <w:pPr>
        <w:ind w:left="4320"/>
        <w:spacing w:after="0" w:line="232" w:lineRule="auto"/>
        <w:rPr>
          <w:sz w:val="20"/>
          <w:szCs w:val="20"/>
          <w:color w:val="auto"/>
        </w:rPr>
      </w:pPr>
      <w:r>
        <w:rPr>
          <w:rFonts w:ascii="Arial" w:cs="Arial" w:eastAsia="Arial" w:hAnsi="Arial"/>
          <w:sz w:val="17"/>
          <w:szCs w:val="17"/>
          <w:color w:val="auto"/>
        </w:rPr>
        <w:t>and the $10.00 per share redemption trigger price described adjacent to the caption</w:t>
      </w:r>
    </w:p>
    <w:p>
      <w:pPr>
        <w:ind w:left="4320"/>
        <w:spacing w:after="0" w:line="233" w:lineRule="auto"/>
        <w:rPr>
          <w:sz w:val="20"/>
          <w:szCs w:val="20"/>
          <w:color w:val="auto"/>
        </w:rPr>
      </w:pPr>
      <w:r>
        <w:rPr>
          <w:rFonts w:ascii="Arial" w:cs="Arial" w:eastAsia="Arial" w:hAnsi="Arial"/>
          <w:sz w:val="17"/>
          <w:szCs w:val="17"/>
          <w:color w:val="auto"/>
        </w:rPr>
        <w:t>“Redemption of warrants when the price per Class A ordinary share equals or exceeds</w:t>
      </w:r>
    </w:p>
    <w:p>
      <w:pPr>
        <w:ind w:left="4320"/>
        <w:spacing w:after="0" w:line="232" w:lineRule="auto"/>
        <w:rPr>
          <w:sz w:val="20"/>
          <w:szCs w:val="20"/>
          <w:color w:val="auto"/>
        </w:rPr>
      </w:pPr>
      <w:r>
        <w:rPr>
          <w:rFonts w:ascii="Arial" w:cs="Arial" w:eastAsia="Arial" w:hAnsi="Arial"/>
          <w:sz w:val="17"/>
          <w:szCs w:val="17"/>
          <w:color w:val="auto"/>
        </w:rPr>
        <w:t>$10.00” will be adjusted (to the nearest cent) to be equal to the higher of the Market</w:t>
      </w:r>
    </w:p>
    <w:p>
      <w:pPr>
        <w:ind w:left="4320"/>
        <w:spacing w:after="0"/>
        <w:rPr>
          <w:sz w:val="20"/>
          <w:szCs w:val="20"/>
          <w:color w:val="auto"/>
        </w:rPr>
      </w:pPr>
      <w:r>
        <w:rPr>
          <w:rFonts w:ascii="Arial" w:cs="Arial" w:eastAsia="Arial" w:hAnsi="Arial"/>
          <w:sz w:val="17"/>
          <w:szCs w:val="17"/>
          <w:color w:val="auto"/>
        </w:rPr>
        <w:t>Value and the Newly Issued Price.</w:t>
      </w:r>
    </w:p>
    <w:p>
      <w:pPr>
        <w:spacing w:after="0" w:line="172" w:lineRule="exact"/>
        <w:rPr>
          <w:sz w:val="20"/>
          <w:szCs w:val="20"/>
          <w:color w:val="auto"/>
        </w:rPr>
      </w:pPr>
    </w:p>
    <w:p>
      <w:pPr>
        <w:ind w:left="200"/>
        <w:spacing w:after="0"/>
        <w:tabs>
          <w:tab w:leader="none" w:pos="4300" w:val="left"/>
        </w:tabs>
        <w:rPr>
          <w:sz w:val="20"/>
          <w:szCs w:val="20"/>
          <w:color w:val="auto"/>
        </w:rPr>
      </w:pPr>
      <w:r>
        <w:rPr>
          <w:rFonts w:ascii="Arial" w:cs="Arial" w:eastAsia="Arial" w:hAnsi="Arial"/>
          <w:sz w:val="17"/>
          <w:szCs w:val="17"/>
          <w:b w:val="1"/>
          <w:bCs w:val="1"/>
          <w:color w:val="auto"/>
        </w:rPr>
        <w:t>Exercise period:</w:t>
      </w:r>
      <w:r>
        <w:rPr>
          <w:sz w:val="20"/>
          <w:szCs w:val="20"/>
          <w:color w:val="auto"/>
        </w:rPr>
        <w:tab/>
      </w:r>
      <w:r>
        <w:rPr>
          <w:rFonts w:ascii="Arial" w:cs="Arial" w:eastAsia="Arial" w:hAnsi="Arial"/>
          <w:sz w:val="17"/>
          <w:szCs w:val="17"/>
          <w:color w:val="auto"/>
        </w:rPr>
        <w:t>The warrants will become exercisable on the later of:</w:t>
      </w:r>
    </w:p>
    <w:p>
      <w:pPr>
        <w:spacing w:after="0" w:line="212" w:lineRule="exact"/>
        <w:rPr>
          <w:sz w:val="20"/>
          <w:szCs w:val="20"/>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30 days after the completion of our initial business combination, and</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12 months from the closing of this offering;</w:t>
      </w:r>
    </w:p>
    <w:p>
      <w:pPr>
        <w:spacing w:after="0" w:line="219" w:lineRule="exact"/>
        <w:rPr>
          <w:sz w:val="20"/>
          <w:szCs w:val="20"/>
          <w:color w:val="auto"/>
        </w:rPr>
      </w:pPr>
    </w:p>
    <w:p>
      <w:pPr>
        <w:ind w:left="4320"/>
        <w:spacing w:after="0" w:line="237" w:lineRule="auto"/>
        <w:rPr>
          <w:sz w:val="20"/>
          <w:szCs w:val="20"/>
          <w:color w:val="auto"/>
        </w:rPr>
      </w:pPr>
      <w:r>
        <w:rPr>
          <w:rFonts w:ascii="Arial" w:cs="Arial" w:eastAsia="Arial" w:hAnsi="Arial"/>
          <w:sz w:val="17"/>
          <w:szCs w:val="17"/>
          <w:color w:val="auto"/>
        </w:rPr>
        <w:t>provided in each case that we have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40"/>
          </w:cols>
          <w:pgMar w:left="320" w:top="455" w:right="53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473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w:t>
      </w:r>
      <w:r>
        <w:rPr>
          <w:rFonts w:ascii="Arial" w:cs="Arial" w:eastAsia="Arial" w:hAnsi="Arial"/>
          <w:sz w:val="14"/>
          <w:szCs w:val="14"/>
          <w:color w:val="auto"/>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6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57"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placement warrants):</w:t>
      </w:r>
    </w:p>
    <w:p>
      <w:pPr>
        <w:spacing w:after="0" w:line="146" w:lineRule="exact"/>
        <w:rPr>
          <w:sz w:val="20"/>
          <w:szCs w:val="20"/>
          <w:color w:val="auto"/>
        </w:rPr>
      </w:pPr>
    </w:p>
    <w:p>
      <w:pPr>
        <w:sectPr>
          <w:pgSz w:w="11900" w:h="16838" w:orient="portrait"/>
          <w:cols w:equalWidth="0" w:num="2">
            <w:col w:w="4220" w:space="100"/>
            <w:col w:w="6720"/>
          </w:cols>
          <w:pgMar w:left="320" w:top="455" w:right="539" w:bottom="1440" w:gutter="0" w:footer="0" w:header="0"/>
          <w:type w:val="continuous"/>
        </w:sect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at a price of $0.01 per warrant;</w:t>
      </w:r>
    </w:p>
    <w:p>
      <w:pPr>
        <w:spacing w:after="0" w:line="61" w:lineRule="exact"/>
        <w:rPr>
          <w:rFonts w:ascii="MS PGothic" w:cs="MS PGothic" w:eastAsia="MS PGothic" w:hAnsi="MS PGothic"/>
          <w:sz w:val="17"/>
          <w:szCs w:val="17"/>
          <w:color w:val="auto"/>
        </w:rPr>
      </w:pPr>
    </w:p>
    <w:p>
      <w:pPr>
        <w:ind w:left="4960" w:right="20" w:hanging="325"/>
        <w:spacing w:after="0" w:line="255"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upon a minimum of 30 days’ prior written notice of redemption, which we refer to as the 30-day redemption period; and</w:t>
      </w:r>
    </w:p>
    <w:p>
      <w:pPr>
        <w:ind w:left="4960" w:right="40" w:hanging="325"/>
        <w:spacing w:after="0" w:line="238" w:lineRule="auto"/>
        <w:tabs>
          <w:tab w:leader="none" w:pos="4960"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if, and only if, the last reported sale price (the “</w:t>
      </w:r>
      <w:r>
        <w:rPr>
          <w:rFonts w:ascii="Arial" w:cs="Arial" w:eastAsia="Arial" w:hAnsi="Arial"/>
          <w:sz w:val="17"/>
          <w:szCs w:val="17"/>
          <w:b w:val="1"/>
          <w:bCs w:val="1"/>
          <w:color w:val="auto"/>
        </w:rPr>
        <w:t>closing price</w:t>
      </w:r>
      <w:r>
        <w:rPr>
          <w:rFonts w:ascii="Arial" w:cs="Arial" w:eastAsia="Arial" w:hAnsi="Arial"/>
          <w:sz w:val="17"/>
          <w:szCs w:val="17"/>
          <w:color w:val="auto"/>
        </w:rPr>
        <w:t>”) of our Class A ordinary shares equals or exceeds $18.00 per share (as adjusted for adjustments to the number of shares issuable upon exercise or the exercise price of a warrant as described under the heading “Description of Securities— Warrants—Public Warrants—Redemption Procedures—Anti-dilution Adjustments”)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40"/>
          </w:cols>
          <w:pgMar w:left="320" w:top="455" w:right="539" w:bottom="1440" w:gutter="0" w:footer="0" w:header="0"/>
          <w:type w:val="continuous"/>
        </w:sectPr>
      </w:pPr>
    </w:p>
    <w:bookmarkStart w:id="16" w:name="page17"/>
    <w:bookmarkEnd w:id="1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5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25907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warrants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None of the private placement warrants will be redeemable by us pursuant to the above provision so long as they are held by the sponsor or its permitted transferees.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(except as described herein with respect to the private placement warrants):</w:t>
      </w:r>
    </w:p>
    <w:p>
      <w:pPr>
        <w:spacing w:after="0" w:line="187" w:lineRule="exact"/>
        <w:rPr>
          <w:sz w:val="20"/>
          <w:szCs w:val="20"/>
          <w:color w:val="auto"/>
        </w:rPr>
      </w:pPr>
    </w:p>
    <w:p>
      <w:pPr>
        <w:sectPr>
          <w:pgSz w:w="11900" w:h="16838" w:orient="portrait"/>
          <w:cols w:equalWidth="0" w:num="2">
            <w:col w:w="4240" w:space="80"/>
            <w:col w:w="6720"/>
          </w:cols>
          <w:pgMar w:left="320" w:top="455" w:right="539" w:bottom="1440" w:gutter="0" w:footer="0" w:header="0"/>
          <w:type w:val="continuous"/>
        </w:sectPr>
      </w:pPr>
    </w:p>
    <w:p>
      <w:pPr>
        <w:ind w:left="4960" w:hanging="325"/>
        <w:spacing w:after="0"/>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in whole and not in part;</w:t>
      </w:r>
    </w:p>
    <w:p>
      <w:pPr>
        <w:spacing w:after="0" w:line="64" w:lineRule="exact"/>
        <w:rPr>
          <w:rFonts w:ascii="MS PGothic" w:cs="MS PGothic" w:eastAsia="MS PGothic" w:hAnsi="MS PGothic"/>
          <w:sz w:val="17"/>
          <w:szCs w:val="17"/>
          <w:color w:val="auto"/>
        </w:rPr>
      </w:pPr>
    </w:p>
    <w:p>
      <w:pPr>
        <w:ind w:left="4960" w:hanging="325"/>
        <w:spacing w:after="0"/>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at a price of $0.10 per warrant;</w:t>
      </w:r>
    </w:p>
    <w:p>
      <w:pPr>
        <w:spacing w:after="0" w:line="61" w:lineRule="exact"/>
        <w:rPr>
          <w:rFonts w:ascii="MS PGothic" w:cs="MS PGothic" w:eastAsia="MS PGothic" w:hAnsi="MS PGothic"/>
          <w:sz w:val="17"/>
          <w:szCs w:val="17"/>
          <w:color w:val="auto"/>
        </w:rPr>
      </w:pPr>
    </w:p>
    <w:p>
      <w:pPr>
        <w:ind w:left="4960" w:right="220" w:hanging="325"/>
        <w:spacing w:after="0" w:line="238"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Securities—Warrants—Public Warrants”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below) except as otherwise described in “Description of Securities—Warrants—Public Warrants”;</w:t>
      </w:r>
    </w:p>
    <w:p>
      <w:pPr>
        <w:spacing w:after="0" w:line="4" w:lineRule="exact"/>
        <w:rPr>
          <w:rFonts w:ascii="MS PGothic" w:cs="MS PGothic" w:eastAsia="MS PGothic" w:hAnsi="MS PGothic"/>
          <w:sz w:val="17"/>
          <w:szCs w:val="17"/>
          <w:color w:val="auto"/>
        </w:rPr>
      </w:pPr>
    </w:p>
    <w:p>
      <w:pPr>
        <w:ind w:left="4960" w:right="20" w:hanging="325"/>
        <w:spacing w:after="0" w:line="237"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if, and only if, the closing price of our Class A ordinary shares equals or exceeds $10.00 per public share (as adjusted for adjustments to the number of shares issuable upon exercise or the exercise price of a warrant as described under the heading “Description of Securities—Warrants—Public Warrants—Redemption Procedures—Anti-dilution Adjustments”) for any 20 trading days within the</w:t>
      </w:r>
    </w:p>
    <w:p>
      <w:pPr>
        <w:ind w:left="4960" w:right="300"/>
        <w:spacing w:after="0" w:line="244" w:lineRule="auto"/>
        <w:rPr>
          <w:rFonts w:ascii="MS PGothic" w:cs="MS PGothic" w:eastAsia="MS PGothic" w:hAnsi="MS PGothic"/>
          <w:sz w:val="17"/>
          <w:szCs w:val="17"/>
          <w:color w:val="auto"/>
        </w:rPr>
      </w:pPr>
      <w:r>
        <w:rPr>
          <w:rFonts w:ascii="Arial" w:cs="Arial" w:eastAsia="Arial" w:hAnsi="Arial"/>
          <w:sz w:val="17"/>
          <w:szCs w:val="17"/>
          <w:color w:val="auto"/>
        </w:rPr>
        <w:t>30-trading day period ending three trading days before we send the notice of redemption to the warrant holders; and</w:t>
      </w:r>
    </w:p>
    <w:p>
      <w:pPr>
        <w:ind w:left="4960" w:hanging="325"/>
        <w:spacing w:after="0" w:line="237" w:lineRule="auto"/>
        <w:tabs>
          <w:tab w:leader="none" w:pos="4960" w:val="left"/>
        </w:tabs>
        <w:numPr>
          <w:ilvl w:val="0"/>
          <w:numId w:val="10"/>
        </w:numPr>
        <w:rPr>
          <w:rFonts w:ascii="MS PGothic" w:cs="MS PGothic" w:eastAsia="MS PGothic" w:hAnsi="MS PGothic"/>
          <w:sz w:val="17"/>
          <w:szCs w:val="17"/>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40"/>
          </w:cols>
          <w:pgMar w:left="320" w:top="455" w:right="5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2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for the above purpose shall mean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 volume-weighted average price of our Class A ordinary shares during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days immediately following the date on which the notice of redemption is sent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of warrants. This redemption feature differs from the typical warrant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features used in other blank check company offerings. We will provide our warrant</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holders with the final fair market value no later than one business day after the 10 trading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day period described above ends. In no event will the warrants be exercisable in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connection with this redemption feature for more than 0.361 Class A ordinary shares per</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warrant (subject to adjustment).</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No fractional Class A ordinary shares will be issued upon redemption. If, upon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a holder would be entitled to receive a fractional interest in a share, we will</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round down to the nearest whole number of Class A ordinary shares to be issued to the</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holder. Please see the section entitled “</w:t>
            </w:r>
            <w:r>
              <w:rPr>
                <w:rFonts w:ascii="Arial" w:cs="Arial" w:eastAsia="Arial" w:hAnsi="Arial"/>
                <w:sz w:val="17"/>
                <w:szCs w:val="17"/>
                <w:i w:val="1"/>
                <w:iCs w:val="1"/>
                <w:color w:val="auto"/>
              </w:rPr>
              <w:t>Description of Securities—Warrants—Public</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i w:val="1"/>
                <w:iCs w:val="1"/>
                <w:color w:val="auto"/>
              </w:rPr>
              <w:t>Warrants</w:t>
            </w:r>
            <w:r>
              <w:rPr>
                <w:rFonts w:ascii="Arial" w:cs="Arial" w:eastAsia="Arial" w:hAnsi="Arial"/>
                <w:sz w:val="17"/>
                <w:szCs w:val="17"/>
                <w:color w:val="auto"/>
              </w:rPr>
              <w:t>” for additional information.</w:t>
            </w:r>
          </w:p>
        </w:tc>
      </w:tr>
      <w:tr>
        <w:trPr>
          <w:trHeight w:val="350"/>
        </w:trPr>
        <w:tc>
          <w:tcPr>
            <w:tcW w:w="29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Founder shares:</w:t>
            </w: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On August 3, 2020, our sponsor paid $25,000, or approximately $0.004 per share, to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cover certain of our offering and formation costs in exchange for 5,750,000 founder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shares. In September 2020, our sponsor transferred an aggregate of 60,000 founder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shares to members of our board of directors, resulting in our sponsor holding 5,690,000</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founder shares.</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Prior to the initial investment in the company of $25,000 by the sponsor, the company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had no assets, tangible or intangible. The per share price of the founder shares was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determined by dividing the amount of cash contributed to the company by the number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founder shares issued. The number of founder shares outstanding was determined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based on the expectation that the total size of this offering would be a maximum of</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23,000,000 units if the underwriters’ over-allotment option is exercised in full, and</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therefore that such founder shares would represent 20% of the outstanding shares after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this offering. Up to 750,000 of the founder shares will be surrendered for no</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consideration depending on the extent to which the underwriters’ over-allotment option is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not exercised. If we increase or decrease the size of the offering pursuant to Rule 462(b)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under the Securities Act, we will effect a share capitalization or a share repurchase or</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redemption or other appropriate mechanism, as applicable, with respect to our Class B</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ordinary shares immediately prior to the consummation of the offering in such amount as</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to maintain the ownership of our initial shareholders, on an as-converted basis, at 20.0%</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our issued and outstanding ordinary shares upon the consummation of this offering</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(assuming our initial shareholders do not purchase any units in this offering). Any</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conversion of Class B ordinary shares described herein will take effect as a redemption</w:t>
            </w:r>
          </w:p>
        </w:tc>
      </w:tr>
      <w:tr>
        <w:trPr>
          <w:trHeight w:val="189"/>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1400"/>
              <w:spacing w:after="0" w:line="189" w:lineRule="exact"/>
              <w:rPr>
                <w:sz w:val="20"/>
                <w:szCs w:val="20"/>
                <w:color w:val="auto"/>
              </w:rPr>
            </w:pPr>
            <w:r>
              <w:rPr>
                <w:rFonts w:ascii="Arial" w:cs="Arial" w:eastAsia="Arial" w:hAnsi="Arial"/>
                <w:sz w:val="17"/>
                <w:szCs w:val="17"/>
                <w:color w:val="auto"/>
              </w:rPr>
              <w:t>of Class B ordinary shares and an issuance of Class A ordinary shares as a matter of</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Cayman Islands law.</w:t>
            </w:r>
          </w:p>
        </w:tc>
      </w:tr>
      <w:tr>
        <w:trPr>
          <w:trHeight w:val="350"/>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The founder shares are identical to the Class A ordinary shares included in the units</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400"/>
              <w:spacing w:after="0"/>
              <w:rPr>
                <w:sz w:val="20"/>
                <w:szCs w:val="20"/>
                <w:color w:val="auto"/>
              </w:rPr>
            </w:pPr>
            <w:r>
              <w:rPr>
                <w:rFonts w:ascii="Arial" w:cs="Arial" w:eastAsia="Arial" w:hAnsi="Arial"/>
                <w:sz w:val="17"/>
                <w:szCs w:val="17"/>
                <w:color w:val="auto"/>
              </w:rPr>
              <w:t>being sold in this offering, except that:</w:t>
            </w:r>
          </w:p>
        </w:tc>
      </w:tr>
      <w:tr>
        <w:trPr>
          <w:trHeight w:val="351"/>
        </w:trPr>
        <w:tc>
          <w:tcPr>
            <w:tcW w:w="292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7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only holders of Class B ordinary shares will have the right to appoint directors in</w:t>
            </w:r>
          </w:p>
        </w:tc>
      </w:tr>
      <w:tr>
        <w:trPr>
          <w:trHeight w:val="188"/>
        </w:trPr>
        <w:tc>
          <w:tcPr>
            <w:tcW w:w="2920" w:type="dxa"/>
            <w:vAlign w:val="bottom"/>
            <w:tcBorders>
              <w:left w:val="single" w:sz="8" w:color="auto"/>
            </w:tcBorders>
          </w:tcPr>
          <w:p>
            <w:pPr>
              <w:spacing w:after="0"/>
              <w:rPr>
                <w:sz w:val="16"/>
                <w:szCs w:val="16"/>
                <w:color w:val="auto"/>
              </w:rPr>
            </w:pPr>
          </w:p>
        </w:tc>
        <w:tc>
          <w:tcPr>
            <w:tcW w:w="8320" w:type="dxa"/>
            <w:vAlign w:val="bottom"/>
            <w:tcBorders>
              <w:right w:val="single" w:sz="8" w:color="auto"/>
            </w:tcBorders>
          </w:tcPr>
          <w:p>
            <w:pPr>
              <w:ind w:left="2040"/>
              <w:spacing w:after="0" w:line="188" w:lineRule="exact"/>
              <w:rPr>
                <w:sz w:val="20"/>
                <w:szCs w:val="20"/>
                <w:color w:val="auto"/>
              </w:rPr>
            </w:pPr>
            <w:r>
              <w:rPr>
                <w:rFonts w:ascii="Arial" w:cs="Arial" w:eastAsia="Arial" w:hAnsi="Arial"/>
                <w:sz w:val="17"/>
                <w:szCs w:val="17"/>
                <w:color w:val="auto"/>
              </w:rPr>
              <w:t>any election held prior to or in connection with the completion of our initial</w:t>
            </w:r>
          </w:p>
        </w:tc>
      </w:tr>
      <w:tr>
        <w:trPr>
          <w:trHeight w:val="231"/>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2040"/>
              <w:spacing w:after="0"/>
              <w:rPr>
                <w:sz w:val="20"/>
                <w:szCs w:val="20"/>
                <w:color w:val="auto"/>
              </w:rPr>
            </w:pPr>
            <w:r>
              <w:rPr>
                <w:rFonts w:ascii="Arial" w:cs="Arial" w:eastAsia="Arial" w:hAnsi="Arial"/>
                <w:sz w:val="17"/>
                <w:szCs w:val="17"/>
                <w:color w:val="auto"/>
              </w:rPr>
              <w:t>business combination;</w:t>
            </w:r>
          </w:p>
        </w:tc>
      </w:tr>
      <w:tr>
        <w:trPr>
          <w:trHeight w:val="226"/>
        </w:trPr>
        <w:tc>
          <w:tcPr>
            <w:tcW w:w="2920" w:type="dxa"/>
            <w:vAlign w:val="bottom"/>
            <w:tcBorders>
              <w:left w:val="single" w:sz="8" w:color="auto"/>
              <w:bottom w:val="single" w:sz="8" w:color="auto"/>
            </w:tcBorders>
          </w:tcPr>
          <w:p>
            <w:pPr>
              <w:spacing w:after="0"/>
              <w:rPr>
                <w:sz w:val="19"/>
                <w:szCs w:val="19"/>
                <w:color w:val="auto"/>
              </w:rPr>
            </w:pPr>
          </w:p>
        </w:tc>
        <w:tc>
          <w:tcPr>
            <w:tcW w:w="8320" w:type="dxa"/>
            <w:vAlign w:val="bottom"/>
            <w:tcBorders>
              <w:bottom w:val="single" w:sz="8" w:color="auto"/>
              <w:right w:val="single" w:sz="8" w:color="auto"/>
            </w:tcBorders>
          </w:tcPr>
          <w:p>
            <w:pPr>
              <w:spacing w:after="0"/>
              <w:rPr>
                <w:sz w:val="19"/>
                <w:szCs w:val="19"/>
                <w:color w:val="auto"/>
              </w:rPr>
            </w:pPr>
          </w:p>
        </w:tc>
      </w:tr>
      <w:tr>
        <w:trPr>
          <w:trHeight w:val="589"/>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476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960" w:right="160" w:hanging="325"/>
        <w:spacing w:after="0" w:line="242"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w:t>
      </w:r>
    </w:p>
    <w:p>
      <w:pPr>
        <w:spacing w:after="0" w:line="1" w:lineRule="exact"/>
        <w:rPr>
          <w:rFonts w:ascii="MS PGothic" w:cs="MS PGothic" w:eastAsia="MS PGothic" w:hAnsi="MS PGothic"/>
          <w:sz w:val="17"/>
          <w:szCs w:val="17"/>
          <w:color w:val="auto"/>
        </w:rPr>
      </w:pPr>
    </w:p>
    <w:p>
      <w:pPr>
        <w:ind w:left="4960" w:right="280" w:hanging="325"/>
        <w:spacing w:after="0" w:line="256"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subject to certain transfer restrictions, as described in more detail below;</w:t>
      </w:r>
    </w:p>
    <w:p>
      <w:pPr>
        <w:spacing w:after="0" w:line="1" w:lineRule="exact"/>
        <w:rPr>
          <w:rFonts w:ascii="MS PGothic" w:cs="MS PGothic" w:eastAsia="MS PGothic" w:hAnsi="MS PGothic"/>
          <w:sz w:val="17"/>
          <w:szCs w:val="17"/>
          <w:color w:val="auto"/>
        </w:rPr>
      </w:pPr>
    </w:p>
    <w:p>
      <w:pPr>
        <w:ind w:left="4960" w:hanging="325"/>
        <w:spacing w:after="0"/>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entitled to registration rights;</w:t>
      </w:r>
    </w:p>
    <w:p>
      <w:pPr>
        <w:spacing w:after="0" w:line="63" w:lineRule="exact"/>
        <w:rPr>
          <w:rFonts w:ascii="MS PGothic" w:cs="MS PGothic" w:eastAsia="MS PGothic" w:hAnsi="MS PGothic"/>
          <w:sz w:val="17"/>
          <w:szCs w:val="17"/>
          <w:color w:val="auto"/>
        </w:rPr>
      </w:pPr>
    </w:p>
    <w:p>
      <w:pPr>
        <w:ind w:left="4960" w:hanging="325"/>
        <w:spacing w:after="0" w:line="233"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our sponsor, officers and directors have entered into a letter agreement with us, pursuant to which they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(iii) waive their rights to liquidating distributions from the trust account with respect to their founder shares if we fail to complete our initial business combination within</w:t>
      </w:r>
    </w:p>
    <w:p>
      <w:pPr>
        <w:spacing w:after="0" w:line="7" w:lineRule="exact"/>
        <w:rPr>
          <w:rFonts w:ascii="MS PGothic" w:cs="MS PGothic" w:eastAsia="MS PGothic" w:hAnsi="MS PGothic"/>
          <w:sz w:val="17"/>
          <w:szCs w:val="17"/>
          <w:color w:val="auto"/>
        </w:rPr>
      </w:pPr>
    </w:p>
    <w:p>
      <w:pPr>
        <w:ind w:left="4960" w:right="20"/>
        <w:spacing w:after="0" w:line="233" w:lineRule="auto"/>
        <w:rPr>
          <w:rFonts w:ascii="MS PGothic" w:cs="MS PGothic" w:eastAsia="MS PGothic" w:hAnsi="MS PGothic"/>
          <w:sz w:val="17"/>
          <w:szCs w:val="17"/>
          <w:color w:val="auto"/>
        </w:rPr>
      </w:pPr>
      <w:r>
        <w:rPr>
          <w:rFonts w:ascii="Arial" w:cs="Arial" w:eastAsia="Arial" w:hAnsi="Arial"/>
          <w:sz w:val="17"/>
          <w:szCs w:val="17"/>
          <w:color w:val="auto"/>
        </w:rPr>
        <w:t>24 months from the closing of this offering, although they will be entitled to liquidating distributions from the trust account with respect to any public shares they hold if we fail to complete our initial business combination within the prescribed time frame; and (iv) vote any founder shares held by them and any public shares purchased during or after this offering (including in open market and privately-negotiated transactions) in favor of our initial business combination. If we submit our initial business combination to our public shareholders for a vote, we will complete our initial business combination only if we receive an ordinary resolution under Cayman Islands law, which requires the affirmative vote of a majority of the shareholders who attend and vote at a general meeting of the company.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7" w:lineRule="exact"/>
        <w:rPr>
          <w:rFonts w:ascii="MS PGothic" w:cs="MS PGothic" w:eastAsia="MS PGothic" w:hAnsi="MS PGothic"/>
          <w:sz w:val="17"/>
          <w:szCs w:val="17"/>
          <w:color w:val="auto"/>
        </w:rPr>
      </w:pPr>
    </w:p>
    <w:p>
      <w:pPr>
        <w:ind w:left="4960" w:hanging="325"/>
        <w:spacing w:after="0" w:line="245" w:lineRule="auto"/>
        <w:tabs>
          <w:tab w:leader="none" w:pos="4960" w:val="left"/>
        </w:tabs>
        <w:numPr>
          <w:ilvl w:val="0"/>
          <w:numId w:val="11"/>
        </w:numPr>
        <w:rPr>
          <w:rFonts w:ascii="MS PGothic" w:cs="MS PGothic" w:eastAsia="MS PGothic" w:hAnsi="MS PGothic"/>
          <w:sz w:val="17"/>
          <w:szCs w:val="17"/>
          <w:color w:val="auto"/>
        </w:rPr>
      </w:pPr>
      <w:r>
        <w:rPr>
          <w:rFonts w:ascii="Arial" w:cs="Arial" w:eastAsia="Arial" w:hAnsi="Arial"/>
          <w:sz w:val="17"/>
          <w:szCs w:val="17"/>
          <w:color w:val="auto"/>
        </w:rPr>
        <w:t>the founder shares are automatically convertible into our Class A ordinary shares concurrently with or immediately following the consummation of our initial business combination on a one-for-one basis, subject to adjustment pursuant to certain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040"/>
          </w:cols>
          <w:pgMar w:left="320" w:top="455" w:right="539" w:bottom="1440" w:gutter="0" w:footer="0" w:header="0"/>
        </w:sectPr>
      </w:pPr>
    </w:p>
    <w:bookmarkStart w:id="19" w:name="page20"/>
    <w:bookmarkEnd w:id="1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84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498475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Founder shares conversion and anti-dilution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549" w:right="200"/>
        <w:spacing w:after="0" w:line="275" w:lineRule="auto"/>
        <w:rPr>
          <w:sz w:val="20"/>
          <w:szCs w:val="20"/>
          <w:color w:val="auto"/>
        </w:rPr>
      </w:pPr>
      <w:r>
        <w:rPr>
          <w:rFonts w:ascii="Arial" w:cs="Arial" w:eastAsia="Arial" w:hAnsi="Arial"/>
          <w:sz w:val="17"/>
          <w:szCs w:val="17"/>
          <w:color w:val="auto"/>
        </w:rPr>
        <w:t>anti-dilution rights, as described below adjacent to the caption “Founder shares conversion and anti-dilution rights.”</w:t>
      </w:r>
    </w:p>
    <w:p>
      <w:pPr>
        <w:spacing w:after="0" w:line="133" w:lineRule="exact"/>
        <w:rPr>
          <w:sz w:val="20"/>
          <w:szCs w:val="20"/>
          <w:color w:val="auto"/>
        </w:rPr>
      </w:pPr>
    </w:p>
    <w:p>
      <w:pPr>
        <w:ind w:left="9" w:right="80"/>
        <w:spacing w:after="0" w:line="241" w:lineRule="auto"/>
        <w:rPr>
          <w:sz w:val="20"/>
          <w:szCs w:val="20"/>
          <w:color w:val="auto"/>
        </w:rPr>
      </w:pPr>
      <w:r>
        <w:rPr>
          <w:rFonts w:ascii="Arial" w:cs="Arial" w:eastAsia="Arial" w:hAnsi="Arial"/>
          <w:sz w:val="17"/>
          <w:szCs w:val="17"/>
          <w:color w:val="auto"/>
        </w:rPr>
        <w:t>Our initial shareholders have agreed not to transfer, assign or sell any of their founder shares and any Class A ordinary shares issuable upon conversion thereof until the earlier to occur of: (i) one year after the completion of our initial business combination or</w:t>
      </w:r>
    </w:p>
    <w:p>
      <w:pPr>
        <w:ind w:left="9" w:right="60" w:hanging="9"/>
        <w:spacing w:after="0" w:line="233" w:lineRule="auto"/>
        <w:tabs>
          <w:tab w:leader="none" w:pos="2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date on which we complete a liquidation, merger, share exchange or other similar transaction after our initial business combination that results in all of our shareholders having the right to exchange their Class A ordinary shares for cash, securities or other property; except to certain permitted transferees and under certain circumstances as described herein under “Principal Shareholders—Transfers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(1)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shareholders having the right to exchange their shares for cash, securities or other property, the founder shares will be released from the lock-up.</w:t>
      </w:r>
    </w:p>
    <w:p>
      <w:pPr>
        <w:spacing w:after="0" w:line="169"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w:t>
      </w:r>
    </w:p>
    <w:p>
      <w:pPr>
        <w:spacing w:after="0" w:line="200" w:lineRule="exact"/>
        <w:rPr>
          <w:sz w:val="20"/>
          <w:szCs w:val="20"/>
          <w:color w:val="auto"/>
        </w:rPr>
      </w:pPr>
    </w:p>
    <w:p>
      <w:pPr>
        <w:sectPr>
          <w:pgSz w:w="11900" w:h="16838" w:orient="portrait"/>
          <w:cols w:equalWidth="0" w:num="2">
            <w:col w:w="3820" w:space="491"/>
            <w:col w:w="6709"/>
          </w:cols>
          <w:pgMar w:left="320" w:top="455" w:right="55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320" w:top="455" w:right="55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62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7"/>
                <w:szCs w:val="17"/>
                <w:color w:val="auto"/>
              </w:rPr>
              <w:t xml:space="preserve">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w:t>
            </w:r>
          </w:p>
        </w:tc>
      </w:tr>
      <w:tr>
        <w:trPr>
          <w:trHeight w:val="231"/>
        </w:trPr>
        <w:tc>
          <w:tcPr>
            <w:tcW w:w="36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on a less than one-for-one basis.</w:t>
            </w:r>
          </w:p>
        </w:tc>
      </w:tr>
      <w:tr>
        <w:trPr>
          <w:trHeight w:val="363"/>
        </w:trPr>
        <w:tc>
          <w:tcPr>
            <w:tcW w:w="362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Appointment of directors; voting:</w:t>
            </w: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Holders of record of our Class A ordinary shares and Class B ordinary shares are entitled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one vote for each share held on all matters to be voted on by shareholders. Unless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specified in our amended and restated memorandum and articles of association or as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required by the Companies Law or stock exchange rules, an ordinary resolution under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Cayman Islands law, which requires the affirmative vote of a majority of the shareholders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who attend and vote at a general meeting of the company is generally required to</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approve any matter voted on by our shareholders. Approval of certain actions require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special resolution under Cayman Islands law, which requires the affirmative vote of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majority of at least two-thirds of the shareholders who attend and vote at a general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meeting of the company, and pursuant to our amended and restated memorandum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articles of association, such actions include amending our amended and restated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memorandum and articles of association and approving a statutory merger or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consolidation with another company. There is no cumulative voting with respect to the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appointment of directors, meaning, following our initial business combination, the holders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of more than 50% of our ordinary shares voted for the appointment of directors can elect</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all of the directors. Only holders of Class B ordinary shares will have the right to appoint</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directors in any election held prior to or in connection with the completion of our initial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business combination. Holders of our public shares will not be entitled to vote on the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appointment of directors during such time. In addition, in a vote to continue the Company</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in a jurisdiction outside the Cayman Islands (which requires the approval of at least two</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thirds of the votes of all ordinary shares), holders of our founder shares will have ten</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votes for every founder share and holders of our Class A ordinary shares will have one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 for every Class A ordinary share and, as a result, our initial shareholders will be able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approve any such proposal without the vote of any other shareholder. These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provisions of our amended and restated memorandum and articles of association relating</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to the rights of holders of Class B ordinary shares to appoint directors may be amended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by a special resolution passed by a majority of at least 90% of our shares voting in a</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general meeting. With respect to any other matter submitted to a vote of our</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shareholders, including any vote in connection with our initial business combination,</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except as required by law, holders of the founder shares and holders of our public shares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will vote together as a single class, with each share entitling the holder to one vote. If we</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seek shareholder approval of our initial business combination, we will complete our initial</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business combination only if we receive an ordinary resolution under Cayman Islands</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law, which requires the affirmative vote of a majority of the shareholders who attend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vote at a general meeting of the company. In such case, our sponsor, officers and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directors have agreed to vote their founder shares and any public shares purchased</w:t>
            </w:r>
          </w:p>
        </w:tc>
      </w:tr>
      <w:tr>
        <w:trPr>
          <w:trHeight w:val="189"/>
        </w:trPr>
        <w:tc>
          <w:tcPr>
            <w:tcW w:w="3620" w:type="dxa"/>
            <w:vAlign w:val="bottom"/>
            <w:tcBorders>
              <w:left w:val="single" w:sz="8" w:color="auto"/>
            </w:tcBorders>
          </w:tcPr>
          <w:p>
            <w:pPr>
              <w:spacing w:after="0"/>
              <w:rPr>
                <w:sz w:val="16"/>
                <w:szCs w:val="16"/>
                <w:color w:val="auto"/>
              </w:rPr>
            </w:pPr>
          </w:p>
        </w:tc>
        <w:tc>
          <w:tcPr>
            <w:tcW w:w="7620" w:type="dxa"/>
            <w:vAlign w:val="bottom"/>
            <w:tcBorders>
              <w:right w:val="single" w:sz="8" w:color="auto"/>
            </w:tcBorders>
          </w:tcPr>
          <w:p>
            <w:pPr>
              <w:ind w:left="700"/>
              <w:spacing w:after="0" w:line="189" w:lineRule="exact"/>
              <w:rPr>
                <w:sz w:val="20"/>
                <w:szCs w:val="20"/>
                <w:color w:val="auto"/>
              </w:rPr>
            </w:pPr>
            <w:r>
              <w:rPr>
                <w:rFonts w:ascii="Arial" w:cs="Arial" w:eastAsia="Arial" w:hAnsi="Arial"/>
                <w:sz w:val="17"/>
                <w:szCs w:val="17"/>
                <w:color w:val="auto"/>
              </w:rPr>
              <w:t>during or after this offering (including in open market and privately-negotiated</w:t>
            </w:r>
          </w:p>
        </w:tc>
      </w:tr>
      <w:tr>
        <w:trPr>
          <w:trHeight w:val="231"/>
        </w:trPr>
        <w:tc>
          <w:tcPr>
            <w:tcW w:w="36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700"/>
              <w:spacing w:after="0"/>
              <w:rPr>
                <w:sz w:val="20"/>
                <w:szCs w:val="20"/>
                <w:color w:val="auto"/>
              </w:rPr>
            </w:pPr>
            <w:r>
              <w:rPr>
                <w:rFonts w:ascii="Arial" w:cs="Arial" w:eastAsia="Arial" w:hAnsi="Arial"/>
                <w:sz w:val="17"/>
                <w:szCs w:val="17"/>
                <w:color w:val="auto"/>
              </w:rPr>
              <w:t>transactions) in favor of our</w:t>
            </w:r>
          </w:p>
        </w:tc>
      </w:tr>
      <w:tr>
        <w:trPr>
          <w:trHeight w:val="226"/>
        </w:trPr>
        <w:tc>
          <w:tcPr>
            <w:tcW w:w="3620" w:type="dxa"/>
            <w:vAlign w:val="bottom"/>
            <w:tcBorders>
              <w:left w:val="single" w:sz="8" w:color="auto"/>
              <w:bottom w:val="single" w:sz="8" w:color="auto"/>
            </w:tcBorders>
          </w:tcPr>
          <w:p>
            <w:pPr>
              <w:spacing w:after="0"/>
              <w:rPr>
                <w:sz w:val="19"/>
                <w:szCs w:val="19"/>
                <w:color w:val="auto"/>
              </w:rPr>
            </w:pPr>
          </w:p>
        </w:tc>
        <w:tc>
          <w:tcPr>
            <w:tcW w:w="7620" w:type="dxa"/>
            <w:vAlign w:val="bottom"/>
            <w:tcBorders>
              <w:bottom w:val="single" w:sz="8" w:color="auto"/>
              <w:right w:val="single" w:sz="8" w:color="auto"/>
            </w:tcBorders>
          </w:tcPr>
          <w:p>
            <w:pPr>
              <w:spacing w:after="0"/>
              <w:rPr>
                <w:sz w:val="19"/>
                <w:szCs w:val="19"/>
                <w:color w:val="auto"/>
              </w:rPr>
            </w:pPr>
          </w:p>
        </w:tc>
      </w:tr>
      <w:tr>
        <w:trPr>
          <w:trHeight w:val="589"/>
        </w:trPr>
        <w:tc>
          <w:tcPr>
            <w:tcW w:w="3620" w:type="dxa"/>
            <w:vAlign w:val="bottom"/>
          </w:tcPr>
          <w:p>
            <w:pPr>
              <w:spacing w:after="0"/>
              <w:rPr>
                <w:sz w:val="24"/>
                <w:szCs w:val="24"/>
                <w:color w:val="auto"/>
              </w:rPr>
            </w:pPr>
          </w:p>
        </w:tc>
        <w:tc>
          <w:tcPr>
            <w:tcW w:w="7620" w:type="dxa"/>
            <w:vAlign w:val="bottom"/>
          </w:tcPr>
          <w:p>
            <w:pPr>
              <w:ind w:left="1920"/>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1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51130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40"/>
        <w:spacing w:after="0" w:line="242" w:lineRule="auto"/>
        <w:rPr>
          <w:sz w:val="20"/>
          <w:szCs w:val="20"/>
          <w:color w:val="auto"/>
        </w:rPr>
      </w:pPr>
      <w:r>
        <w:rPr>
          <w:rFonts w:ascii="Arial" w:cs="Arial" w:eastAsia="Arial" w:hAnsi="Arial"/>
          <w:sz w:val="17"/>
          <w:szCs w:val="17"/>
          <w:color w:val="auto"/>
        </w:rPr>
        <w:t>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w:t>
      </w:r>
    </w:p>
    <w:p>
      <w:pPr>
        <w:sectPr>
          <w:pgSz w:w="11900" w:h="16838" w:orient="portrait"/>
          <w:cols w:equalWidth="0" w:num="1">
            <w:col w:w="11020"/>
          </w:cols>
          <w:pgMar w:left="320" w:top="455" w:right="559" w:bottom="1440" w:gutter="0" w:footer="0" w:header="0"/>
        </w:sectPr>
      </w:pP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Private placement warrants: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A portion of the purchase price of the private placement warrants will be added to the proceeds from this offering to be held in the trust account such that at the time of closing of this offering $200 million (or $230 million if the underwriters exercise its over-allotment option in full) will be held in the trust account. The private placement warrants will be identical to the warrants sold in this offering except that, so long as they are held by our sponsor or its permitted transferees, the private placement warrants (i) will not be redeemable by us, except as described under “</w:t>
      </w:r>
      <w:r>
        <w:rPr>
          <w:rFonts w:ascii="Arial" w:cs="Arial" w:eastAsia="Arial" w:hAnsi="Arial"/>
          <w:sz w:val="17"/>
          <w:szCs w:val="17"/>
          <w:i w:val="1"/>
          <w:iCs w:val="1"/>
          <w:color w:val="auto"/>
        </w:rPr>
        <w:t>—Redemption of warrants when the price</w:t>
      </w:r>
      <w:r>
        <w:rPr>
          <w:rFonts w:ascii="Arial" w:cs="Arial" w:eastAsia="Arial" w:hAnsi="Arial"/>
          <w:sz w:val="17"/>
          <w:szCs w:val="17"/>
          <w:color w:val="auto"/>
        </w:rPr>
        <w:t xml:space="preserve"> </w:t>
      </w:r>
      <w:r>
        <w:rPr>
          <w:rFonts w:ascii="Arial" w:cs="Arial" w:eastAsia="Arial" w:hAnsi="Arial"/>
          <w:sz w:val="17"/>
          <w:szCs w:val="17"/>
          <w:i w:val="1"/>
          <w:iCs w:val="1"/>
          <w:color w:val="auto"/>
        </w:rPr>
        <w:t>per Class A ordinary share equals or exceeds $10.00,</w:t>
      </w:r>
      <w:r>
        <w:rPr>
          <w:rFonts w:ascii="Arial" w:cs="Arial" w:eastAsia="Arial" w:hAnsi="Arial"/>
          <w:sz w:val="17"/>
          <w:szCs w:val="17"/>
          <w:color w:val="auto"/>
        </w:rPr>
        <w:t>” (ii) may not (including the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If the private placement warrants are held by holders other than our sponsor or its permitted transferees, the private placement warrants will be redeemable by us and exercisable by the holders on the same basis as the warrants included in the units being sold in this offering. If we do not complete our initial business combination within 24 months from the closing of this offering, the private placement warrants will expire worthless.</w:t>
      </w:r>
    </w:p>
    <w:p>
      <w:pPr>
        <w:spacing w:after="0" w:line="164" w:lineRule="exact"/>
        <w:rPr>
          <w:sz w:val="20"/>
          <w:szCs w:val="20"/>
          <w:color w:val="auto"/>
        </w:rPr>
      </w:pPr>
    </w:p>
    <w:p>
      <w:pPr>
        <w:sectPr>
          <w:pgSz w:w="11900" w:h="16838" w:orient="portrait"/>
          <w:cols w:equalWidth="0" w:num="2">
            <w:col w:w="3600" w:space="720"/>
            <w:col w:w="6700"/>
          </w:cols>
          <w:pgMar w:left="320" w:top="455" w:right="559" w:bottom="1440" w:gutter="0" w:footer="0" w:header="0"/>
          <w:type w:val="continuous"/>
        </w:sectPr>
      </w:pPr>
    </w:p>
    <w:p>
      <w:pPr>
        <w:ind w:left="4320" w:right="60" w:hanging="4115"/>
        <w:spacing w:after="0" w:line="237" w:lineRule="auto"/>
        <w:rPr>
          <w:sz w:val="20"/>
          <w:szCs w:val="20"/>
          <w:color w:val="auto"/>
        </w:rPr>
      </w:pPr>
      <w:r>
        <w:rPr>
          <w:rFonts w:ascii="Arial" w:cs="Arial" w:eastAsia="Arial" w:hAnsi="Arial"/>
          <w:sz w:val="17"/>
          <w:szCs w:val="17"/>
          <w:b w:val="1"/>
          <w:bCs w:val="1"/>
          <w:color w:val="auto"/>
        </w:rPr>
        <w:t xml:space="preserve">Cashless exercise of private placement warrants: </w:t>
      </w:r>
      <w:r>
        <w:rPr>
          <w:rFonts w:ascii="Arial" w:cs="Arial" w:eastAsia="Arial" w:hAnsi="Arial"/>
          <w:sz w:val="17"/>
          <w:szCs w:val="17"/>
          <w:color w:val="auto"/>
        </w:rPr>
        <w:t>If holders of private placement warrants elect to exercise them on a cashless basis, they</w:t>
      </w:r>
      <w:r>
        <w:rPr>
          <w:rFonts w:ascii="Arial" w:cs="Arial" w:eastAsia="Arial" w:hAnsi="Arial"/>
          <w:sz w:val="17"/>
          <w:szCs w:val="17"/>
          <w:b w:val="1"/>
          <w:bCs w:val="1"/>
          <w:color w:val="auto"/>
        </w:rPr>
        <w:t xml:space="preserve"> </w:t>
      </w:r>
      <w:r>
        <w:rPr>
          <w:rFonts w:ascii="Arial" w:cs="Arial" w:eastAsia="Arial" w:hAnsi="Arial"/>
          <w:sz w:val="17"/>
          <w:szCs w:val="17"/>
          <w:color w:val="auto"/>
        </w:rPr>
        <w:t>would pay the exercise price by surrendering their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market value</w:t>
      </w:r>
      <w:r>
        <w:rPr>
          <w:rFonts w:ascii="Arial" w:cs="Arial" w:eastAsia="Arial" w:hAnsi="Arial"/>
          <w:sz w:val="17"/>
          <w:szCs w:val="17"/>
          <w:color w:val="auto"/>
        </w:rPr>
        <w:t>” (defined below) over the exercise price of the warrants by (y)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320" w:top="455" w:right="559" w:bottom="1440" w:gutter="0" w:footer="0" w:header="0"/>
          <w:type w:val="continuous"/>
        </w:sectPr>
      </w:pPr>
    </w:p>
    <w:bookmarkStart w:id="22" w:name="page23"/>
    <w:bookmarkEnd w:id="2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001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Transfer restrictions on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Proceeds to be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140"/>
        <w:spacing w:after="0" w:line="242" w:lineRule="auto"/>
        <w:rPr>
          <w:sz w:val="20"/>
          <w:szCs w:val="20"/>
          <w:color w:val="auto"/>
        </w:rPr>
      </w:pPr>
      <w:r>
        <w:rPr>
          <w:rFonts w:ascii="Arial" w:cs="Arial" w:eastAsia="Arial" w:hAnsi="Arial"/>
          <w:sz w:val="17"/>
          <w:szCs w:val="17"/>
          <w:color w:val="auto"/>
        </w:rPr>
        <w:t>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w:t>
      </w:r>
    </w:p>
    <w:p>
      <w:pPr>
        <w:spacing w:after="0" w:line="175" w:lineRule="exact"/>
        <w:rPr>
          <w:sz w:val="20"/>
          <w:szCs w:val="20"/>
          <w:color w:val="auto"/>
        </w:rPr>
      </w:pPr>
    </w:p>
    <w:p>
      <w:pPr>
        <w:ind w:left="9"/>
        <w:spacing w:after="0" w:line="242"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Shareholders—Transfers of Founder Shares and Private Placement Warrants.”</w:t>
      </w:r>
    </w:p>
    <w:p>
      <w:pPr>
        <w:spacing w:after="0" w:line="162"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net proceeds we will receive from this offering and the sale of the private placement warrants described in this prospectus, $200 million, or $230 million if the underwriters’ over-allotment option is exercised in full ($10.00 per unit in either case), will be deposited into a segregated trust account located in the United States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to be placed in the trust account include $7,000,000 (or up to $8,050,000 if the underwriters’ over-allotment option is exercised in full) in deferred underwriting commissions.</w:t>
      </w:r>
    </w:p>
    <w:p>
      <w:pPr>
        <w:spacing w:after="0" w:line="171" w:lineRule="exact"/>
        <w:rPr>
          <w:sz w:val="20"/>
          <w:szCs w:val="20"/>
          <w:color w:val="auto"/>
        </w:rPr>
      </w:pPr>
    </w:p>
    <w:p>
      <w:pPr>
        <w:jc w:val="both"/>
        <w:ind w:left="9" w:right="40"/>
        <w:spacing w:after="0" w:line="241"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taxes, if any, the proceeds from this offering and the sale of the private placement warrants will not be released from the trust account until the earliest of</w:t>
      </w:r>
    </w:p>
    <w:p>
      <w:pPr>
        <w:ind w:left="9" w:right="200" w:hanging="9"/>
        <w:spacing w:after="0" w:line="234" w:lineRule="auto"/>
        <w:tabs>
          <w:tab w:leader="none" w:pos="2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amend our amended and restated memorandum and articles of association to (A)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The proceeds deposited in the trust</w:t>
      </w:r>
    </w:p>
    <w:p>
      <w:pPr>
        <w:spacing w:after="0" w:line="200" w:lineRule="exact"/>
        <w:rPr>
          <w:sz w:val="20"/>
          <w:szCs w:val="20"/>
          <w:color w:val="auto"/>
        </w:rPr>
      </w:pPr>
    </w:p>
    <w:p>
      <w:pPr>
        <w:sectPr>
          <w:pgSz w:w="11900" w:h="16838" w:orient="portrait"/>
          <w:cols w:equalWidth="0" w:num="2">
            <w:col w:w="3600" w:space="711"/>
            <w:col w:w="6729"/>
          </w:cols>
          <w:pgMar w:left="320" w:top="455" w:right="5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40"/>
          </w:cols>
          <w:pgMar w:left="320" w:top="455" w:right="539" w:bottom="1440" w:gutter="0" w:footer="0" w:header="0"/>
          <w:type w:val="continuous"/>
        </w:sectPr>
      </w:pPr>
    </w:p>
    <w:bookmarkStart w:id="23" w:name="page24"/>
    <w:bookmarkEnd w:id="2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67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526732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Anticipated expenses and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account could become subject to the claims of our creditors, if any, which could have priority over the claims of our public shareholders.</w:t>
      </w:r>
    </w:p>
    <w:p>
      <w:pPr>
        <w:spacing w:after="0" w:line="1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Unless and until we complete our initial business combination, no proceeds held in the trust account will be available for our use, except the withdrawal of interest to pay our taxes and/or to redeem our public shares in connection with an amendment to our amended and restated memorandum and articles of association, as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Unless and until we complete our initial business combination, we may pay our expenses only from such interest withdrawn from the trust account and:</w:t>
      </w:r>
    </w:p>
    <w:p>
      <w:pPr>
        <w:spacing w:after="0" w:line="164" w:lineRule="exact"/>
        <w:rPr>
          <w:sz w:val="20"/>
          <w:szCs w:val="20"/>
          <w:color w:val="auto"/>
        </w:rPr>
      </w:pPr>
    </w:p>
    <w:p>
      <w:pPr>
        <w:ind w:left="640" w:right="140" w:hanging="325"/>
        <w:spacing w:after="0" w:line="244" w:lineRule="auto"/>
        <w:tabs>
          <w:tab w:leader="none" w:pos="64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2" w:lineRule="exact"/>
        <w:rPr>
          <w:rFonts w:ascii="MS PGothic" w:cs="MS PGothic" w:eastAsia="MS PGothic" w:hAnsi="MS PGothic"/>
          <w:sz w:val="17"/>
          <w:szCs w:val="17"/>
          <w:color w:val="auto"/>
        </w:rPr>
      </w:pPr>
    </w:p>
    <w:p>
      <w:pPr>
        <w:ind w:left="640" w:right="140" w:hanging="325"/>
        <w:spacing w:after="0" w:line="239" w:lineRule="auto"/>
        <w:tabs>
          <w:tab w:leader="none" w:pos="64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 xml:space="preserve">any loans or additional investments from our sponsor, members of our management team or their affiliates or other third parties, although they are under no obligation to advance funds or invest in us;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loans will not have any claim on the proceeds held in the trust account unless such proceeds are released to us upon completion of our initial business combination. Up to $1,500,000 of such loans may be convertible into private placement warrants, at a price of $1.00 per warrant, at the option of the lender.</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While we consider it likely that our board of directors will be able to make an independent determination of the fair market value of our initial business combination, it may be</w:t>
      </w:r>
    </w:p>
    <w:p>
      <w:pPr>
        <w:spacing w:after="0" w:line="200" w:lineRule="exact"/>
        <w:rPr>
          <w:sz w:val="20"/>
          <w:szCs w:val="20"/>
          <w:color w:val="auto"/>
        </w:rPr>
      </w:pPr>
    </w:p>
    <w:p>
      <w:pPr>
        <w:sectPr>
          <w:pgSz w:w="11900" w:h="16838" w:orient="portrait"/>
          <w:cols w:equalWidth="0" w:num="2">
            <w:col w:w="3860" w:space="460"/>
            <w:col w:w="6720"/>
          </w:cols>
          <w:pgMar w:left="320" w:top="455" w:right="5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40"/>
          </w:cols>
          <w:pgMar w:left="320" w:top="455" w:right="539" w:bottom="1440" w:gutter="0" w:footer="0" w:header="0"/>
          <w:type w:val="continuous"/>
        </w:sectPr>
      </w:pPr>
    </w:p>
    <w:bookmarkStart w:id="24" w:name="page25"/>
    <w:bookmarkEnd w:id="2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353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unable to do so if it is less familiar or experienced with the business of a particular target or if there is a significant amount of uncertainty as to the value of the target’s assets or prospects. In addition, pursuant to Nasdaq rules, any initial business combination must be approved by a majority of our independent directors. 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w:t>
      </w:r>
    </w:p>
    <w:p>
      <w:pPr>
        <w:spacing w:after="0" w:line="18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If less than 100% of the equity interests or assets of a target business or businesses are owned or acquired by the post-transaction company, the portion of such business or businesses that is owned or acquired is what will be taken into account for purposes of the 80% of assets test described above,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event that the business combination involves more than one target business, the 80% of assets test will be based on the aggregate value of all of the target businesses and we will treat the transactions together as our initial business combination for purposes of seeking shareholder approval or conducting a tender offer, as applicable.</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w:t>
      </w:r>
    </w:p>
    <w:p>
      <w:pPr>
        <w:spacing w:after="0" w:line="200" w:lineRule="exact"/>
        <w:rPr>
          <w:sz w:val="20"/>
          <w:szCs w:val="20"/>
          <w:color w:val="auto"/>
        </w:rPr>
      </w:pPr>
    </w:p>
    <w:p>
      <w:pPr>
        <w:sectPr>
          <w:pgSz w:w="11900" w:h="16838" w:orient="portrait"/>
          <w:cols w:equalWidth="0" w:num="2">
            <w:col w:w="4140" w:space="180"/>
            <w:col w:w="6700"/>
          </w:cols>
          <w:pgMar w:left="320" w:top="455" w:right="5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320" w:top="455" w:right="559" w:bottom="1440" w:gutter="0" w:footer="0" w:header="0"/>
          <w:type w:val="continuous"/>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993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499300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left="200"/>
        <w:spacing w:after="0" w:line="290" w:lineRule="auto"/>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prohibited by Regulation M under the Securities Exchange Act of 1934, as amended,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Exchange Act. We do not currently anticipate that such purchases, if any, would</w:t>
      </w:r>
    </w:p>
    <w:p>
      <w:pPr>
        <w:spacing w:after="0" w:line="232" w:lineRule="auto"/>
        <w:rPr>
          <w:sz w:val="20"/>
          <w:szCs w:val="20"/>
          <w:color w:val="auto"/>
        </w:rPr>
      </w:pPr>
      <w:r>
        <w:rPr>
          <w:rFonts w:ascii="Arial" w:cs="Arial" w:eastAsia="Arial" w:hAnsi="Arial"/>
          <w:sz w:val="17"/>
          <w:szCs w:val="17"/>
          <w:color w:val="auto"/>
        </w:rPr>
        <w:t>constitute a tender offer subject to the tender offer rules under the Exchange Act or a</w:t>
      </w:r>
    </w:p>
    <w:p>
      <w:pPr>
        <w:spacing w:after="0" w:line="232" w:lineRule="auto"/>
        <w:rPr>
          <w:sz w:val="20"/>
          <w:szCs w:val="20"/>
          <w:color w:val="auto"/>
        </w:rPr>
      </w:pPr>
      <w:r>
        <w:rPr>
          <w:rFonts w:ascii="Arial" w:cs="Arial" w:eastAsia="Arial" w:hAnsi="Arial"/>
          <w:sz w:val="17"/>
          <w:szCs w:val="17"/>
          <w:color w:val="auto"/>
        </w:rPr>
        <w:t>going-private transaction subject to the going-private rules under the Exchange Act;</w:t>
      </w:r>
    </w:p>
    <w:p>
      <w:pPr>
        <w:spacing w:after="0" w:line="232" w:lineRule="auto"/>
        <w:rPr>
          <w:sz w:val="20"/>
          <w:szCs w:val="20"/>
          <w:color w:val="auto"/>
        </w:rPr>
      </w:pPr>
      <w:r>
        <w:rPr>
          <w:rFonts w:ascii="Arial" w:cs="Arial" w:eastAsia="Arial" w:hAnsi="Arial"/>
          <w:sz w:val="17"/>
          <w:szCs w:val="17"/>
          <w:color w:val="auto"/>
        </w:rPr>
        <w:t>however, if the purchasers determine at the time of any such purchases that the</w:t>
      </w:r>
    </w:p>
    <w:p>
      <w:pPr>
        <w:spacing w:after="0" w:line="232" w:lineRule="auto"/>
        <w:rPr>
          <w:sz w:val="20"/>
          <w:szCs w:val="20"/>
          <w:color w:val="auto"/>
        </w:rPr>
      </w:pPr>
      <w:r>
        <w:rPr>
          <w:rFonts w:ascii="Arial" w:cs="Arial" w:eastAsia="Arial" w:hAnsi="Arial"/>
          <w:sz w:val="17"/>
          <w:szCs w:val="17"/>
          <w:color w:val="auto"/>
        </w:rPr>
        <w:t>purchases are subject to such rules, the purchasers will comply with such rules. Any</w:t>
      </w:r>
    </w:p>
    <w:p>
      <w:pPr>
        <w:spacing w:after="0" w:line="232" w:lineRule="auto"/>
        <w:rPr>
          <w:sz w:val="20"/>
          <w:szCs w:val="20"/>
          <w:color w:val="auto"/>
        </w:rPr>
      </w:pPr>
      <w:r>
        <w:rPr>
          <w:rFonts w:ascii="Arial" w:cs="Arial" w:eastAsia="Arial" w:hAnsi="Arial"/>
          <w:sz w:val="17"/>
          <w:szCs w:val="17"/>
          <w:color w:val="auto"/>
        </w:rPr>
        <w:t>such purchases will be reported pursuant to Section 13 and Section 16 of the Exchange</w:t>
      </w:r>
    </w:p>
    <w:p>
      <w:pPr>
        <w:spacing w:after="0" w:line="232" w:lineRule="auto"/>
        <w:rPr>
          <w:sz w:val="20"/>
          <w:szCs w:val="20"/>
          <w:color w:val="auto"/>
        </w:rPr>
      </w:pPr>
      <w:r>
        <w:rPr>
          <w:rFonts w:ascii="Arial" w:cs="Arial" w:eastAsia="Arial" w:hAnsi="Arial"/>
          <w:sz w:val="17"/>
          <w:szCs w:val="17"/>
          <w:color w:val="auto"/>
        </w:rPr>
        <w:t>Act to the extent such purchasers are subject to such reporting requirements. See</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Proposed Business—Effecting Our Initial Business Combination—Permitted Purchases</w:t>
      </w:r>
    </w:p>
    <w:p>
      <w:pPr>
        <w:spacing w:after="0" w:line="232" w:lineRule="auto"/>
        <w:rPr>
          <w:sz w:val="20"/>
          <w:szCs w:val="20"/>
          <w:color w:val="auto"/>
        </w:rPr>
      </w:pPr>
      <w:r>
        <w:rPr>
          <w:rFonts w:ascii="Arial" w:cs="Arial" w:eastAsia="Arial" w:hAnsi="Arial"/>
          <w:sz w:val="17"/>
          <w:szCs w:val="17"/>
          <w:i w:val="1"/>
          <w:iCs w:val="1"/>
          <w:color w:val="auto"/>
        </w:rPr>
        <w:t>of Our Securities</w:t>
      </w:r>
      <w:r>
        <w:rPr>
          <w:rFonts w:ascii="Arial" w:cs="Arial" w:eastAsia="Arial" w:hAnsi="Arial"/>
          <w:sz w:val="17"/>
          <w:szCs w:val="17"/>
          <w:color w:val="auto"/>
        </w:rPr>
        <w:t>.” for a description of how our sponsor, initial shareholders, directors,</w:t>
      </w:r>
    </w:p>
    <w:p>
      <w:pPr>
        <w:spacing w:after="0" w:line="232" w:lineRule="auto"/>
        <w:rPr>
          <w:sz w:val="20"/>
          <w:szCs w:val="20"/>
          <w:color w:val="auto"/>
        </w:rPr>
      </w:pPr>
      <w:r>
        <w:rPr>
          <w:rFonts w:ascii="Arial" w:cs="Arial" w:eastAsia="Arial" w:hAnsi="Arial"/>
          <w:sz w:val="17"/>
          <w:szCs w:val="17"/>
          <w:color w:val="auto"/>
        </w:rPr>
        <w:t>officers, advisors or any of their affiliates will select which shareholders to purchase</w:t>
      </w:r>
    </w:p>
    <w:p>
      <w:pPr>
        <w:spacing w:after="0" w:line="232" w:lineRule="auto"/>
        <w:rPr>
          <w:sz w:val="20"/>
          <w:szCs w:val="20"/>
          <w:color w:val="auto"/>
        </w:rPr>
      </w:pPr>
      <w:r>
        <w:rPr>
          <w:rFonts w:ascii="Arial" w:cs="Arial" w:eastAsia="Arial" w:hAnsi="Arial"/>
          <w:sz w:val="17"/>
          <w:szCs w:val="17"/>
          <w:color w:val="auto"/>
        </w:rPr>
        <w:t>securities from in any private transaction. Our sponsor, directors, officers, advisors or any</w:t>
      </w:r>
    </w:p>
    <w:p>
      <w:pPr>
        <w:spacing w:after="0" w:line="232" w:lineRule="auto"/>
        <w:rPr>
          <w:sz w:val="20"/>
          <w:szCs w:val="20"/>
          <w:color w:val="auto"/>
        </w:rPr>
      </w:pPr>
      <w:r>
        <w:rPr>
          <w:rFonts w:ascii="Arial" w:cs="Arial" w:eastAsia="Arial" w:hAnsi="Arial"/>
          <w:sz w:val="17"/>
          <w:szCs w:val="17"/>
          <w:color w:val="auto"/>
        </w:rPr>
        <w:t>of their affiliates will not make any purchases if the purchases would violate Section 9(a)</w:t>
      </w:r>
    </w:p>
    <w:p>
      <w:pPr>
        <w:spacing w:after="0"/>
        <w:rPr>
          <w:sz w:val="20"/>
          <w:szCs w:val="20"/>
          <w:color w:val="auto"/>
        </w:rPr>
      </w:pPr>
      <w:r>
        <w:rPr>
          <w:rFonts w:ascii="Arial" w:cs="Arial" w:eastAsia="Arial" w:hAnsi="Arial"/>
          <w:sz w:val="17"/>
          <w:szCs w:val="17"/>
          <w:color w:val="auto"/>
        </w:rPr>
        <w:t>(2) or Rule 10b-5 of the Exchange Act.</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shareholder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w:t>
      </w:r>
    </w:p>
    <w:p>
      <w:pPr>
        <w:spacing w:after="0" w:line="200" w:lineRule="exact"/>
        <w:rPr>
          <w:sz w:val="20"/>
          <w:szCs w:val="20"/>
          <w:color w:val="auto"/>
        </w:rPr>
      </w:pPr>
    </w:p>
    <w:p>
      <w:pPr>
        <w:sectPr>
          <w:pgSz w:w="11900" w:h="16838" w:orient="portrait"/>
          <w:cols w:equalWidth="0" w:num="2">
            <w:col w:w="4120" w:space="200"/>
            <w:col w:w="6720"/>
          </w:cols>
          <w:pgMar w:left="320" w:top="455" w:right="5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40"/>
          </w:cols>
          <w:pgMar w:left="320" w:top="455" w:right="5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733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5173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9" w:lineRule="auto"/>
        <w:rPr>
          <w:sz w:val="20"/>
          <w:szCs w:val="20"/>
          <w:color w:val="auto"/>
        </w:rPr>
      </w:pPr>
      <w:r>
        <w:rPr>
          <w:rFonts w:ascii="Arial" w:cs="Arial" w:eastAsia="Arial" w:hAnsi="Arial"/>
          <w:sz w:val="17"/>
          <w:szCs w:val="17"/>
          <w:color w:val="auto"/>
        </w:rPr>
        <w:t>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their founder shares and any public shares they may acquire during or after this offering in connection with the completion of our initial business combination.</w:t>
      </w:r>
    </w:p>
    <w:p>
      <w:pPr>
        <w:spacing w:after="0" w:line="174" w:lineRule="exact"/>
        <w:rPr>
          <w:sz w:val="20"/>
          <w:szCs w:val="20"/>
          <w:color w:val="auto"/>
        </w:rPr>
      </w:pPr>
    </w:p>
    <w:p>
      <w:pPr>
        <w:ind w:left="4320" w:right="80" w:hanging="4115"/>
        <w:spacing w:after="0" w:line="241" w:lineRule="auto"/>
        <w:tabs>
          <w:tab w:leader="none" w:pos="4300" w:val="left"/>
        </w:tabs>
        <w:rPr>
          <w:sz w:val="20"/>
          <w:szCs w:val="20"/>
          <w:color w:val="auto"/>
        </w:rPr>
      </w:pPr>
      <w:r>
        <w:rPr>
          <w:rFonts w:ascii="Arial" w:cs="Arial" w:eastAsia="Arial" w:hAnsi="Arial"/>
          <w:sz w:val="17"/>
          <w:szCs w:val="17"/>
          <w:b w:val="1"/>
          <w:bCs w:val="1"/>
          <w:color w:val="auto"/>
        </w:rPr>
        <w:t>Manner of conducting redemptions:</w:t>
      </w:r>
      <w:r>
        <w:rPr>
          <w:sz w:val="20"/>
          <w:szCs w:val="20"/>
          <w:color w:val="auto"/>
        </w:rPr>
        <w:tab/>
      </w: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(i) in connection with a general meeting called to approve the initial business combination or</w:t>
      </w:r>
    </w:p>
    <w:p>
      <w:pPr>
        <w:spacing w:after="0" w:line="2" w:lineRule="exact"/>
        <w:rPr>
          <w:sz w:val="20"/>
          <w:szCs w:val="20"/>
          <w:color w:val="auto"/>
        </w:rPr>
      </w:pPr>
    </w:p>
    <w:p>
      <w:pPr>
        <w:ind w:left="4320" w:right="40" w:hanging="9"/>
        <w:spacing w:after="0" w:line="234" w:lineRule="auto"/>
        <w:tabs>
          <w:tab w:leader="none" w:pos="45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without a shareholder vote by means of a tender offer. The decision as to whether we will seek shareholder approval of a proposed initial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Asset acquisitions and share purchases would not typically require shareholder approval while direct mergers with our company where we do not survive and any transactions where we issue more than 20% of our issued and outstanding Class A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61" w:lineRule="exact"/>
        <w:rPr>
          <w:sz w:val="20"/>
          <w:szCs w:val="20"/>
          <w:color w:val="auto"/>
        </w:rPr>
      </w:pPr>
    </w:p>
    <w:p>
      <w:pPr>
        <w:ind w:left="4320"/>
        <w:spacing w:after="0" w:line="238"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will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w:t>
      </w:r>
    </w:p>
    <w:p>
      <w:pPr>
        <w:spacing w:after="0" w:line="164" w:lineRule="exact"/>
        <w:rPr>
          <w:sz w:val="20"/>
          <w:szCs w:val="20"/>
          <w:color w:val="auto"/>
        </w:rPr>
      </w:pPr>
    </w:p>
    <w:p>
      <w:pPr>
        <w:ind w:left="4320" w:right="14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w:t>
      </w:r>
    </w:p>
    <w:p>
      <w:pPr>
        <w:spacing w:after="0" w:line="133" w:lineRule="exact"/>
        <w:rPr>
          <w:sz w:val="20"/>
          <w:szCs w:val="20"/>
          <w:color w:val="auto"/>
        </w:rPr>
      </w:pPr>
    </w:p>
    <w:p>
      <w:pPr>
        <w:ind w:left="4960" w:right="60" w:hanging="325"/>
        <w:spacing w:after="0" w:line="249" w:lineRule="auto"/>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ind w:left="4960" w:hanging="325"/>
        <w:spacing w:after="0"/>
        <w:tabs>
          <w:tab w:leader="none" w:pos="4960" w:val="left"/>
        </w:tabs>
        <w:numPr>
          <w:ilvl w:val="0"/>
          <w:numId w:val="16"/>
        </w:numPr>
        <w:rPr>
          <w:rFonts w:ascii="MS PGothic" w:cs="MS PGothic" w:eastAsia="MS PGothic" w:hAnsi="MS PGothic"/>
          <w:sz w:val="17"/>
          <w:szCs w:val="17"/>
          <w:color w:val="auto"/>
        </w:rPr>
      </w:pPr>
      <w:r>
        <w:rPr>
          <w:rFonts w:ascii="Arial" w:cs="Arial" w:eastAsia="Arial" w:hAnsi="Arial"/>
          <w:sz w:val="17"/>
          <w:szCs w:val="17"/>
          <w:color w:val="auto"/>
        </w:rPr>
        <w:t>file proxy materials with the SEC.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20"/>
          </w:cols>
          <w:pgMar w:left="320" w:top="455" w:right="5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61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53619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spacing w:after="0" w:line="234"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being the affirmative vote of a majority of the ordinary shares represented in person or by proxy and entitled to vote thereon and who vote in favour of the business combination. A quorum for such meeting will be present if the holders of a majority of issued and outstanding shares entitled to vote at the meeting are represented in person or by proxy. Our initial shareholders will count toward this quorum and, pursuant to the letter agreement, our sponsor, officers and directors have agreed to vote their founder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shareholders,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69" w:lineRule="exact"/>
        <w:rPr>
          <w:sz w:val="20"/>
          <w:szCs w:val="20"/>
          <w:color w:val="auto"/>
        </w:rPr>
      </w:pPr>
    </w:p>
    <w:p>
      <w:pPr>
        <w:ind w:left="4320" w:right="100"/>
        <w:spacing w:after="0" w:line="275" w:lineRule="auto"/>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33" w:lineRule="exact"/>
        <w:rPr>
          <w:sz w:val="20"/>
          <w:szCs w:val="20"/>
          <w:color w:val="auto"/>
        </w:rPr>
      </w:pPr>
    </w:p>
    <w:p>
      <w:pPr>
        <w:ind w:left="4960" w:right="400" w:hanging="325"/>
        <w:spacing w:after="0" w:line="275" w:lineRule="auto"/>
        <w:tabs>
          <w:tab w:leader="none" w:pos="4960"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32" w:lineRule="exact"/>
        <w:rPr>
          <w:rFonts w:ascii="MS PGothic" w:cs="MS PGothic" w:eastAsia="MS PGothic" w:hAnsi="MS PGothic"/>
          <w:sz w:val="17"/>
          <w:szCs w:val="17"/>
          <w:color w:val="auto"/>
        </w:rPr>
      </w:pPr>
    </w:p>
    <w:p>
      <w:pPr>
        <w:ind w:left="4960" w:hanging="325"/>
        <w:spacing w:after="0" w:line="242" w:lineRule="auto"/>
        <w:tabs>
          <w:tab w:leader="none" w:pos="4960"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62" w:lineRule="exact"/>
        <w:rPr>
          <w:sz w:val="20"/>
          <w:szCs w:val="20"/>
          <w:color w:val="auto"/>
        </w:rPr>
      </w:pPr>
    </w:p>
    <w:p>
      <w:pPr>
        <w:ind w:left="4320" w:right="20"/>
        <w:spacing w:after="0" w:line="238"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40"/>
          </w:cols>
          <w:pgMar w:left="320" w:top="455" w:right="5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0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20" w:right="60"/>
        <w:spacing w:after="0" w:line="246"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57" w:lineRule="exact"/>
        <w:rPr>
          <w:sz w:val="20"/>
          <w:szCs w:val="20"/>
          <w:color w:val="auto"/>
        </w:rPr>
      </w:pPr>
    </w:p>
    <w:p>
      <w:pPr>
        <w:ind w:left="4320"/>
        <w:spacing w:after="0" w:line="234"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69" w:lineRule="exact"/>
        <w:rPr>
          <w:sz w:val="20"/>
          <w:szCs w:val="20"/>
          <w:color w:val="auto"/>
        </w:rPr>
      </w:pPr>
    </w:p>
    <w:p>
      <w:pPr>
        <w:ind w:left="4320" w:right="60"/>
        <w:spacing w:after="0" w:line="237"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2" w:lineRule="exact"/>
        <w:rPr>
          <w:sz w:val="20"/>
          <w:szCs w:val="20"/>
          <w:color w:val="auto"/>
        </w:rPr>
      </w:pPr>
    </w:p>
    <w:p>
      <w:pPr>
        <w:ind w:left="4320" w:right="20" w:hanging="9"/>
        <w:spacing w:after="0" w:line="235" w:lineRule="auto"/>
        <w:tabs>
          <w:tab w:leader="none" w:pos="45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320" w:top="455" w:right="539" w:bottom="1440" w:gutter="0" w:footer="0" w:header="0"/>
        </w:sectPr>
      </w:pPr>
    </w:p>
    <w:bookmarkStart w:id="29" w:name="page30"/>
    <w:bookmarkEnd w:id="2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4752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475297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80" w:hanging="80"/>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15% or more of the shares sold in this offering if we hold shareholder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7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62" w:lineRule="exact"/>
        <w:rPr>
          <w:sz w:val="20"/>
          <w:szCs w:val="20"/>
          <w:color w:val="auto"/>
        </w:rPr>
      </w:pPr>
    </w:p>
    <w:p>
      <w:pPr>
        <w:sectPr>
          <w:pgSz w:w="11900" w:h="16838" w:orient="portrait"/>
          <w:cols w:equalWidth="0" w:num="2">
            <w:col w:w="4100" w:space="220"/>
            <w:col w:w="6720"/>
          </w:cols>
          <w:pgMar w:left="320" w:top="455" w:right="539" w:bottom="1440" w:gutter="0" w:footer="0" w:header="0"/>
          <w:type w:val="continuous"/>
        </w:sectPr>
      </w:pPr>
    </w:p>
    <w:p>
      <w:pPr>
        <w:ind w:left="280" w:hanging="80"/>
        <w:spacing w:after="0" w:line="290"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shareholders who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w:t>
      </w:r>
    </w:p>
    <w:p>
      <w:pPr>
        <w:spacing w:after="0" w:line="200" w:lineRule="exact"/>
        <w:rPr>
          <w:sz w:val="20"/>
          <w:szCs w:val="20"/>
          <w:color w:val="auto"/>
        </w:rPr>
      </w:pPr>
    </w:p>
    <w:p>
      <w:pPr>
        <w:sectPr>
          <w:pgSz w:w="11900" w:h="16838" w:orient="portrait"/>
          <w:cols w:equalWidth="0" w:num="2">
            <w:col w:w="4040" w:space="280"/>
            <w:col w:w="6720"/>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40"/>
          </w:cols>
          <w:pgMar w:left="320" w:top="455" w:right="539" w:bottom="1440" w:gutter="0" w:footer="0" w:header="0"/>
          <w:type w:val="continuous"/>
        </w:sectPr>
      </w:pPr>
    </w:p>
    <w:bookmarkStart w:id="30" w:name="page31"/>
    <w:bookmarkEnd w:id="3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241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 w:hanging="80"/>
        <w:spacing w:after="0" w:line="290" w:lineRule="auto"/>
        <w:rPr>
          <w:sz w:val="20"/>
          <w:szCs w:val="20"/>
          <w:color w:val="auto"/>
        </w:rPr>
      </w:pPr>
      <w:r>
        <w:rPr>
          <w:rFonts w:ascii="Arial" w:cs="Arial" w:eastAsia="Arial" w:hAnsi="Arial"/>
          <w:sz w:val="17"/>
          <w:szCs w:val="17"/>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 w:right="40"/>
        <w:spacing w:after="0" w:line="239" w:lineRule="auto"/>
        <w:rPr>
          <w:sz w:val="20"/>
          <w:szCs w:val="20"/>
          <w:color w:val="auto"/>
        </w:rPr>
      </w:pPr>
      <w:r>
        <w:rPr>
          <w:rFonts w:ascii="Arial" w:cs="Arial" w:eastAsia="Arial" w:hAnsi="Arial"/>
          <w:sz w:val="17"/>
          <w:szCs w:val="17"/>
          <w:color w:val="auto"/>
        </w:rPr>
        <w:t>combination is paid for using equity or debt securities, or not all of the funds released from the trust account are used for payment of the consideration in connection with our initial business combination, we may use the balance of the cash released to us from the trust account following the closing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76" w:lineRule="exact"/>
        <w:rPr>
          <w:sz w:val="20"/>
          <w:szCs w:val="20"/>
          <w:color w:val="auto"/>
        </w:rPr>
      </w:pPr>
    </w:p>
    <w:p>
      <w:pPr>
        <w:ind w:left="9" w:right="80"/>
        <w:spacing w:after="0" w:line="238"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 (i) cease all operations except for the purpose of winding up,</w:t>
      </w:r>
    </w:p>
    <w:p>
      <w:pPr>
        <w:spacing w:after="0" w:line="3" w:lineRule="exact"/>
        <w:rPr>
          <w:sz w:val="20"/>
          <w:szCs w:val="20"/>
          <w:color w:val="auto"/>
        </w:rPr>
      </w:pPr>
    </w:p>
    <w:p>
      <w:pPr>
        <w:ind w:left="9" w:hanging="9"/>
        <w:spacing w:after="0" w:line="233" w:lineRule="auto"/>
        <w:tabs>
          <w:tab w:leader="none" w:pos="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70" w:lineRule="exact"/>
        <w:rPr>
          <w:sz w:val="20"/>
          <w:szCs w:val="20"/>
          <w:color w:val="auto"/>
        </w:rPr>
      </w:pPr>
    </w:p>
    <w:p>
      <w:pPr>
        <w:ind w:left="9" w:right="60"/>
        <w:spacing w:after="0" w:line="238"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initial shareholders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64" w:lineRule="exact"/>
        <w:rPr>
          <w:sz w:val="20"/>
          <w:szCs w:val="20"/>
          <w:color w:val="auto"/>
        </w:rPr>
      </w:pPr>
    </w:p>
    <w:p>
      <w:pPr>
        <w:ind w:left="9" w:right="60"/>
        <w:spacing w:after="0" w:line="242" w:lineRule="auto"/>
        <w:rPr>
          <w:sz w:val="20"/>
          <w:szCs w:val="20"/>
          <w:color w:val="auto"/>
        </w:rPr>
      </w:pPr>
      <w:r>
        <w:rPr>
          <w:rFonts w:ascii="Arial" w:cs="Arial" w:eastAsia="Arial" w:hAnsi="Arial"/>
          <w:sz w:val="17"/>
          <w:szCs w:val="17"/>
          <w:color w:val="auto"/>
        </w:rPr>
        <w:t>The underwriters have agreed to waive their rights to their deferred underwriting commission held in the trust account in the event we do not complete our initial business combination within 24 months from the closing of this offering and, in such event, such amounts will be included with the funds held in the trust account that will be available to fund the redemption of our public shares.</w:t>
      </w:r>
    </w:p>
    <w:p>
      <w:pPr>
        <w:spacing w:after="0" w:line="200" w:lineRule="exact"/>
        <w:rPr>
          <w:sz w:val="20"/>
          <w:szCs w:val="20"/>
          <w:color w:val="auto"/>
        </w:rPr>
      </w:pPr>
    </w:p>
    <w:p>
      <w:pPr>
        <w:sectPr>
          <w:pgSz w:w="11900" w:h="16838" w:orient="portrait"/>
          <w:cols w:equalWidth="0" w:num="2">
            <w:col w:w="4240" w:space="71"/>
            <w:col w:w="6729"/>
          </w:cols>
          <w:pgMar w:left="320" w:top="455" w:right="5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40"/>
          </w:cols>
          <w:pgMar w:left="320" w:top="455" w:right="5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34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7"/>
                <w:szCs w:val="17"/>
                <w:color w:val="auto"/>
              </w:rPr>
              <w:t>Our sponsor, officers and directors have agreed, pursuant to a letter agreement, that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they will not propose any amendment to our amended and restated memorandum and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articles of association (A) to modify the substance or timing of our obligation to allow</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redemption in connection with our initial business combination or to redeem 100% of our</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public shares if we do not complete our initial business combination within 24 months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from the closing of this offering or (B) with respect to any other material provisions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relating to shareholders’ rights or pre-initial business combination activity, unless we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provide our public shareholders with the opportunity to redeem their Class A ordinary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shares upon approval of any such amendment at a per-share price, payable in cash,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equal to the aggregate amount then on deposit in the trust account, including interest</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earned on the funds held in the trust account and not previously released to us to pay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our taxes, divided by the number of then outstanding public shares, subject to the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limitations and on the conditions described above under “Limitations on redemptions.”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For example, our board of directors may propose such an amendment if it determines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that additional time is necessary to complete our initial business combination. In such</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event, we will conduct a proxy solicitation and distribute proxy materials pursuant to</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Regulation 14A of the Exchange Act seeking shareholder approval of such proposal, and</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in connection therewith, provide our public shareholders with the redemption rights</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described above upon shareholder approval of such amendment.</w:t>
            </w:r>
          </w:p>
        </w:tc>
      </w:tr>
      <w:tr>
        <w:trPr>
          <w:trHeight w:val="350"/>
        </w:trPr>
        <w:tc>
          <w:tcPr>
            <w:tcW w:w="34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Limited payments to insiders:</w:t>
            </w: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There will be no finder’s fees, reimbursement, consulting fee, monies in respect of any</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payment of a loan or other compensation paid by us to our sponsor, officers or directors,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or any affiliate of our sponsor or officers prior to, or in connection with any services</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rendered in order to effectuate, the consummation of our initial business combination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(regardless of the type of transaction that it is). However, the following payments will be</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860"/>
              <w:spacing w:after="0" w:line="189" w:lineRule="exact"/>
              <w:rPr>
                <w:sz w:val="20"/>
                <w:szCs w:val="20"/>
                <w:color w:val="auto"/>
              </w:rPr>
            </w:pPr>
            <w:r>
              <w:rPr>
                <w:rFonts w:ascii="Arial" w:cs="Arial" w:eastAsia="Arial" w:hAnsi="Arial"/>
                <w:sz w:val="17"/>
                <w:szCs w:val="17"/>
                <w:color w:val="auto"/>
              </w:rPr>
              <w:t>made to our sponsor, officers or directors, or our or their affiliates, and, if made prior to</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860"/>
              <w:spacing w:after="0"/>
              <w:rPr>
                <w:sz w:val="20"/>
                <w:szCs w:val="20"/>
                <w:color w:val="auto"/>
              </w:rPr>
            </w:pPr>
            <w:r>
              <w:rPr>
                <w:rFonts w:ascii="Arial" w:cs="Arial" w:eastAsia="Arial" w:hAnsi="Arial"/>
                <w:sz w:val="17"/>
                <w:szCs w:val="17"/>
                <w:color w:val="auto"/>
              </w:rPr>
              <w:t>our initial business combination will be made from funds held outside the trust account:</w:t>
            </w:r>
          </w:p>
        </w:tc>
      </w:tr>
      <w:tr>
        <w:trPr>
          <w:trHeight w:val="351"/>
        </w:trPr>
        <w:tc>
          <w:tcPr>
            <w:tcW w:w="34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up to an aggregate of $300,000 in loans made to us by our</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sponsor to cover offering-related and organizational expenses;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to our sponsor of $10,000 per month for office space, utilities,</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secretarial and administrative support services provided to us;</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Payment of customary fees we may elect to make to members of our board of</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directors for director service;</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Reimbursement for any out-of-pocket expenses related to identifying,</w:t>
            </w:r>
          </w:p>
        </w:tc>
      </w:tr>
      <w:tr>
        <w:trPr>
          <w:trHeight w:val="220"/>
        </w:trPr>
        <w:tc>
          <w:tcPr>
            <w:tcW w:w="3460" w:type="dxa"/>
            <w:vAlign w:val="bottom"/>
            <w:tcBorders>
              <w:left w:val="single" w:sz="8" w:color="auto"/>
            </w:tcBorders>
          </w:tcPr>
          <w:p>
            <w:pPr>
              <w:spacing w:after="0"/>
              <w:rPr>
                <w:sz w:val="19"/>
                <w:szCs w:val="19"/>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investigating, negotiating and completing an initial business combination; and</w:t>
            </w:r>
          </w:p>
        </w:tc>
      </w:tr>
      <w:tr>
        <w:trPr>
          <w:trHeight w:val="199"/>
        </w:trPr>
        <w:tc>
          <w:tcPr>
            <w:tcW w:w="3460" w:type="dxa"/>
            <w:vAlign w:val="bottom"/>
            <w:tcBorders>
              <w:left w:val="single" w:sz="8" w:color="auto"/>
            </w:tcBorders>
          </w:tcPr>
          <w:p>
            <w:pPr>
              <w:spacing w:after="0"/>
              <w:rPr>
                <w:sz w:val="17"/>
                <w:szCs w:val="17"/>
                <w:color w:val="auto"/>
              </w:rPr>
            </w:pPr>
          </w:p>
        </w:tc>
        <w:tc>
          <w:tcPr>
            <w:tcW w:w="7780" w:type="dxa"/>
            <w:vAlign w:val="bottom"/>
            <w:tcBorders>
              <w:right w:val="single" w:sz="8" w:color="auto"/>
            </w:tcBorders>
          </w:tcPr>
          <w:p>
            <w:pPr>
              <w:ind w:left="1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Repayment of loans which may be made by our sponsor or an affiliate of our</w:t>
            </w:r>
          </w:p>
        </w:tc>
      </w:tr>
      <w:tr>
        <w:trPr>
          <w:trHeight w:val="188"/>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8" w:lineRule="exact"/>
              <w:rPr>
                <w:sz w:val="20"/>
                <w:szCs w:val="20"/>
                <w:color w:val="auto"/>
              </w:rPr>
            </w:pPr>
            <w:r>
              <w:rPr>
                <w:rFonts w:ascii="Arial" w:cs="Arial" w:eastAsia="Arial" w:hAnsi="Arial"/>
                <w:sz w:val="17"/>
                <w:szCs w:val="17"/>
                <w:color w:val="auto"/>
              </w:rPr>
              <w:t>sponsor or certain of our officers and directors to finance transaction costs in</w:t>
            </w:r>
          </w:p>
        </w:tc>
      </w:tr>
      <w:tr>
        <w:trPr>
          <w:trHeight w:val="189"/>
        </w:trPr>
        <w:tc>
          <w:tcPr>
            <w:tcW w:w="3460" w:type="dxa"/>
            <w:vAlign w:val="bottom"/>
            <w:tcBorders>
              <w:left w:val="single" w:sz="8" w:color="auto"/>
            </w:tcBorders>
          </w:tcPr>
          <w:p>
            <w:pPr>
              <w:spacing w:after="0"/>
              <w:rPr>
                <w:sz w:val="16"/>
                <w:szCs w:val="16"/>
                <w:color w:val="auto"/>
              </w:rPr>
            </w:pPr>
          </w:p>
        </w:tc>
        <w:tc>
          <w:tcPr>
            <w:tcW w:w="7780" w:type="dxa"/>
            <w:vAlign w:val="bottom"/>
            <w:tcBorders>
              <w:right w:val="single" w:sz="8" w:color="auto"/>
            </w:tcBorders>
          </w:tcPr>
          <w:p>
            <w:pPr>
              <w:ind w:left="1500"/>
              <w:spacing w:after="0" w:line="189" w:lineRule="exact"/>
              <w:rPr>
                <w:sz w:val="20"/>
                <w:szCs w:val="20"/>
                <w:color w:val="auto"/>
              </w:rPr>
            </w:pPr>
            <w:r>
              <w:rPr>
                <w:rFonts w:ascii="Arial" w:cs="Arial" w:eastAsia="Arial" w:hAnsi="Arial"/>
                <w:sz w:val="17"/>
                <w:szCs w:val="17"/>
                <w:color w:val="auto"/>
              </w:rPr>
              <w:t>connection with an intended initial business combination. Up to $1,500,000 of</w:t>
            </w:r>
          </w:p>
        </w:tc>
      </w:tr>
      <w:tr>
        <w:trPr>
          <w:trHeight w:val="231"/>
        </w:trPr>
        <w:tc>
          <w:tcPr>
            <w:tcW w:w="34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1500"/>
              <w:spacing w:after="0"/>
              <w:rPr>
                <w:sz w:val="20"/>
                <w:szCs w:val="20"/>
                <w:color w:val="auto"/>
              </w:rPr>
            </w:pPr>
            <w:r>
              <w:rPr>
                <w:rFonts w:ascii="Arial" w:cs="Arial" w:eastAsia="Arial" w:hAnsi="Arial"/>
                <w:sz w:val="17"/>
                <w:szCs w:val="17"/>
                <w:color w:val="auto"/>
              </w:rPr>
              <w:t>such loans may be</w:t>
            </w:r>
          </w:p>
        </w:tc>
      </w:tr>
      <w:tr>
        <w:trPr>
          <w:trHeight w:val="226"/>
        </w:trPr>
        <w:tc>
          <w:tcPr>
            <w:tcW w:w="3460" w:type="dxa"/>
            <w:vAlign w:val="bottom"/>
            <w:tcBorders>
              <w:left w:val="single" w:sz="8" w:color="auto"/>
              <w:bottom w:val="single" w:sz="8" w:color="auto"/>
            </w:tcBorders>
          </w:tcPr>
          <w:p>
            <w:pPr>
              <w:spacing w:after="0"/>
              <w:rPr>
                <w:sz w:val="19"/>
                <w:szCs w:val="19"/>
                <w:color w:val="auto"/>
              </w:rPr>
            </w:pPr>
          </w:p>
        </w:tc>
        <w:tc>
          <w:tcPr>
            <w:tcW w:w="7780" w:type="dxa"/>
            <w:vAlign w:val="bottom"/>
            <w:tcBorders>
              <w:bottom w:val="single" w:sz="8" w:color="auto"/>
              <w:right w:val="single" w:sz="8" w:color="auto"/>
            </w:tcBorders>
          </w:tcPr>
          <w:p>
            <w:pPr>
              <w:spacing w:after="0"/>
              <w:rPr>
                <w:sz w:val="19"/>
                <w:szCs w:val="19"/>
                <w:color w:val="auto"/>
              </w:rPr>
            </w:pPr>
          </w:p>
        </w:tc>
      </w:tr>
      <w:tr>
        <w:trPr>
          <w:trHeight w:val="589"/>
        </w:trPr>
        <w:tc>
          <w:tcPr>
            <w:tcW w:w="3460" w:type="dxa"/>
            <w:vAlign w:val="bottom"/>
          </w:tcPr>
          <w:p>
            <w:pPr>
              <w:spacing w:after="0"/>
              <w:rPr>
                <w:sz w:val="24"/>
                <w:szCs w:val="24"/>
                <w:color w:val="auto"/>
              </w:rPr>
            </w:pPr>
          </w:p>
        </w:tc>
        <w:tc>
          <w:tcPr>
            <w:tcW w:w="7780" w:type="dxa"/>
            <w:vAlign w:val="bottom"/>
          </w:tcPr>
          <w:p>
            <w:pPr>
              <w:ind w:left="2080"/>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53"/>
        </w:trPr>
        <w:tc>
          <w:tcPr>
            <w:tcW w:w="296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7"/>
                <w:szCs w:val="17"/>
                <w:color w:val="auto"/>
              </w:rPr>
              <w:t>convertible into private placement warrants of the post-business combination</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entity at a price of $1.00 per warrant at the option of the lender. Such warrants</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would be identical to the private placement warrants. Except for the foregoing, the</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900"/>
              <w:spacing w:after="0" w:line="189" w:lineRule="exact"/>
              <w:rPr>
                <w:sz w:val="20"/>
                <w:szCs w:val="20"/>
                <w:color w:val="auto"/>
              </w:rPr>
            </w:pPr>
            <w:r>
              <w:rPr>
                <w:rFonts w:ascii="Arial" w:cs="Arial" w:eastAsia="Arial" w:hAnsi="Arial"/>
                <w:sz w:val="17"/>
                <w:szCs w:val="17"/>
                <w:color w:val="auto"/>
              </w:rPr>
              <w:t>terms of such loans, if any, have not been determined and no written agreements</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900"/>
              <w:spacing w:after="0"/>
              <w:rPr>
                <w:sz w:val="20"/>
                <w:szCs w:val="20"/>
                <w:color w:val="auto"/>
              </w:rPr>
            </w:pPr>
            <w:r>
              <w:rPr>
                <w:rFonts w:ascii="Arial" w:cs="Arial" w:eastAsia="Arial" w:hAnsi="Arial"/>
                <w:sz w:val="17"/>
                <w:szCs w:val="17"/>
                <w:color w:val="auto"/>
              </w:rPr>
              <w:t>exist with respect to such loans.</w:t>
            </w:r>
          </w:p>
        </w:tc>
      </w:tr>
      <w:tr>
        <w:trPr>
          <w:trHeight w:val="350"/>
        </w:trPr>
        <w:tc>
          <w:tcPr>
            <w:tcW w:w="2960" w:type="dxa"/>
            <w:vAlign w:val="bottom"/>
            <w:tcBorders>
              <w:left w:val="single" w:sz="8" w:color="auto"/>
            </w:tcBorders>
          </w:tcPr>
          <w:p>
            <w:pPr>
              <w:ind w:left="200"/>
              <w:spacing w:after="0"/>
              <w:rPr>
                <w:sz w:val="20"/>
                <w:szCs w:val="20"/>
                <w:color w:val="auto"/>
              </w:rPr>
            </w:pPr>
            <w:r>
              <w:rPr>
                <w:rFonts w:ascii="Arial" w:cs="Arial" w:eastAsia="Arial" w:hAnsi="Arial"/>
                <w:sz w:val="17"/>
                <w:szCs w:val="17"/>
                <w:b w:val="1"/>
                <w:bCs w:val="1"/>
                <w:color w:val="auto"/>
              </w:rPr>
              <w:t>Audit committee:</w:t>
            </w: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color w:val="auto"/>
              </w:rPr>
              <w:t>We will establish and maintain an audit committee. Among its responsibilities, the audit</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committee will review on a quarterly basis all payments that were made to our sponsor,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officers or directors, or our or their affiliates and monitor compliance with the other terms</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relating to this offering. If any noncompliance is identified, then the audit committee will</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be charged with the responsibility to promptly take all action necessary to rectify such</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noncompliance or otherwise to cause compliance with the terms of this offering. For</w:t>
            </w:r>
          </w:p>
        </w:tc>
      </w:tr>
      <w:tr>
        <w:trPr>
          <w:trHeight w:val="189"/>
        </w:trPr>
        <w:tc>
          <w:tcPr>
            <w:tcW w:w="2960" w:type="dxa"/>
            <w:vAlign w:val="bottom"/>
            <w:tcBorders>
              <w:left w:val="single" w:sz="8" w:color="auto"/>
            </w:tcBorders>
          </w:tcPr>
          <w:p>
            <w:pPr>
              <w:spacing w:after="0"/>
              <w:rPr>
                <w:sz w:val="16"/>
                <w:szCs w:val="16"/>
                <w:color w:val="auto"/>
              </w:rPr>
            </w:pPr>
          </w:p>
        </w:tc>
        <w:tc>
          <w:tcPr>
            <w:tcW w:w="8280" w:type="dxa"/>
            <w:vAlign w:val="bottom"/>
            <w:tcBorders>
              <w:right w:val="single" w:sz="8" w:color="auto"/>
            </w:tcBorders>
          </w:tcPr>
          <w:p>
            <w:pPr>
              <w:ind w:left="1360"/>
              <w:spacing w:after="0" w:line="189" w:lineRule="exact"/>
              <w:rPr>
                <w:sz w:val="20"/>
                <w:szCs w:val="20"/>
                <w:color w:val="auto"/>
              </w:rPr>
            </w:pPr>
            <w:r>
              <w:rPr>
                <w:rFonts w:ascii="Arial" w:cs="Arial" w:eastAsia="Arial" w:hAnsi="Arial"/>
                <w:sz w:val="17"/>
                <w:szCs w:val="17"/>
                <w:color w:val="auto"/>
              </w:rPr>
              <w:t>more information, see the section entitled “</w:t>
            </w:r>
            <w:r>
              <w:rPr>
                <w:rFonts w:ascii="Arial" w:cs="Arial" w:eastAsia="Arial" w:hAnsi="Arial"/>
                <w:sz w:val="17"/>
                <w:szCs w:val="17"/>
                <w:i w:val="1"/>
                <w:iCs w:val="1"/>
                <w:color w:val="auto"/>
              </w:rPr>
              <w:t>Management—Committees of the Board of</w:t>
            </w:r>
          </w:p>
        </w:tc>
      </w:tr>
      <w:tr>
        <w:trPr>
          <w:trHeight w:val="231"/>
        </w:trPr>
        <w:tc>
          <w:tcPr>
            <w:tcW w:w="296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360"/>
              <w:spacing w:after="0"/>
              <w:rPr>
                <w:sz w:val="20"/>
                <w:szCs w:val="20"/>
                <w:color w:val="auto"/>
              </w:rPr>
            </w:pPr>
            <w:r>
              <w:rPr>
                <w:rFonts w:ascii="Arial" w:cs="Arial" w:eastAsia="Arial" w:hAnsi="Arial"/>
                <w:sz w:val="17"/>
                <w:szCs w:val="17"/>
                <w:i w:val="1"/>
                <w:iCs w:val="1"/>
                <w:color w:val="auto"/>
              </w:rPr>
              <w:t>Directors—Audit Committee</w:t>
            </w:r>
            <w:r>
              <w:rPr>
                <w:rFonts w:ascii="Arial" w:cs="Arial" w:eastAsia="Arial" w:hAnsi="Arial"/>
                <w:sz w:val="17"/>
                <w:szCs w:val="17"/>
                <w:color w:val="auto"/>
              </w:rPr>
              <w:t>.”</w:t>
            </w:r>
          </w:p>
        </w:tc>
      </w:tr>
      <w:tr>
        <w:trPr>
          <w:trHeight w:val="226"/>
        </w:trPr>
        <w:tc>
          <w:tcPr>
            <w:tcW w:w="2960" w:type="dxa"/>
            <w:vAlign w:val="bottom"/>
            <w:tcBorders>
              <w:left w:val="single" w:sz="8" w:color="auto"/>
              <w:bottom w:val="single" w:sz="8" w:color="auto"/>
            </w:tcBorders>
          </w:tcPr>
          <w:p>
            <w:pPr>
              <w:spacing w:after="0"/>
              <w:rPr>
                <w:sz w:val="19"/>
                <w:szCs w:val="19"/>
                <w:color w:val="auto"/>
              </w:rPr>
            </w:pPr>
          </w:p>
        </w:tc>
        <w:tc>
          <w:tcPr>
            <w:tcW w:w="8280" w:type="dxa"/>
            <w:vAlign w:val="bottom"/>
            <w:tcBorders>
              <w:bottom w:val="single" w:sz="8" w:color="auto"/>
              <w:right w:val="single" w:sz="8" w:color="auto"/>
            </w:tcBorders>
          </w:tcPr>
          <w:p>
            <w:pPr>
              <w:spacing w:after="0"/>
              <w:rPr>
                <w:sz w:val="19"/>
                <w:szCs w:val="19"/>
                <w:color w:val="auto"/>
              </w:rPr>
            </w:pPr>
          </w:p>
        </w:tc>
      </w:tr>
      <w:tr>
        <w:trPr>
          <w:trHeight w:val="589"/>
        </w:trPr>
        <w:tc>
          <w:tcPr>
            <w:tcW w:w="2960" w:type="dxa"/>
            <w:vAlign w:val="bottom"/>
          </w:tcPr>
          <w:p>
            <w:pPr>
              <w:spacing w:after="0"/>
              <w:rPr>
                <w:sz w:val="24"/>
                <w:szCs w:val="24"/>
                <w:color w:val="auto"/>
              </w:rPr>
            </w:pPr>
          </w:p>
        </w:tc>
        <w:tc>
          <w:tcPr>
            <w:tcW w:w="8280" w:type="dxa"/>
            <w:vAlign w:val="bottom"/>
          </w:tcPr>
          <w:p>
            <w:pPr>
              <w:ind w:left="2580"/>
              <w:spacing w:after="0"/>
              <w:rPr>
                <w:sz w:val="20"/>
                <w:szCs w:val="20"/>
                <w:color w:val="auto"/>
              </w:rPr>
            </w:pPr>
            <w:r>
              <w:rPr>
                <w:rFonts w:ascii="Arial" w:cs="Arial" w:eastAsia="Arial" w:hAnsi="Arial"/>
                <w:sz w:val="16"/>
                <w:szCs w:val="16"/>
                <w:color w:val="auto"/>
              </w:rPr>
              <w:t>30</w:t>
            </w:r>
          </w:p>
        </w:tc>
      </w:tr>
    </w:tbl>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w:t>
      </w:r>
    </w:p>
    <w:p>
      <w:pPr>
        <w:spacing w:after="0" w:line="316"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 You should carefully consider these and the other risks set forth in the section entitled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Data</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AUGUST 3,</w:t>
            </w:r>
          </w:p>
        </w:tc>
      </w:tr>
      <w:tr>
        <w:trPr>
          <w:trHeight w:val="177"/>
        </w:trPr>
        <w:tc>
          <w:tcPr>
            <w:tcW w:w="3820" w:type="dxa"/>
            <w:vAlign w:val="bottom"/>
            <w:tcBorders>
              <w:bottom w:val="single" w:sz="8" w:color="CCEEFF"/>
            </w:tcBorders>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r>
      <w:tr>
        <w:trPr>
          <w:trHeight w:val="169"/>
        </w:trPr>
        <w:tc>
          <w:tcPr>
            <w:tcW w:w="38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6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Working capital (deficiency)</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78,394</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6680" w:type="dxa"/>
            <w:vAlign w:val="bottom"/>
            <w:gridSpan w:val="2"/>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6680" w:type="dxa"/>
            <w:vAlign w:val="bottom"/>
            <w:gridSpan w:val="2"/>
            <w:shd w:val="clear" w:color="auto" w:fill="CCEEFF"/>
          </w:tcPr>
          <w:p>
            <w:pPr>
              <w:ind w:left="654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18,394</w:t>
            </w:r>
          </w:p>
        </w:tc>
      </w:tr>
      <w:tr>
        <w:trPr>
          <w:trHeight w:val="349"/>
        </w:trPr>
        <w:tc>
          <w:tcPr>
            <w:tcW w:w="3820" w:type="dxa"/>
            <w:vAlign w:val="bottom"/>
          </w:tcPr>
          <w:p>
            <w:pPr>
              <w:spacing w:after="0"/>
              <w:rPr>
                <w:sz w:val="24"/>
                <w:szCs w:val="24"/>
                <w:color w:val="auto"/>
              </w:rPr>
            </w:pPr>
          </w:p>
        </w:tc>
        <w:tc>
          <w:tcPr>
            <w:tcW w:w="6540" w:type="dxa"/>
            <w:vAlign w:val="bottom"/>
          </w:tcPr>
          <w:p>
            <w:pPr>
              <w:jc w:val="right"/>
              <w:ind w:right="4555"/>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39"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We are a blank check company with no operating history and no revenues, and you have no basis on which to evaluate our ability to achieve our business objective.</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a blank check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the holders of our founder shares will participate in the vote on such approval. Accordingly, we may complete our initial business combination even if holders of a majority of our ordinary shares do not approve of the business combination we complete. Please see the section entitled “</w:t>
      </w:r>
      <w:r>
        <w:rPr>
          <w:rFonts w:ascii="Arial" w:cs="Arial" w:eastAsia="Arial" w:hAnsi="Arial"/>
          <w:sz w:val="17"/>
          <w:szCs w:val="17"/>
          <w:i w:val="1"/>
          <w:iCs w:val="1"/>
          <w:color w:val="auto"/>
        </w:rPr>
        <w:t>Proposed Business—Shareholders May Not Have the Ability to Approve Our</w:t>
      </w:r>
      <w:r>
        <w:rPr>
          <w:rFonts w:ascii="Arial" w:cs="Arial" w:eastAsia="Arial" w:hAnsi="Arial"/>
          <w:sz w:val="17"/>
          <w:szCs w:val="17"/>
          <w:color w:val="auto"/>
        </w:rPr>
        <w:t xml:space="preserve"> </w:t>
      </w:r>
      <w:r>
        <w:rPr>
          <w:rFonts w:ascii="Arial" w:cs="Arial" w:eastAsia="Arial" w:hAnsi="Arial"/>
          <w:sz w:val="17"/>
          <w:szCs w:val="17"/>
          <w:i w:val="1"/>
          <w:iCs w:val="1"/>
          <w:color w:val="auto"/>
        </w:rPr>
        <w:t>Initial Business Combination</w:t>
      </w:r>
      <w:r>
        <w:rPr>
          <w:rFonts w:ascii="Arial" w:cs="Arial" w:eastAsia="Arial" w:hAnsi="Arial"/>
          <w:sz w:val="17"/>
          <w:szCs w:val="17"/>
          <w:color w:val="auto"/>
        </w:rPr>
        <w:t>” for additional information.</w:t>
      </w:r>
    </w:p>
    <w:p>
      <w:pPr>
        <w:spacing w:after="0" w:line="4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Your only opportunity to effect your investment decision regarding a potential business combination may be limited to the exercise of your right to redeem your shares from us for cash.</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effect your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initial shareholders and management team have agreed to vote in favor of such initial business combination, regardless of how our public shareholders vote.</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Our initial shareholders will own 20% of our issued and outstanding ordinary shares immediately following the completion of this offering (assuming our initial shareholders do not purchase any units in this offering).</w:t>
      </w:r>
    </w:p>
    <w:p>
      <w:pPr>
        <w:spacing w:after="0" w:line="11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initial shareholders and management team also may from time to time purchase Class A ordinary shares prior to our initial business combination. Our amended and restated memorandum and articles of association provides that, if we seek shareholder approval of an initial business combination, such initial business combination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option is not exercised). Accordingly, if we seek shareholder approval of our initial business combination, the agreement by our initial shareholders and management team to vote in favor of our initial business combination will increase the likelihood that we will receive an ordinary resolution, being the requisite shareholder approval for such initial business combination.</w:t>
      </w:r>
    </w:p>
    <w:p>
      <w:pPr>
        <w:spacing w:after="0" w:line="3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42"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5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trust account until we liquidate the trust account. If you are in need of immediate liquidity, you could attempt to sell your shares in the open market; however, at such time our shares may trade at a discount to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 as well as protectionist legislation in our target markets.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This outbreak of COVID-19 has resulted in a widespread health crisis that has and may continue to adversely affect the economies and financial markets worldwide, and the business of any potential target business with which we may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for and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w:t>
      </w:r>
    </w:p>
    <w:p>
      <w:pPr>
        <w:spacing w:after="0" w:line="30"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i w:val="1"/>
          <w:i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Additionally, the outbreak of COVID-19 may negatively impact businesses we may seek to acquire. If we have not completed our initial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4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our sponsor, initial shareholders, directors, officers, advisors and their affiliates may elect to purchase shares or public warrants from public shareholders, which may influence a vote on a proposed business combination and reduce the public “float” of our Class A ordinary shares.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officers, advisors or their affiliates may purchase shares or public warrants in privately negotiated transactions or in the open market either prior to or following the completion of our initial business combination, although they are under no obligation to do so.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w:t>
      </w:r>
      <w:r>
        <w:rPr>
          <w:rFonts w:ascii="Arial" w:cs="Arial" w:eastAsia="Arial" w:hAnsi="Arial"/>
          <w:sz w:val="17"/>
          <w:szCs w:val="17"/>
          <w:i w:val="1"/>
          <w:iCs w:val="1"/>
          <w:color w:val="auto"/>
        </w:rPr>
        <w:t>Proposed Business—Effecting Our Initial Business Combination—Permitted Purchases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for a description of how our sponsor, directors, officers, advisors or any of their affiliates will select which shareholders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from in any private transaction.</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If a shareholder fails to receive notice of our offer to redeem our public shares in connection with our initial business combination, or fails to comply with the procedures for submitting or tendering its shares, such shares may not be redeemed.</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our initial business combination will describe the various procedures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 See the section of this prospectus entitled “</w:t>
      </w:r>
      <w:r>
        <w:rPr>
          <w:rFonts w:ascii="Arial" w:cs="Arial" w:eastAsia="Arial" w:hAnsi="Arial"/>
          <w:sz w:val="17"/>
          <w:szCs w:val="17"/>
          <w:i w:val="1"/>
          <w:iCs w:val="1"/>
          <w:color w:val="auto"/>
        </w:rPr>
        <w:t>Proposed Business—Delivering Share Certificates in Connection with the Exercise of</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Rights</w:t>
      </w:r>
      <w:r>
        <w:rPr>
          <w:rFonts w:ascii="Arial" w:cs="Arial" w:eastAsia="Arial" w:hAnsi="Arial"/>
          <w:sz w:val="17"/>
          <w:szCs w:val="17"/>
          <w:color w:val="auto"/>
        </w:rPr>
        <w:t>.”</w:t>
      </w:r>
    </w:p>
    <w:p>
      <w:pPr>
        <w:spacing w:after="0" w:line="43" w:lineRule="exact"/>
        <w:rPr>
          <w:sz w:val="20"/>
          <w:szCs w:val="20"/>
          <w:color w:val="auto"/>
        </w:rPr>
      </w:pPr>
    </w:p>
    <w:p>
      <w:pPr>
        <w:ind w:right="680"/>
        <w:spacing w:after="0" w:line="260" w:lineRule="auto"/>
        <w:rPr>
          <w:sz w:val="20"/>
          <w:szCs w:val="20"/>
          <w:color w:val="auto"/>
        </w:rPr>
      </w:pPr>
      <w:r>
        <w:rPr>
          <w:rFonts w:ascii="Arial" w:cs="Arial" w:eastAsia="Arial" w:hAnsi="Arial"/>
          <w:sz w:val="17"/>
          <w:szCs w:val="17"/>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4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We intend to apply to have our units listed on Nasdaq. We expect that our units will be listed on Nasdaq on or promptly after the date of this prospectus. Following the date that the Class A ordinary shares and warrants are eligible to trade separately, we anticipate that the Class A ordinary shares and warrants will be separately listed on Nasdaq. We cannot guarantee that our securities will be approved for listing on Nasdaq. Although after giving effect to this offering we expect to meet,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following our initial public offering,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51" w:lineRule="exact"/>
        <w:rPr>
          <w:sz w:val="20"/>
          <w:szCs w:val="20"/>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limited availability of market quotations for our securities;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reduced liquidity for our securities;</w:t>
      </w:r>
    </w:p>
    <w:p>
      <w:pPr>
        <w:spacing w:after="0" w:line="34" w:lineRule="exact"/>
        <w:rPr>
          <w:rFonts w:ascii="MS PGothic" w:cs="MS PGothic" w:eastAsia="MS PGothic" w:hAnsi="MS PGothic"/>
          <w:sz w:val="13"/>
          <w:szCs w:val="13"/>
          <w:color w:val="auto"/>
        </w:rPr>
      </w:pPr>
    </w:p>
    <w:p>
      <w:pPr>
        <w:jc w:val="both"/>
        <w:ind w:left="880" w:right="100" w:hanging="427"/>
        <w:spacing w:after="0" w:line="273" w:lineRule="auto"/>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 limited amount of news and analyst coverage;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 decreased ability to issue additional securities or obtain additional financing in the future.</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many other blank check companies.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w:t>
      </w:r>
      <w:r>
        <w:rPr>
          <w:rFonts w:ascii="Arial" w:cs="Arial" w:eastAsia="Arial" w:hAnsi="Arial"/>
          <w:sz w:val="17"/>
          <w:szCs w:val="17"/>
          <w:i w:val="1"/>
          <w:iCs w:val="1"/>
          <w:color w:val="auto"/>
        </w:rPr>
        <w:t>Proposed Business—Comparison of This Offering to Those of Blank Check Companies Subject to Rule 419.</w:t>
      </w:r>
      <w:r>
        <w:rPr>
          <w:rFonts w:ascii="Arial" w:cs="Arial" w:eastAsia="Arial" w:hAnsi="Arial"/>
          <w:sz w:val="17"/>
          <w:szCs w:val="17"/>
          <w:color w:val="auto"/>
        </w:rPr>
        <w:t>”</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w:t>
      </w:r>
      <w:r>
        <w:rPr>
          <w:rFonts w:ascii="Arial" w:cs="Arial" w:eastAsia="Arial" w:hAnsi="Arial"/>
          <w:sz w:val="17"/>
          <w:szCs w:val="17"/>
          <w:b w:val="1"/>
          <w:bCs w:val="1"/>
          <w:color w:val="auto"/>
        </w:rPr>
        <w:t>Excess Shares</w:t>
      </w:r>
      <w:r>
        <w:rPr>
          <w:rFonts w:ascii="Arial" w:cs="Arial" w:eastAsia="Arial" w:hAnsi="Arial"/>
          <w:sz w:val="17"/>
          <w:szCs w:val="17"/>
          <w:color w:val="auto"/>
        </w:rPr>
        <w: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6"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i w:val="1"/>
          <w:i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2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 warrants of the post-business combination entity at a price of $1.00 per warrant at the option of the lender. Such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32"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i w:val="1"/>
          <w:i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Even if we conduct due diligence on a target business with which we combine, we cannot assure you that this diligence will identify all material issues that may be present within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50"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public accounting firm, and the underwriters of this offering will not execute agreements with us waiving such claims to the monies held in the trust account.</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455"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5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his obligations or that he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have sufficient funds to satisfy indemnification claims of our directors and officers.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80"/>
        <w:spacing w:after="0" w:line="247"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9"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b w:val="1"/>
          <w:bCs w:val="1"/>
          <w:i w:val="1"/>
          <w:iCs w:val="1"/>
          <w:color w:val="auto"/>
        </w:rPr>
        <w:t>If, before distributing the proceeds in the trust account to our public shareholders, we file a bankruptcy or insolvency petition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30" w:lineRule="exact"/>
        <w:rPr>
          <w:sz w:val="20"/>
          <w:szCs w:val="20"/>
          <w:color w:val="auto"/>
        </w:rPr>
      </w:pPr>
    </w:p>
    <w:p>
      <w:pPr>
        <w:jc w:val="both"/>
        <w:ind w:right="780"/>
        <w:spacing w:after="0" w:line="252" w:lineRule="auto"/>
        <w:rPr>
          <w:sz w:val="20"/>
          <w:szCs w:val="20"/>
          <w:color w:val="auto"/>
        </w:rPr>
      </w:pPr>
      <w:r>
        <w:rPr>
          <w:rFonts w:ascii="Arial" w:cs="Arial" w:eastAsia="Arial" w:hAnsi="Arial"/>
          <w:sz w:val="17"/>
          <w:szCs w:val="17"/>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If we are deemed to be an investment company under the Investment Company Act, our activities may be restricted, including:</w:t>
      </w:r>
    </w:p>
    <w:p>
      <w:pPr>
        <w:spacing w:after="0" w:line="185" w:lineRule="exact"/>
        <w:rPr>
          <w:sz w:val="20"/>
          <w:szCs w:val="20"/>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nature of our investments;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issuance of securities,</w:t>
      </w:r>
    </w:p>
    <w:p>
      <w:pPr>
        <w:spacing w:after="0" w:line="15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each of which may make it difficult for us to complete our initial business combination. In addition, we may have imposed upon us burdensome requirements, including:</w:t>
      </w:r>
    </w:p>
    <w:p>
      <w:pPr>
        <w:spacing w:after="0" w:line="133" w:lineRule="exact"/>
        <w:rPr>
          <w:sz w:val="20"/>
          <w:szCs w:val="20"/>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registration as an investment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adoption of a specific form of corporate structure;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reporting, record keeping, voting, proxy and disclosure requirements and other rules and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absent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52"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42" w:lineRule="exact"/>
        <w:rPr>
          <w:sz w:val="20"/>
          <w:szCs w:val="20"/>
          <w:color w:val="auto"/>
        </w:rPr>
      </w:pPr>
    </w:p>
    <w:p>
      <w:pPr>
        <w:ind w:right="980"/>
        <w:spacing w:after="0" w:line="260"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within 24 months from the closing of this offering, our public shareholders may be forced to wait beyond such to 24 months before redemption from our trust account.</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 xml:space="preserve">If we are unable to consummate our initial business combination within 24 months from the closing of this offering, the proceeds then on deposit in the trust account, including interest earned on the funds held in the trust account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w:t>
      </w:r>
    </w:p>
    <w:p>
      <w:pPr>
        <w:spacing w:after="0" w:line="44"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Our shareholders may be held liable for claims by third parties against us to the extent of distributions received by them upon redemption of their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premium account while we were unable to pay our debts as they fall due in the ordinary course of business would be guilty of an offence and may be liable to a fine of $18,293 and to imprisonment for five years in the Cayman Islands.</w:t>
      </w:r>
    </w:p>
    <w:p>
      <w:pPr>
        <w:spacing w:after="0" w:line="13" w:lineRule="exact"/>
        <w:rPr>
          <w:sz w:val="20"/>
          <w:szCs w:val="20"/>
          <w:color w:val="auto"/>
        </w:rPr>
      </w:pPr>
    </w:p>
    <w:p>
      <w:pPr>
        <w:ind w:right="520"/>
        <w:spacing w:after="0" w:line="260" w:lineRule="auto"/>
        <w:rPr>
          <w:sz w:val="20"/>
          <w:szCs w:val="20"/>
          <w:color w:val="auto"/>
        </w:rPr>
      </w:pPr>
      <w:r>
        <w:rPr>
          <w:rFonts w:ascii="Arial" w:cs="Arial" w:eastAsia="Arial" w:hAnsi="Arial"/>
          <w:sz w:val="17"/>
          <w:szCs w:val="17"/>
          <w:b w:val="1"/>
          <w:bCs w:val="1"/>
          <w:i w:val="1"/>
          <w:iCs w:val="1"/>
          <w:color w:val="auto"/>
        </w:rPr>
        <w:t>We may not hold an annual general meeting until after the consummation of our initial business combination, which could delay the opportunity for our shareholders to appoint directors.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w:t>
      </w:r>
    </w:p>
    <w:p>
      <w:pPr>
        <w:spacing w:after="0" w:line="44"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b w:val="1"/>
          <w:bCs w:val="1"/>
          <w:i w:val="1"/>
          <w:iCs w:val="1"/>
          <w:color w:val="auto"/>
        </w:rPr>
        <w:t>You will not be permitted to exercise your warrants unless we register and qualify the underlying Class A ordinary shares or certain exemptions are available.</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issuance of the Class A ordinary shares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our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455"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32"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b w:val="1"/>
          <w:bCs w:val="1"/>
          <w:i w:val="1"/>
          <w:i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(as defined in the next sentence)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42" w:lineRule="exact"/>
        <w:rPr>
          <w:sz w:val="20"/>
          <w:szCs w:val="20"/>
          <w:color w:val="auto"/>
        </w:rPr>
      </w:pPr>
    </w:p>
    <w:p>
      <w:pPr>
        <w:jc w:val="both"/>
        <w:ind w:right="380"/>
        <w:spacing w:after="0" w:line="251" w:lineRule="auto"/>
        <w:rPr>
          <w:sz w:val="20"/>
          <w:szCs w:val="20"/>
          <w:color w:val="auto"/>
        </w:rPr>
      </w:pPr>
      <w:r>
        <w:rPr>
          <w:rFonts w:ascii="Arial" w:cs="Arial" w:eastAsia="Arial" w:hAnsi="Arial"/>
          <w:sz w:val="17"/>
          <w:szCs w:val="17"/>
          <w:b w:val="1"/>
          <w:bCs w:val="1"/>
          <w:i w:val="1"/>
          <w:i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holders of our private placement warrants and their permitted transferees can demand that we register the private placement warrants and the Class A ordinary shares issuable upon exercise of the private placement warrants, and holders of securities that may be issued upon conversion of working capital loans may demand that we register such units, shares, warrants or the Class A ordinary shares issuable upon exercise of such warrants.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44"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Because we are neither limited to evaluating a target business in a particular industry sector nor have we selected any target businesses with which to pursue our initial business combination, you will be unable to ascertain the merits or risks of any particular target business’s operations.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including consumer brands sectors. Our amended and restated memorandum and articles of association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4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b w:val="1"/>
          <w:bCs w:val="1"/>
          <w:i w:val="1"/>
          <w:i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will be able to successfully identify a suitable candidate for our initial business combination, that we will be able to provide positive returns to our shareholders, or of any results with respect to any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shareholders may experience losses on their investment in our securities.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seek business combination opportunities in industries or sectors that may be outside of our management’s areas of expertise.</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our initial business combination could suffer a reduction in the value of their shares. Such shareholders are unlikely to have a remedy for such reduction in value.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00"/>
          </w:cols>
          <w:pgMar w:left="320" w:top="455"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34"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b w:val="1"/>
          <w:bCs w:val="1"/>
          <w:i w:val="1"/>
          <w:i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2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amended and restated memorandum and articles of association authorizes the issuance of up to 200,000,000 Class A ordinary shares, par value $0.0001 per share, 20,000,000 Class B ordinary shares, par value $0.0001 per share, and 1,000,000 preferred shares, par value $0.0001 per share. Immediately after this offering, there will be 180,000,000 and 15,000,000 (assuming in each case that the underwriters have not exercised their over-allotment option and the forfeiture of 750,000 Class B ordinary shares)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our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our initial business combination. Immediately after this offering, there will be no preferred shares issued and outstanding.</w:t>
      </w:r>
    </w:p>
    <w:p>
      <w:pPr>
        <w:spacing w:after="0" w:line="127" w:lineRule="exact"/>
        <w:rPr>
          <w:sz w:val="20"/>
          <w:szCs w:val="20"/>
          <w:color w:val="auto"/>
        </w:rPr>
      </w:pPr>
    </w:p>
    <w:p>
      <w:pPr>
        <w:jc w:val="both"/>
        <w:ind w:right="120"/>
        <w:spacing w:after="0" w:line="246" w:lineRule="auto"/>
        <w:rPr>
          <w:sz w:val="20"/>
          <w:szCs w:val="20"/>
          <w:color w:val="auto"/>
        </w:rPr>
      </w:pPr>
      <w:r>
        <w:rPr>
          <w:rFonts w:ascii="Arial" w:cs="Arial" w:eastAsia="Arial" w:hAnsi="Arial"/>
          <w:sz w:val="17"/>
          <w:szCs w:val="17"/>
          <w:color w:val="auto"/>
        </w:rPr>
        <w:t>We may issue a substantial number of additional Class A ordinary shares or preferred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therein. However, our amended and restated memorandum and articles of association provide, among other things,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157" w:lineRule="exact"/>
        <w:rPr>
          <w:sz w:val="20"/>
          <w:szCs w:val="20"/>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w:t>
      </w:r>
    </w:p>
    <w:p>
      <w:pPr>
        <w:spacing w:after="0" w:line="35" w:lineRule="exact"/>
        <w:rPr>
          <w:rFonts w:ascii="MS PGothic" w:cs="MS PGothic" w:eastAsia="MS PGothic" w:hAnsi="MS PGothic"/>
          <w:sz w:val="13"/>
          <w:szCs w:val="13"/>
          <w:color w:val="auto"/>
        </w:rPr>
      </w:pPr>
    </w:p>
    <w:p>
      <w:pPr>
        <w:ind w:left="880" w:right="280" w:hanging="427"/>
        <w:spacing w:after="0" w:line="256"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right="40" w:hanging="427"/>
        <w:spacing w:after="0" w:line="248"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units, Class A ordinary shares and/or warrants.</w:t>
      </w:r>
    </w:p>
    <w:p>
      <w:pPr>
        <w:spacing w:after="0" w:line="75"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i w:val="1"/>
          <w:i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xml:space="preserve">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w:t>
      </w:r>
    </w:p>
    <w:p>
      <w:pPr>
        <w:spacing w:after="0" w:line="42" w:lineRule="exact"/>
        <w:rPr>
          <w:sz w:val="20"/>
          <w:szCs w:val="20"/>
          <w:color w:val="auto"/>
        </w:rPr>
      </w:pPr>
    </w:p>
    <w:p>
      <w:pPr>
        <w:ind w:right="1120"/>
        <w:spacing w:after="0" w:line="260" w:lineRule="auto"/>
        <w:rPr>
          <w:sz w:val="20"/>
          <w:szCs w:val="20"/>
          <w:color w:val="auto"/>
        </w:rPr>
      </w:pPr>
      <w:r>
        <w:rPr>
          <w:rFonts w:ascii="Arial" w:cs="Arial" w:eastAsia="Arial" w:hAnsi="Arial"/>
          <w:sz w:val="17"/>
          <w:szCs w:val="17"/>
          <w:b w:val="1"/>
          <w:bCs w:val="1"/>
          <w:i w:val="1"/>
          <w:iCs w:val="1"/>
          <w:color w:val="auto"/>
        </w:rPr>
        <w:t>We may be a passive foreign investment company, or “PFIC,” which could result in adverse United States federal income tax consequences to U.S. investors.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w:t>
      </w:r>
      <w:r>
        <w:rPr>
          <w:rFonts w:ascii="Arial" w:cs="Arial" w:eastAsia="Arial" w:hAnsi="Arial"/>
          <w:sz w:val="17"/>
          <w:szCs w:val="17"/>
          <w:i w:val="1"/>
          <w:iCs w:val="1"/>
          <w:color w:val="auto"/>
        </w:rPr>
        <w:t>Taxation—United States Federal Income Tax Considerations—U.S. Holders—Passive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Foreign Investment Company Rules</w:t>
      </w:r>
      <w:r>
        <w:rPr>
          <w:rFonts w:ascii="Arial" w:cs="Arial" w:eastAsia="Arial" w:hAnsi="Arial"/>
          <w:sz w:val="17"/>
          <w:szCs w:val="17"/>
          <w:color w:val="auto"/>
        </w:rPr>
        <w:t>”). Depending on the particular circumstances the application of the start-up exception may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prospectus captioned “</w:t>
      </w:r>
      <w:r>
        <w:rPr>
          <w:rFonts w:ascii="Arial" w:cs="Arial" w:eastAsia="Arial" w:hAnsi="Arial"/>
          <w:sz w:val="17"/>
          <w:szCs w:val="17"/>
          <w:i w:val="1"/>
          <w:iCs w:val="1"/>
          <w:color w:val="auto"/>
        </w:rPr>
        <w:t>Taxation—United States Federal Income Tax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U.S. Holders—Passive Foreign Investment Company Rules</w:t>
      </w:r>
      <w:r>
        <w:rPr>
          <w:rFonts w:ascii="Arial" w:cs="Arial" w:eastAsia="Arial" w:hAnsi="Arial"/>
          <w:sz w:val="17"/>
          <w:szCs w:val="17"/>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investment in this offering may result in uncertain U.S. federal income tax consequences.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such reincorporation may result in taxes imposed on shareholders.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by special resolution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4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officers and directors and their loss could adversely affect our ability to operate.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455"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9"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Cayman Islands law.</w:t>
      </w:r>
    </w:p>
    <w:p>
      <w:pPr>
        <w:spacing w:after="0" w:line="2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w:t>
      </w:r>
    </w:p>
    <w:p>
      <w:pPr>
        <w:spacing w:after="0" w:line="33"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b w:val="1"/>
          <w:bCs w:val="1"/>
          <w:i w:val="1"/>
          <w:i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22"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For a complete discussion of our officers’ and directors’ business affiliations and the potential conflicts of interest that you should be aware of, please see “</w:t>
      </w:r>
      <w:r>
        <w:rPr>
          <w:rFonts w:ascii="Arial" w:cs="Arial" w:eastAsia="Arial" w:hAnsi="Arial"/>
          <w:sz w:val="17"/>
          <w:szCs w:val="17"/>
          <w:i w:val="1"/>
          <w:iCs w:val="1"/>
          <w:color w:val="auto"/>
        </w:rPr>
        <w:t>Management—Officers, Directors and Director Nominees</w:t>
      </w:r>
      <w:r>
        <w:rPr>
          <w:rFonts w:ascii="Arial" w:cs="Arial" w:eastAsia="Arial" w:hAnsi="Arial"/>
          <w:sz w:val="17"/>
          <w:szCs w:val="17"/>
          <w:color w:val="auto"/>
        </w:rPr>
        <w:t>,” “</w:t>
      </w:r>
      <w:r>
        <w:rPr>
          <w:rFonts w:ascii="Arial" w:cs="Arial" w:eastAsia="Arial" w:hAnsi="Arial"/>
          <w:sz w:val="17"/>
          <w:szCs w:val="17"/>
          <w:i w:val="1"/>
          <w:iCs w:val="1"/>
          <w:color w:val="auto"/>
        </w:rPr>
        <w:t>Management—Conflicts of Interest</w:t>
      </w:r>
      <w:r>
        <w:rPr>
          <w:rFonts w:ascii="Arial" w:cs="Arial" w:eastAsia="Arial" w:hAnsi="Arial"/>
          <w:sz w:val="17"/>
          <w:szCs w:val="17"/>
          <w:color w:val="auto"/>
        </w:rPr>
        <w:t>” and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8"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b w:val="1"/>
          <w:bCs w:val="1"/>
          <w:i w:val="1"/>
          <w:iCs w:val="1"/>
          <w:color w:val="auto"/>
        </w:rPr>
        <w:t>Our officers, directors, security holders and their respective affiliates may have competitive pecuniary interests that conflict with our interests.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455"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shareholders’ rights. See the section titled “</w:t>
      </w:r>
      <w:r>
        <w:rPr>
          <w:rFonts w:ascii="Arial" w:cs="Arial" w:eastAsia="Arial" w:hAnsi="Arial"/>
          <w:sz w:val="17"/>
          <w:szCs w:val="17"/>
          <w:i w:val="1"/>
          <w:iCs w:val="1"/>
          <w:color w:val="auto"/>
        </w:rPr>
        <w:t>Description of Securities—Certain Differences in Corporate Law—Shareholder Suits</w:t>
      </w:r>
      <w:r>
        <w:rPr>
          <w:rFonts w:ascii="Arial" w:cs="Arial" w:eastAsia="Arial" w:hAnsi="Arial"/>
          <w:sz w:val="17"/>
          <w:szCs w:val="17"/>
          <w:color w:val="auto"/>
        </w:rPr>
        <w:t>” for further information on the ability to bring such claims. However, we might not ultimately be successful in any claim we may make against them for such reason.</w:t>
      </w:r>
    </w:p>
    <w:p>
      <w:pPr>
        <w:spacing w:after="0" w:line="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Our directors also serve as officers 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51"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founder shares will be worthless if we do not complete an initial business combination. In addition, our sponsor has committed to purchase an aggregate of 6,000,000 private placement warrants (or 6,600,000 warrants if the underwriters’ over-allotment option is exercised in full) for an aggregate purchase price of $6,000,000 (or $6,600,000 if the underwriters’ over-allotment option is exercised in full), or $1.00 per warrant. The private placement warrants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00"/>
          </w:cols>
          <w:pgMar w:left="320" w:top="455" w:right="3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680"/>
        <w:spacing w:after="0" w:line="262"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63" w:lineRule="exact"/>
        <w:rPr>
          <w:sz w:val="20"/>
          <w:szCs w:val="20"/>
          <w:color w:val="auto"/>
        </w:rPr>
      </w:pPr>
    </w:p>
    <w:p>
      <w:pPr>
        <w:ind w:left="880" w:right="340" w:hanging="427"/>
        <w:spacing w:after="0" w:line="257"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2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80" w:hanging="427"/>
        <w:spacing w:after="0" w:line="273"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i w:val="1"/>
          <w:i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 The net proceeds from this offering and the private placement of warrants will provide us with $193,000,000 (or $221,950,000 if the underwriters’ over-allotment option is exercised in full) that we may use to complete our initial business combination (after taking into account the $7,000,000, or up to $8,050,000 if the over-allotment option is exercised in full, of deferred underwriting commissions being held in the trust account).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66" w:lineRule="exact"/>
        <w:rPr>
          <w:sz w:val="20"/>
          <w:szCs w:val="20"/>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solely dependent upon the performance of a single business, property or asset,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3" w:lineRule="exact"/>
        <w:rPr>
          <w:sz w:val="20"/>
          <w:szCs w:val="20"/>
          <w:color w:val="auto"/>
        </w:rPr>
      </w:pPr>
    </w:p>
    <w:p>
      <w:pPr>
        <w:jc w:val="both"/>
        <w:ind w:right="340"/>
        <w:spacing w:after="0" w:line="251"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4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4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shares or other equity interests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5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tabs>
          <w:tab w:leader="none" w:pos="2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retention of cash to satisfy other conditions.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20"/>
          </w:cols>
          <w:pgMar w:left="320" w:top="455" w:right="3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 xml:space="preserve">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4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our shareholders may not support.</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within 24 months of the closing of this offering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49" w:lineRule="exact"/>
        <w:rPr>
          <w:sz w:val="20"/>
          <w:szCs w:val="20"/>
          <w:color w:val="auto"/>
        </w:rPr>
      </w:pPr>
    </w:p>
    <w:p>
      <w:pPr>
        <w:ind w:right="20"/>
        <w:spacing w:after="0"/>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two-thirds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Our amended and restated memorandum and articles of association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and restated memorandum and articles of association which govern our pre-business combination behavior more easily than some other special purpose acquisition companies, and this may increase our ability to complete a business combination with which you do not agree. Our shareholders may pursue remedies against us for any breach of our amended and restated memorandum and articles of association.</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letter agreement with our sponsor, officers and directors may be amended without shareholder approval.</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this prospectus will require the prior written consent of the underwriters). While we do not expect our board to approve any amendment to the letter agreement prior to our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42"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not selected any specific business combination target but intend to target businesses with enterprise values that are greater than we could acquire with the net proceeds of this offering and the sale of the private placement warrants. As a result, if the cash portion of the purchase price exceeds the amount available from the trust account, net of amounts needed to satisfy any redemption by public shareholders,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our public shareholders may only receive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funds in the trust account that are available for distribution to public shareholders,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455"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Our initial shareholders control a substantial interest in us and thus may exert a substantial influence on actions requiring a shareholder vote, potentially in a manner that you do not support.</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closing of this offering, our initial shareholders will own 20% of our issued and outstanding ordinary shares (assuming they do not purchase any units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 any units in this offering or if our initial shareholders purchase any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our initial business combination, in which case all of the current directors will continue in office until at least the completion of the business combination. If there is an annual general meeting, as a consequence of our “staggered” board of directors, only a minority of the board of directors will be considered for appointment and our initial shareholders, because of their ownership position, will have considerable influence regarding the outcome. In addition, the founder shares, all of which are held by our initial shareholders, will, in a vote to continue the Company in a jurisdiction outside the Cayman Islands (which requires the approval of at least two thirds of the votes of all ordinary shares),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our initial business combination. Accordingly, our initial shareholders will continue to exert control at least until the completion of our initial business combination.</w:t>
      </w:r>
    </w:p>
    <w:p>
      <w:pPr>
        <w:spacing w:after="0" w:line="3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Our initial shareholders paid an aggregate of $25,000, or approximately $0.004 per founder share and, accordingly, you will experience immediate and substantial dilution from the purchase of our Class A ordinary shares.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difference between the public offering price per share (allocating all of the unit purchase price to the Class A ordinary share and none to the warrant included in the unit)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you and the other investors in this offering. Our initial shareholders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91.8% (or $9.18 per share, assuming no exercise of the underwriters’ over-allotment option), the difference between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this offering of $0.82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3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20" w:firstLine="8"/>
        <w:spacing w:after="0" w:line="236" w:lineRule="auto"/>
        <w:tabs>
          <w:tab w:leader="none" w:pos="1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43" w:lineRule="exact"/>
        <w:rPr>
          <w:sz w:val="20"/>
          <w:szCs w:val="20"/>
          <w:color w:val="auto"/>
        </w:rPr>
      </w:pPr>
    </w:p>
    <w:p>
      <w:pPr>
        <w:jc w:val="both"/>
        <w:ind w:right="240"/>
        <w:spacing w:after="0" w:line="251" w:lineRule="auto"/>
        <w:rPr>
          <w:sz w:val="20"/>
          <w:szCs w:val="20"/>
          <w:color w:val="auto"/>
        </w:rPr>
      </w:pPr>
      <w:r>
        <w:rPr>
          <w:rFonts w:ascii="Arial" w:cs="Arial" w:eastAsia="Arial" w:hAnsi="Arial"/>
          <w:sz w:val="17"/>
          <w:szCs w:val="17"/>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Exchange Act or any other claim for which the federal district courts of the United States of America are the sole and exclusive forum. Any person or</w:t>
      </w:r>
    </w:p>
    <w:p>
      <w:pPr>
        <w:spacing w:after="0" w:line="232" w:lineRule="auto"/>
        <w:rPr>
          <w:sz w:val="20"/>
          <w:szCs w:val="20"/>
          <w:color w:val="auto"/>
        </w:rPr>
      </w:pPr>
      <w:r>
        <w:rPr>
          <w:rFonts w:ascii="Arial" w:cs="Arial" w:eastAsia="Arial" w:hAnsi="Arial"/>
          <w:sz w:val="17"/>
          <w:szCs w:val="17"/>
          <w:color w:val="auto"/>
        </w:rPr>
        <w:t>entity purchasing or otherwise acquiring any interest in any of our warrants shall be deemed to have notice of and to have consented to the forum</w:t>
      </w:r>
    </w:p>
    <w:p>
      <w:pPr>
        <w:spacing w:after="0" w:line="232" w:lineRule="auto"/>
        <w:rPr>
          <w:sz w:val="20"/>
          <w:szCs w:val="20"/>
          <w:color w:val="auto"/>
        </w:rPr>
      </w:pPr>
      <w:r>
        <w:rPr>
          <w:rFonts w:ascii="Arial" w:cs="Arial" w:eastAsia="Arial" w:hAnsi="Arial"/>
          <w:sz w:val="17"/>
          <w:szCs w:val="17"/>
          <w:color w:val="auto"/>
        </w:rPr>
        <w:t>provisions in our warrant agreement. If any action, the subject matter of which is within the scope the forum provisions of the warrant agreement, is</w:t>
      </w:r>
    </w:p>
    <w:p>
      <w:pPr>
        <w:spacing w:after="0" w:line="232" w:lineRule="auto"/>
        <w:rPr>
          <w:sz w:val="20"/>
          <w:szCs w:val="20"/>
          <w:color w:val="auto"/>
        </w:rPr>
      </w:pPr>
      <w:r>
        <w:rPr>
          <w:rFonts w:ascii="Arial" w:cs="Arial" w:eastAsia="Arial" w:hAnsi="Arial"/>
          <w:sz w:val="17"/>
          <w:szCs w:val="17"/>
          <w:color w:val="auto"/>
        </w:rPr>
        <w:t>filed in a court other than a court of the State of New York or the United States District Court for the Southern District of New York (a “</w:t>
      </w:r>
      <w:r>
        <w:rPr>
          <w:rFonts w:ascii="Arial" w:cs="Arial" w:eastAsia="Arial" w:hAnsi="Arial"/>
          <w:sz w:val="17"/>
          <w:szCs w:val="17"/>
          <w:b w:val="1"/>
          <w:bCs w:val="1"/>
          <w:color w:val="auto"/>
        </w:rPr>
        <w:t>foreign</w:t>
      </w:r>
    </w:p>
    <w:p>
      <w:pPr>
        <w:spacing w:after="0" w:line="232" w:lineRule="auto"/>
        <w:rPr>
          <w:sz w:val="20"/>
          <w:szCs w:val="20"/>
          <w:color w:val="auto"/>
        </w:rPr>
      </w:pPr>
      <w:r>
        <w:rPr>
          <w:rFonts w:ascii="Arial" w:cs="Arial" w:eastAsia="Arial" w:hAnsi="Arial"/>
          <w:sz w:val="17"/>
          <w:szCs w:val="17"/>
          <w:b w:val="1"/>
          <w:bCs w:val="1"/>
          <w:color w:val="auto"/>
        </w:rPr>
        <w:t>action</w:t>
      </w:r>
      <w:r>
        <w:rPr>
          <w:rFonts w:ascii="Arial" w:cs="Arial" w:eastAsia="Arial" w:hAnsi="Arial"/>
          <w:sz w:val="17"/>
          <w:szCs w:val="17"/>
          <w:color w:val="auto"/>
        </w:rPr>
        <w:t>”) in the name of any holder of our warrants, such holder shall be deemed to have consented to: (x) the personal jurisdiction of the state and</w:t>
      </w:r>
    </w:p>
    <w:p>
      <w:pPr>
        <w:spacing w:after="0" w:line="232" w:lineRule="auto"/>
        <w:rPr>
          <w:sz w:val="20"/>
          <w:szCs w:val="20"/>
          <w:color w:val="auto"/>
        </w:rPr>
      </w:pPr>
      <w:r>
        <w:rPr>
          <w:rFonts w:ascii="Arial" w:cs="Arial" w:eastAsia="Arial" w:hAnsi="Arial"/>
          <w:sz w:val="17"/>
          <w:szCs w:val="17"/>
          <w:color w:val="auto"/>
        </w:rPr>
        <w:t>federal courts located in the State of New York in connection with any action brought in any such court to enforce the forum provisions (an</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enforcement action</w:t>
      </w:r>
      <w:r>
        <w:rPr>
          <w:rFonts w:ascii="Arial" w:cs="Arial" w:eastAsia="Arial" w:hAnsi="Arial"/>
          <w:sz w:val="17"/>
          <w:szCs w:val="17"/>
          <w:color w:val="auto"/>
        </w:rPr>
        <w:t>”), and (y) having service of process made upon such warrant holder in any such enforcement action by service upon such</w:t>
      </w:r>
    </w:p>
    <w:p>
      <w:pPr>
        <w:spacing w:after="0"/>
        <w:rPr>
          <w:sz w:val="20"/>
          <w:szCs w:val="20"/>
          <w:color w:val="auto"/>
        </w:rPr>
      </w:pPr>
      <w:r>
        <w:rPr>
          <w:rFonts w:ascii="Arial" w:cs="Arial" w:eastAsia="Arial" w:hAnsi="Arial"/>
          <w:sz w:val="17"/>
          <w:szCs w:val="17"/>
          <w:color w:val="auto"/>
        </w:rPr>
        <w:t>warrant holder’s counsel in the foreign action as agent for such warrant holder.</w:t>
      </w:r>
    </w:p>
    <w:p>
      <w:pPr>
        <w:spacing w:after="0" w:line="13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provision of our warrant agreement may make it more difficult for us to consummate an initial business combination.</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 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you, thereby making your warrants worthless.</w:t>
      </w:r>
    </w:p>
    <w:p>
      <w:pPr>
        <w:spacing w:after="0" w:line="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w:t>
      </w:r>
    </w:p>
    <w:p>
      <w:pPr>
        <w:spacing w:after="0" w:line="4" w:lineRule="exact"/>
        <w:rPr>
          <w:sz w:val="20"/>
          <w:szCs w:val="20"/>
          <w:color w:val="auto"/>
        </w:rPr>
      </w:pPr>
    </w:p>
    <w:p>
      <w:pPr>
        <w:ind w:right="20" w:firstLine="8"/>
        <w:spacing w:after="0"/>
        <w:tabs>
          <w:tab w:leader="none" w:pos="1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2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closing price of our Class A ordinary shares equals or exceeds $10.00 per share (as adjusted for adjustments to the number of shares issuable upon exercise or the exercise price of a warrant as described under the heading “Description of Securities—Warrants—Public Warrants—Redemption Procedures—Anti-dilution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certain other conditions are met, including that holders will be able to exercise their warrants prior to redemption for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ordinary shares determined based on the redemption date and the fair market value of our Class A ordinary shares. Please see “</w:t>
      </w:r>
      <w:r>
        <w:rPr>
          <w:rFonts w:ascii="Arial" w:cs="Arial" w:eastAsia="Arial" w:hAnsi="Arial"/>
          <w:sz w:val="17"/>
          <w:szCs w:val="17"/>
          <w:i w:val="1"/>
          <w:iCs w:val="1"/>
          <w:color w:val="auto"/>
        </w:rPr>
        <w:t>Description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of Securities—Warrants—Public Warrants—Redemption of warrants when the price per Class A ordinary share equals or exceeds $10.00</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w:t>
      </w:r>
    </w:p>
    <w:p>
      <w:pPr>
        <w:spacing w:after="0" w:line="123"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Except as described under “</w:t>
      </w:r>
      <w:r>
        <w:rPr>
          <w:rFonts w:ascii="Arial" w:cs="Arial" w:eastAsia="Arial" w:hAnsi="Arial"/>
          <w:sz w:val="17"/>
          <w:szCs w:val="17"/>
          <w:i w:val="1"/>
          <w:iCs w:val="1"/>
          <w:color w:val="auto"/>
        </w:rPr>
        <w:t>Description of Securities—Warrants—Public Warrants—Redemption of warrants when the price per Class A ordinary</w:t>
      </w:r>
      <w:r>
        <w:rPr>
          <w:rFonts w:ascii="Arial" w:cs="Arial" w:eastAsia="Arial" w:hAnsi="Arial"/>
          <w:sz w:val="17"/>
          <w:szCs w:val="17"/>
          <w:color w:val="auto"/>
        </w:rPr>
        <w:t xml:space="preserve"> </w:t>
      </w:r>
      <w:r>
        <w:rPr>
          <w:rFonts w:ascii="Arial" w:cs="Arial" w:eastAsia="Arial" w:hAnsi="Arial"/>
          <w:sz w:val="17"/>
          <w:szCs w:val="17"/>
          <w:i w:val="1"/>
          <w:iCs w:val="1"/>
          <w:color w:val="auto"/>
        </w:rPr>
        <w:t>share equals or exceeds $10.00,</w:t>
      </w:r>
      <w:r>
        <w:rPr>
          <w:rFonts w:ascii="Arial" w:cs="Arial" w:eastAsia="Arial" w:hAnsi="Arial"/>
          <w:sz w:val="17"/>
          <w:szCs w:val="17"/>
          <w:color w:val="auto"/>
        </w:rPr>
        <w:t>” none of the private placement warrants will be redeemable by us so long as they are held by the sponsor or its</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transferees.</w:t>
      </w:r>
    </w:p>
    <w:p>
      <w:pPr>
        <w:spacing w:after="0" w:line="18"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Our warrants may have an adverse effect on the market price of our Class A ordinary shares and make it more difficult to effectuate our initial business combination.</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be issuing warrants to purchase 10,000,000 of our Class A ordinary shares (or up to 11,500,000 Class A ordinary shares if the underwriters’ over-allotment option is exercised in full) as part of the units offered by this prospectus and, simultaneously with the closing of this offering, we will be issuing in a private placement an aggregate of 6,000,000 private placement warrants (or 6,600,000 warrants if the underwriters’ over-allotment option is exercised in full), at $1.00 per warrant. In addition, if the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Because each unit contains one-half of one warrant and only a whole warrant may be exercised, the units may be worth less than units of other special purpose acquisition companies.</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33"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representative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63" w:lineRule="exact"/>
        <w:rPr>
          <w:sz w:val="20"/>
          <w:szCs w:val="20"/>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history and prospects of companies whose principal business is the acquisition of other companies;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prior offerings of those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prospects for acquiring an operating business at attractive values;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a review of debt to equity ratios in leveraged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capital structure;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an assessment of our management and their experience in identifying operating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general conditions of the securities markets at the time of this offering;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other factors as were deemed relevant.</w:t>
      </w:r>
    </w:p>
    <w:p>
      <w:pPr>
        <w:spacing w:after="0" w:line="154"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There is currently no market for our securities and a market for our securities may not develop, which would adversely affect the liquidity and price of our securities.</w:t>
      </w:r>
    </w:p>
    <w:p>
      <w:pPr>
        <w:spacing w:after="0" w:line="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29"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federal proxy rules require that the proxy statement with respect to the vote on an initial business combination include historical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or international financial reporting standards as issued by the International Accounting Standards Board (“</w:t>
      </w:r>
      <w:r>
        <w:rPr>
          <w:rFonts w:ascii="Arial" w:cs="Arial" w:eastAsia="Arial" w:hAnsi="Arial"/>
          <w:sz w:val="17"/>
          <w:szCs w:val="17"/>
          <w:b w:val="1"/>
          <w:bCs w:val="1"/>
          <w:color w:val="auto"/>
        </w:rPr>
        <w:t>IFRS</w:t>
      </w:r>
      <w:r>
        <w:rPr>
          <w:rFonts w:ascii="Arial" w:cs="Arial" w:eastAsia="Arial" w:hAnsi="Arial"/>
          <w:sz w:val="17"/>
          <w:szCs w:val="17"/>
          <w:color w:val="auto"/>
        </w:rPr>
        <w:t>”) depending on the circumstances and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320" w:top="455" w:right="3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historical financial statements may be required to be audited in accordance with the standards of the Public Company Accounting Oversight Board (United States) (“</w:t>
      </w:r>
      <w:r>
        <w:rPr>
          <w:rFonts w:ascii="Arial" w:cs="Arial" w:eastAsia="Arial" w:hAnsi="Arial"/>
          <w:sz w:val="17"/>
          <w:szCs w:val="17"/>
          <w:b w:val="1"/>
          <w:bCs w:val="1"/>
          <w:color w:val="auto"/>
        </w:rPr>
        <w:t>PCAOB</w:t>
      </w:r>
      <w:r>
        <w:rPr>
          <w:rFonts w:ascii="Arial" w:cs="Arial" w:eastAsia="Arial" w:hAnsi="Arial"/>
          <w:sz w:val="17"/>
          <w:szCs w:val="17"/>
          <w:color w:val="auto"/>
        </w:rPr>
        <w:t>”).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To the extent we take advantage of such reduced disclosure obligations, it may also make comparison of our financial statements with other public companies difficult or impossible.</w:t>
      </w:r>
    </w:p>
    <w:p>
      <w:pPr>
        <w:spacing w:after="0" w:line="44"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 w:lineRule="exact"/>
        <w:rPr>
          <w:sz w:val="20"/>
          <w:szCs w:val="20"/>
          <w:color w:val="auto"/>
        </w:rPr>
      </w:pPr>
    </w:p>
    <w:p>
      <w:pPr>
        <w:ind w:right="400"/>
        <w:spacing w:after="0" w:line="248" w:lineRule="auto"/>
        <w:rPr>
          <w:sz w:val="20"/>
          <w:szCs w:val="20"/>
          <w:color w:val="auto"/>
        </w:rPr>
      </w:pPr>
      <w:r>
        <w:rPr>
          <w:rFonts w:ascii="Arial" w:cs="Arial" w:eastAsia="Arial" w:hAnsi="Arial"/>
          <w:sz w:val="17"/>
          <w:szCs w:val="17"/>
          <w:color w:val="auto"/>
        </w:rPr>
        <w:t>Our amended and restated memorandum and articles of association contain provisions that may discourage unsolicited takeover proposals that shareholders may consider to be in their best interests. These provisions include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75"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adversely affect us.</w:t>
      </w:r>
    </w:p>
    <w:p>
      <w:pPr>
        <w:spacing w:after="0" w:line="1" w:lineRule="exact"/>
        <w:rPr>
          <w:sz w:val="20"/>
          <w:szCs w:val="20"/>
          <w:color w:val="auto"/>
        </w:rPr>
      </w:pPr>
    </w:p>
    <w:p>
      <w:pPr>
        <w:jc w:val="both"/>
        <w:ind w:right="600"/>
        <w:spacing w:after="0"/>
        <w:rPr>
          <w:sz w:val="20"/>
          <w:szCs w:val="20"/>
          <w:color w:val="auto"/>
        </w:rPr>
      </w:pPr>
      <w:r>
        <w:rPr>
          <w:rFonts w:ascii="Arial" w:cs="Arial" w:eastAsia="Arial" w:hAnsi="Arial"/>
          <w:sz w:val="17"/>
          <w:szCs w:val="17"/>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17"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33" w:lineRule="exact"/>
        <w:rPr>
          <w:sz w:val="20"/>
          <w:szCs w:val="20"/>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costs and difficulties inherent in managing cross-border business operations;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rules and regulations regarding currency redemption;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complex corporate withholding taxes on individuals;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laws governing the manner in which future business combinations may be effected;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exchange listing and/or delisting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tariffs and trade barriers;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regulations related to customs and import/export matters;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local or regional economic policies and market conditions;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unexpected changes in regulatory requirements;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challenges in managing and staffing international operations;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longer payment cycles;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tax issues, such as tax law changes and variations in tax laws as compared to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currency fluctuations and exchange controls;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rates of inflation;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challenges in collecting accounts receivable;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cultural and language differences;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employment regulations;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underdeveloped or unpredictable legal or regulatory systems;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corruption;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protection of intellectual property;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social unrest, crime, strikes, riots and civil disturbances;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regime changes and political upheaval;</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terrorist attacks and wars;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deterioration of political relations with the United States.</w:t>
      </w:r>
    </w:p>
    <w:p>
      <w:pPr>
        <w:spacing w:after="0" w:line="154"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00"/>
          </w:cols>
          <w:pgMar w:left="320" w:top="455" w:right="3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30"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b w:val="1"/>
          <w:bCs w:val="1"/>
          <w:i w:val="1"/>
          <w:i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9" w:lineRule="exact"/>
        <w:rPr>
          <w:sz w:val="20"/>
          <w:szCs w:val="20"/>
          <w:color w:val="auto"/>
        </w:rPr>
      </w:pPr>
    </w:p>
    <w:p>
      <w:pPr>
        <w:ind w:right="600"/>
        <w:spacing w:after="0" w:line="262" w:lineRule="auto"/>
        <w:rPr>
          <w:sz w:val="20"/>
          <w:szCs w:val="20"/>
          <w:color w:val="auto"/>
        </w:rPr>
      </w:pPr>
      <w:r>
        <w:rPr>
          <w:rFonts w:ascii="Arial" w:cs="Arial" w:eastAsia="Arial" w:hAnsi="Arial"/>
          <w:sz w:val="17"/>
          <w:szCs w:val="17"/>
          <w:b w:val="1"/>
          <w:bCs w:val="1"/>
          <w:i w:val="1"/>
          <w:iCs w:val="1"/>
          <w:color w:val="auto"/>
        </w:rPr>
        <w:t>Exchange rate fluctuations and currency policies may cause a target business’ ability to succeed in the international markets to be diminished.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0"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30" w:lineRule="exact"/>
        <w:rPr>
          <w:sz w:val="20"/>
          <w:szCs w:val="20"/>
          <w:color w:val="auto"/>
        </w:rPr>
      </w:pPr>
    </w:p>
    <w:p>
      <w:pPr>
        <w:ind w:right="500"/>
        <w:spacing w:after="0" w:line="262" w:lineRule="auto"/>
        <w:rPr>
          <w:sz w:val="20"/>
          <w:szCs w:val="20"/>
          <w:color w:val="auto"/>
        </w:rPr>
      </w:pPr>
      <w:r>
        <w:rPr>
          <w:rFonts w:ascii="Arial" w:cs="Arial" w:eastAsia="Arial" w:hAnsi="Arial"/>
          <w:sz w:val="17"/>
          <w:szCs w:val="17"/>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240"/>
          </w:cols>
          <w:pgMar w:left="320" w:top="45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employ a mail forwarding service, which may delay or disrupt our ability to receive mail in a timely manner</w:t>
      </w:r>
    </w:p>
    <w:p>
      <w:pPr>
        <w:spacing w:after="0" w:line="4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63" w:lineRule="exact"/>
        <w:rPr>
          <w:sz w:val="20"/>
          <w:szCs w:val="20"/>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ability to select an appropriate target business or businesses;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ability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expectations around the performance of the prospective target business or businesses;</w:t>
      </w:r>
    </w:p>
    <w:p>
      <w:pPr>
        <w:spacing w:after="0" w:line="34" w:lineRule="exact"/>
        <w:rPr>
          <w:rFonts w:ascii="MS PGothic" w:cs="MS PGothic" w:eastAsia="MS PGothic" w:hAnsi="MS PGothic"/>
          <w:sz w:val="13"/>
          <w:szCs w:val="13"/>
          <w:color w:val="auto"/>
        </w:rPr>
      </w:pPr>
    </w:p>
    <w:p>
      <w:pPr>
        <w:ind w:left="880" w:right="540" w:hanging="427"/>
        <w:spacing w:after="0" w:line="256" w:lineRule="auto"/>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success in retaining or recruiting, or changes required in, our officers, key employees or directors following our initial business combination;</w:t>
      </w:r>
    </w:p>
    <w:p>
      <w:pPr>
        <w:spacing w:after="0" w:line="1" w:lineRule="exact"/>
        <w:rPr>
          <w:rFonts w:ascii="MS PGothic" w:cs="MS PGothic" w:eastAsia="MS PGothic" w:hAnsi="MS PGothic"/>
          <w:sz w:val="13"/>
          <w:szCs w:val="13"/>
          <w:color w:val="auto"/>
        </w:rPr>
      </w:pPr>
    </w:p>
    <w:p>
      <w:pPr>
        <w:ind w:left="880" w:right="480" w:hanging="427"/>
        <w:spacing w:after="0" w:line="256" w:lineRule="auto"/>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potential ability to obtain additional financing to complete our initial business combination;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pool of prospective target businesses;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ability of our officers and directors to generate a number of potential business combination opportunities;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public securities’ potential liquidity and trading;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lack of a market for our securities;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use of proceeds not held in the trust account or available to us from interest income on the trust account balance;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trust account not being subject to claims of third parties;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financial performance following this offering.</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00"/>
          </w:cols>
          <w:pgMar w:left="320" w:top="455"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offering 20,000,000 units at an offering price of $10.00 per unit. We estimate that the net proceeds of this offering together with the funds we will receive from the sale of the private placement warrants will be used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WITHOUT OVER-</w:t>
            </w:r>
          </w:p>
        </w:tc>
        <w:tc>
          <w:tcPr>
            <w:tcW w:w="28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OVER-ALLOTMENT</w:t>
            </w:r>
          </w:p>
        </w:tc>
      </w:tr>
      <w:tr>
        <w:trPr>
          <w:trHeight w:val="177"/>
        </w:trPr>
        <w:tc>
          <w:tcPr>
            <w:tcW w:w="7540" w:type="dxa"/>
            <w:vAlign w:val="bottom"/>
          </w:tcPr>
          <w:p>
            <w:pPr>
              <w:spacing w:after="0"/>
              <w:rPr>
                <w:sz w:val="15"/>
                <w:szCs w:val="15"/>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ALLOTMENT OPTION</w:t>
            </w:r>
          </w:p>
        </w:tc>
        <w:tc>
          <w:tcPr>
            <w:tcW w:w="28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 EXERCISED</w:t>
            </w:r>
          </w:p>
        </w:tc>
      </w:tr>
      <w:tr>
        <w:trPr>
          <w:trHeight w:val="169"/>
        </w:trPr>
        <w:tc>
          <w:tcPr>
            <w:tcW w:w="7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Gross proceeds</w:t>
            </w:r>
          </w:p>
        </w:tc>
        <w:tc>
          <w:tcPr>
            <w:tcW w:w="1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xml:space="preserve">Gross proceeds from units offered to public </w:t>
            </w:r>
            <w:r>
              <w:rPr>
                <w:rFonts w:ascii="Arial" w:cs="Arial" w:eastAsia="Arial" w:hAnsi="Arial"/>
                <w:sz w:val="14"/>
                <w:szCs w:val="14"/>
                <w:color w:val="auto"/>
              </w:rPr>
              <w:t>(1)</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200,000,000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proceeds from private placement warrants offered in the private placement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6,600,000</w:t>
            </w:r>
          </w:p>
        </w:tc>
      </w:tr>
      <w:tr>
        <w:trPr>
          <w:trHeight w:val="196"/>
        </w:trPr>
        <w:tc>
          <w:tcPr>
            <w:tcW w:w="7540" w:type="dxa"/>
            <w:vAlign w:val="bottom"/>
          </w:tcPr>
          <w:p>
            <w:pPr>
              <w:spacing w:after="0"/>
              <w:rPr>
                <w:sz w:val="20"/>
                <w:szCs w:val="20"/>
                <w:color w:val="auto"/>
              </w:rPr>
            </w:pPr>
            <w:r>
              <w:rPr>
                <w:rFonts w:ascii="Arial" w:cs="Arial" w:eastAsia="Arial" w:hAnsi="Arial"/>
                <w:sz w:val="17"/>
                <w:szCs w:val="17"/>
                <w:color w:val="auto"/>
              </w:rPr>
              <w:t>Total gross proceeds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206,000,000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236,600,000</w:t>
            </w:r>
          </w:p>
        </w:tc>
        <w:tc>
          <w:tcPr>
            <w:tcW w:w="2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 xml:space="preserve">Offering expenses </w:t>
            </w:r>
            <w:r>
              <w:rPr>
                <w:rFonts w:ascii="Arial" w:cs="Arial" w:eastAsia="Arial" w:hAnsi="Arial"/>
                <w:sz w:val="14"/>
                <w:szCs w:val="14"/>
                <w:b w:val="1"/>
                <w:bCs w:val="1"/>
                <w:color w:val="auto"/>
              </w:rPr>
              <w:t>(2)</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1"/>
        </w:trPr>
        <w:tc>
          <w:tcPr>
            <w:tcW w:w="7540" w:type="dxa"/>
            <w:vAlign w:val="bottom"/>
          </w:tcPr>
          <w:p>
            <w:pPr>
              <w:spacing w:after="0" w:line="161" w:lineRule="exact"/>
              <w:rPr>
                <w:sz w:val="20"/>
                <w:szCs w:val="20"/>
                <w:color w:val="auto"/>
              </w:rPr>
            </w:pPr>
            <w:r>
              <w:rPr>
                <w:rFonts w:ascii="Arial" w:cs="Arial" w:eastAsia="Arial" w:hAnsi="Arial"/>
                <w:sz w:val="17"/>
                <w:szCs w:val="17"/>
                <w:color w:val="auto"/>
              </w:rPr>
              <w:t>Underwriting commissions (2.0% of gross proceeds from units offered to public, excluding</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7"/>
        </w:trPr>
        <w:tc>
          <w:tcPr>
            <w:tcW w:w="7540" w:type="dxa"/>
            <w:vAlign w:val="bottom"/>
          </w:tcPr>
          <w:p>
            <w:pPr>
              <w:ind w:left="260"/>
              <w:spacing w:after="0"/>
              <w:rPr>
                <w:sz w:val="20"/>
                <w:szCs w:val="20"/>
                <w:color w:val="auto"/>
              </w:rPr>
            </w:pPr>
            <w:r>
              <w:rPr>
                <w:rFonts w:ascii="Arial" w:cs="Arial" w:eastAsia="Arial" w:hAnsi="Arial"/>
                <w:sz w:val="17"/>
                <w:szCs w:val="17"/>
                <w:color w:val="auto"/>
              </w:rPr>
              <w:t xml:space="preserve">deferred portion) </w:t>
            </w:r>
            <w:r>
              <w:rPr>
                <w:rFonts w:ascii="Arial" w:cs="Arial" w:eastAsia="Arial" w:hAnsi="Arial"/>
                <w:sz w:val="14"/>
                <w:szCs w:val="14"/>
                <w:color w:val="auto"/>
              </w:rPr>
              <w:t>(3)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7"/>
                <w:szCs w:val="17"/>
                <w:color w:val="auto"/>
              </w:rPr>
              <w:t>4,000,000</w:t>
            </w:r>
          </w:p>
        </w:tc>
        <w:tc>
          <w:tcPr>
            <w:tcW w:w="5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4,600,000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SEC/FINRA expenses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20,000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55,000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Directors’ and officers’ liability insurance</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125,000</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315,000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315,000</w:t>
            </w:r>
          </w:p>
        </w:tc>
      </w:tr>
      <w:tr>
        <w:trPr>
          <w:trHeight w:val="27"/>
        </w:trPr>
        <w:tc>
          <w:tcPr>
            <w:tcW w:w="7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offering expenses (other than underwriting commissions)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Proceeds after offering expenses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201,000,000</w:t>
            </w:r>
          </w:p>
        </w:tc>
        <w:tc>
          <w:tcPr>
            <w:tcW w:w="58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231,000,000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Held in trust account </w:t>
            </w:r>
            <w:r>
              <w:rPr>
                <w:rFonts w:ascii="Arial" w:cs="Arial" w:eastAsia="Arial" w:hAnsi="Arial"/>
                <w:sz w:val="14"/>
                <w:szCs w:val="14"/>
                <w:color w:val="auto"/>
              </w:rPr>
              <w:t>(3)</w:t>
            </w:r>
          </w:p>
        </w:tc>
        <w:tc>
          <w:tcPr>
            <w:tcW w:w="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7"/>
                <w:szCs w:val="17"/>
                <w:color w:val="auto"/>
              </w:rPr>
              <w:t>200,000,000</w:t>
            </w:r>
          </w:p>
        </w:tc>
        <w:tc>
          <w:tcPr>
            <w:tcW w:w="58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230,000,000</w:t>
            </w: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 of public offering size</w:t>
            </w:r>
          </w:p>
        </w:tc>
        <w:tc>
          <w:tcPr>
            <w:tcW w:w="120" w:type="dxa"/>
            <w:vAlign w:val="bottom"/>
          </w:tcPr>
          <w:p>
            <w:pPr>
              <w:spacing w:after="0"/>
              <w:rPr>
                <w:sz w:val="16"/>
                <w:szCs w:val="16"/>
                <w:color w:val="auto"/>
              </w:rPr>
            </w:pPr>
          </w:p>
        </w:tc>
        <w:tc>
          <w:tcPr>
            <w:tcW w:w="16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Not held in trust account</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1,000,000</w:t>
            </w:r>
          </w:p>
        </w:tc>
        <w:tc>
          <w:tcPr>
            <w:tcW w:w="58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1,000,000</w:t>
            </w:r>
          </w:p>
        </w:tc>
      </w:tr>
      <w:tr>
        <w:trPr>
          <w:trHeight w:val="20"/>
        </w:trPr>
        <w:tc>
          <w:tcPr>
            <w:tcW w:w="7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use of the approximately $1,000,000 of net proceeds not held in the trust account:(4)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 OF TOTAL</w:t>
            </w:r>
          </w:p>
        </w:tc>
        <w:tc>
          <w:tcPr>
            <w:tcW w:w="200" w:type="dxa"/>
            <w:vAlign w:val="bottom"/>
            <w:tcBorders>
              <w:bottom w:val="single" w:sz="8" w:color="CCEEFF"/>
            </w:tcBorders>
          </w:tcPr>
          <w:p>
            <w:pPr>
              <w:spacing w:after="0"/>
              <w:rPr>
                <w:sz w:val="15"/>
                <w:szCs w:val="15"/>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Legal, accounting, due diligence, travel, and other expenses in connection with any business combination </w:t>
            </w:r>
            <w:r>
              <w:rPr>
                <w:rFonts w:ascii="Arial" w:cs="Arial" w:eastAsia="Arial" w:hAnsi="Arial"/>
                <w:sz w:val="14"/>
                <w:szCs w:val="14"/>
                <w:color w:val="auto"/>
              </w:rPr>
              <w:t>(5)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350,000</w:t>
            </w:r>
          </w:p>
        </w:tc>
        <w:tc>
          <w:tcPr>
            <w:tcW w:w="4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35.0%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Legal and accounting fees related to regulatory reporting obligations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150,000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15.0%</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Administrative and support services.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240,000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Continued listing fees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55,000</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w:t>
            </w: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Reserve for liquidation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r>
      <w:tr>
        <w:trPr>
          <w:trHeight w:val="189"/>
        </w:trPr>
        <w:tc>
          <w:tcPr>
            <w:tcW w:w="8500" w:type="dxa"/>
            <w:vAlign w:val="bottom"/>
          </w:tcPr>
          <w:p>
            <w:pPr>
              <w:spacing w:after="0" w:line="189" w:lineRule="exact"/>
              <w:rPr>
                <w:sz w:val="20"/>
                <w:szCs w:val="20"/>
                <w:color w:val="auto"/>
              </w:rPr>
            </w:pPr>
            <w:r>
              <w:rPr>
                <w:rFonts w:ascii="Arial" w:cs="Arial" w:eastAsia="Arial" w:hAnsi="Arial"/>
                <w:sz w:val="17"/>
                <w:szCs w:val="17"/>
                <w:color w:val="auto"/>
              </w:rPr>
              <w:t>Other miscellaneous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105,000</w:t>
            </w:r>
          </w:p>
        </w:tc>
        <w:tc>
          <w:tcPr>
            <w:tcW w:w="4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27"/>
        </w:trPr>
        <w:tc>
          <w:tcPr>
            <w:tcW w:w="8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2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1,000,000</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440" w:hanging="297"/>
        <w:spacing w:after="0"/>
        <w:tabs>
          <w:tab w:leader="none" w:pos="440" w:val="left"/>
        </w:tabs>
        <w:numPr>
          <w:ilvl w:val="0"/>
          <w:numId w:val="33"/>
        </w:numPr>
        <w:rPr>
          <w:rFonts w:ascii="Arial" w:cs="Arial" w:eastAsia="Arial" w:hAnsi="Arial"/>
          <w:sz w:val="24"/>
          <w:szCs w:val="24"/>
          <w:color w:val="auto"/>
          <w:vertAlign w:val="superscript"/>
        </w:rPr>
      </w:pPr>
      <w:r>
        <w:rPr>
          <w:rFonts w:ascii="Arial" w:cs="Arial" w:eastAsia="Arial" w:hAnsi="Arial"/>
          <w:sz w:val="14"/>
          <w:szCs w:val="14"/>
          <w:color w:val="auto"/>
        </w:rPr>
        <w:t>Includes amounts payable to public shareholders who properly redeem their shares in connection with our successful completion of our initial business combination.</w:t>
      </w:r>
    </w:p>
    <w:p>
      <w:pPr>
        <w:jc w:val="both"/>
        <w:ind w:left="440" w:right="240" w:hanging="257"/>
        <w:spacing w:after="0" w:line="195" w:lineRule="auto"/>
        <w:tabs>
          <w:tab w:leader="none" w:pos="440" w:val="left"/>
        </w:tabs>
        <w:numPr>
          <w:ilvl w:val="1"/>
          <w:numId w:val="33"/>
        </w:numPr>
        <w:rPr>
          <w:rFonts w:ascii="Arial" w:cs="Arial" w:eastAsia="Arial" w:hAnsi="Arial"/>
          <w:sz w:val="24"/>
          <w:szCs w:val="24"/>
          <w:color w:val="auto"/>
          <w:vertAlign w:val="superscript"/>
        </w:rPr>
      </w:pPr>
      <w:r>
        <w:rPr>
          <w:rFonts w:ascii="Arial" w:cs="Arial" w:eastAsia="Arial" w:hAnsi="Arial"/>
          <w:sz w:val="14"/>
          <w:szCs w:val="14"/>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ind w:left="440" w:right="200" w:hanging="257"/>
        <w:spacing w:after="0" w:line="185" w:lineRule="auto"/>
        <w:tabs>
          <w:tab w:leader="none" w:pos="440" w:val="left"/>
        </w:tabs>
        <w:numPr>
          <w:ilvl w:val="1"/>
          <w:numId w:val="33"/>
        </w:numPr>
        <w:rPr>
          <w:rFonts w:ascii="Arial" w:cs="Arial" w:eastAsia="Arial" w:hAnsi="Arial"/>
          <w:sz w:val="24"/>
          <w:szCs w:val="24"/>
          <w:color w:val="auto"/>
          <w:vertAlign w:val="superscript"/>
        </w:rPr>
      </w:pPr>
      <w:r>
        <w:rPr>
          <w:rFonts w:ascii="Arial" w:cs="Arial" w:eastAsia="Arial" w:hAnsi="Arial"/>
          <w:sz w:val="14"/>
          <w:szCs w:val="14"/>
          <w:color w:val="auto"/>
        </w:rPr>
        <w:t>The underwriters have agreed to defer underwriting commissions of 3.5% of the gross proceeds of this offering. Upon and concurrently with the completion of our initial business combination, up to $7,000,000, which constitutes the underwriters’ deferred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240"/>
        <w:spacing w:after="0" w:line="244" w:lineRule="auto"/>
        <w:rPr>
          <w:sz w:val="20"/>
          <w:szCs w:val="20"/>
          <w:color w:val="auto"/>
        </w:rPr>
      </w:pPr>
      <w:r>
        <w:rPr>
          <w:rFonts w:ascii="Arial" w:cs="Arial" w:eastAsia="Arial" w:hAnsi="Arial"/>
          <w:sz w:val="14"/>
          <w:szCs w:val="14"/>
          <w:color w:val="auto"/>
        </w:rPr>
        <w:t>commissions (or up to $8,050,000 if the underwriters’ over-allotment option is exercised in full) will be paid to the underwriters from the funds held in the trust account. See “</w:t>
      </w:r>
      <w:r>
        <w:rPr>
          <w:rFonts w:ascii="Arial" w:cs="Arial" w:eastAsia="Arial" w:hAnsi="Arial"/>
          <w:sz w:val="14"/>
          <w:szCs w:val="14"/>
          <w:i w:val="1"/>
          <w:iCs w:val="1"/>
          <w:color w:val="auto"/>
        </w:rPr>
        <w:t>Underwriting</w:t>
      </w:r>
      <w:r>
        <w:rPr>
          <w:rFonts w:ascii="Arial" w:cs="Arial" w:eastAsia="Arial" w:hAnsi="Arial"/>
          <w:sz w:val="14"/>
          <w:szCs w:val="14"/>
          <w:color w:val="auto"/>
        </w:rPr>
        <w:t>”.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440" w:right="80" w:hanging="257"/>
        <w:spacing w:after="0" w:line="220" w:lineRule="auto"/>
        <w:tabs>
          <w:tab w:leader="none" w:pos="44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w:t>
      </w:r>
    </w:p>
    <w:p>
      <w:pPr>
        <w:spacing w:after="0" w:line="3"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4"/>
        </w:numPr>
        <w:rPr>
          <w:rFonts w:ascii="Arial" w:cs="Arial" w:eastAsia="Arial" w:hAnsi="Arial"/>
          <w:sz w:val="20"/>
          <w:szCs w:val="20"/>
          <w:color w:val="auto"/>
          <w:vertAlign w:val="superscript"/>
        </w:rPr>
      </w:pPr>
      <w:r>
        <w:rPr>
          <w:rFonts w:ascii="Arial" w:cs="Arial" w:eastAsia="Arial" w:hAnsi="Arial"/>
          <w:sz w:val="12"/>
          <w:szCs w:val="12"/>
          <w:color w:val="auto"/>
        </w:rPr>
        <w:t>Includes estimated amounts that may also be used in connection with our initial business combination to fund a “no shop” provision and commitment fees for financing.</w:t>
      </w:r>
    </w:p>
    <w:p>
      <w:pPr>
        <w:spacing w:after="0" w:line="13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Nasdaq rules provide that at least 90% of the gross proceeds from this offering and the sale of the private placement warrants be deposited in a trust account. Of the $206,000,000 in gross proceeds we receive from this offering and the sale of the private placement warrants described in this prospectus, or $236,600,000 if the underwriters’ over-allotment option is exercised in full, $200,000,000 ($10.00 per unit), or $230,000,000 if the underwriters’ over-allotment option is exercised in full ($10.00 per unit), will be deposited into a trust account with Continental Stock Transfer &amp; Trust Company acting as trustee, after deducting $4,000,000 in underwriting discounts and commissions payable upon the closing of this offering (or $4,600,000 if the underwriters’ over-allotment option is exercised in full) and an aggregate of $2 million to pay fees and expenses in connection with the closing of this offering and for working capital following the closing of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the withdrawal of interest to pay our taxes and up to $100,000 to pay dissolution expenses, as applicable, if any,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our initial business combination within 24 months from the closing of this offering or (B) with respect to any other material provisions relating to shareholders’ rights or pre-initial business combination activity.</w:t>
      </w:r>
    </w:p>
    <w:p>
      <w:pPr>
        <w:spacing w:after="0" w:line="132"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net proceeds released to us from the trust account upon the closing of our initial business combination may be used as consideration to pay the sellers of a target business with which we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use the balance of the cash released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memorandum and articles of association provides that, following this offering and prior to the consummation of our initial business combination, we will be prohibited from issuing additional securities that would entitle the holders thereof to</w:t>
      </w:r>
    </w:p>
    <w:p>
      <w:pPr>
        <w:spacing w:after="0" w:line="6" w:lineRule="exact"/>
        <w:rPr>
          <w:sz w:val="20"/>
          <w:szCs w:val="20"/>
          <w:color w:val="auto"/>
        </w:rPr>
      </w:pPr>
    </w:p>
    <w:p>
      <w:pPr>
        <w:ind w:left="5540" w:right="4780" w:hanging="5532"/>
        <w:spacing w:after="0" w:line="428" w:lineRule="auto"/>
        <w:tabs>
          <w:tab w:leader="none" w:pos="21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receive funds from the trust account or (ii) vote on any initial business combination. </w:t>
      </w:r>
      <w:r>
        <w:rPr>
          <w:rFonts w:ascii="Arial" w:cs="Arial" w:eastAsia="Arial" w:hAnsi="Arial"/>
          <w:sz w:val="16"/>
          <w:szCs w:val="16"/>
          <w:color w:val="auto"/>
        </w:rPr>
        <w:t>68</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20"/>
          </w:cols>
          <w:pgMar w:left="320" w:top="455" w:right="3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share capitalization or other appropriate mechanism immediately prior to the consummation of this offering in such amount as to maintain the number of founder shares at 20.0%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difference between the public offering price per Class A ordinary share, assuming no value is attributed to the warrants included in the units we are offering pursuant to this prospectus or the private placement warrants, and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of our Class A ordinary shares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At August 3, 2020, our net tangible book deficit was $60,000, or approximately $(0.01) per ordinary share. After giving effect to the sale of 20,000,000 Class A ordinary shares included in the units we are offering by this prospectus (or 23,000,000 Class A ordinary shares if the underwriters’ over-allotment option is exercised in full), the sale of the private placement warrants and the deduction of underwriting commissions and estimated expenses of this offering, our pro forma net tangible book value at August 3, 2020 would have been $5,000,004 or $0.82 per share (or $0.72 per share if the underwriters’ over-allotment option is exercised in full), representing an immediate increase in net tangible book value (as decreased by the value of 18,901,839 Class A ordinary shares that may be redeemed for cash, or 21,796,639 Class A ordinary shares if the underwriters’ over-allotment option is exercised in full) of $0.83 per share (or $0.73 if the underwriters’ over-allotment option is exercised in full) to our initial shareholders as of the date of this prospectus and an immediate dilution to public shareholders from this offering of $10.00 per share. Total dilution to public shareholders from this offering will be $9.18 per share (or $9.28 if the underwriters’ over-allotment option is exercised in full).</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OVER-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67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ALLOTMENT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83"/>
        </w:trPr>
        <w:tc>
          <w:tcPr>
            <w:tcW w:w="6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CCEEFF"/>
            </w:tcBorders>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w w:val="98"/>
              </w:rPr>
              <w:t>10.00</w:t>
            </w:r>
          </w:p>
        </w:tc>
        <w:tc>
          <w:tcPr>
            <w:tcW w:w="920" w:type="dxa"/>
            <w:vAlign w:val="bottom"/>
            <w:tcBorders>
              <w:top w:val="single" w:sz="8" w:color="CCEEFF"/>
            </w:tcBorders>
            <w:gridSpan w:val="2"/>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11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(0.01)</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 attributable to public shareholders</w:t>
            </w: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0.83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0.73</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720" w:type="dxa"/>
            <w:vAlign w:val="bottom"/>
          </w:tcPr>
          <w:p>
            <w:pPr>
              <w:spacing w:after="0" w:line="168" w:lineRule="exact"/>
              <w:rPr>
                <w:sz w:val="20"/>
                <w:szCs w:val="20"/>
                <w:color w:val="auto"/>
              </w:rPr>
            </w:pPr>
            <w:r>
              <w:rPr>
                <w:rFonts w:ascii="Arial" w:cs="Arial" w:eastAsia="Arial" w:hAnsi="Arial"/>
                <w:sz w:val="17"/>
                <w:szCs w:val="17"/>
                <w:i w:val="1"/>
                <w:iCs w:val="1"/>
                <w:color w:val="auto"/>
              </w:rPr>
              <w:t xml:space="preserve">Pro forma </w:t>
            </w:r>
            <w:r>
              <w:rPr>
                <w:rFonts w:ascii="Arial" w:cs="Arial" w:eastAsia="Arial" w:hAnsi="Arial"/>
                <w:sz w:val="17"/>
                <w:szCs w:val="17"/>
                <w:color w:val="auto"/>
              </w:rPr>
              <w:t>net tangible book value after this offering and the sale of the private</w:t>
            </w: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260"/>
              <w:spacing w:after="0"/>
              <w:rPr>
                <w:sz w:val="20"/>
                <w:szCs w:val="20"/>
                <w:color w:val="auto"/>
              </w:rPr>
            </w:pPr>
            <w:r>
              <w:rPr>
                <w:rFonts w:ascii="Arial" w:cs="Arial" w:eastAsia="Arial" w:hAnsi="Arial"/>
                <w:sz w:val="17"/>
                <w:szCs w:val="17"/>
                <w:color w:val="auto"/>
              </w:rPr>
              <w:t>placement warrants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to public shareholders</w:t>
            </w: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9.18</w:t>
            </w:r>
          </w:p>
        </w:tc>
        <w:tc>
          <w:tcPr>
            <w:tcW w:w="1200" w:type="dxa"/>
            <w:vAlign w:val="bottom"/>
            <w:gridSpan w:val="3"/>
            <w:shd w:val="clear" w:color="auto" w:fill="CCEEFF"/>
          </w:tcPr>
          <w:p>
            <w:pPr>
              <w:ind w:left="9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7"/>
                <w:szCs w:val="17"/>
                <w:color w:val="auto"/>
              </w:rPr>
              <w:t>Percentage of dilution to public shareholders</w:t>
            </w: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91.8%</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 xml:space="preserve">For purposes of presentation, we have reduced our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after this offering (assuming no exercise of the underwriters’ over-allotment option) by $189,018,390 because holders of up to approximately 94.5% of our public shares may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taxes), divided by the number of Class A ordinary shares sold in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our initial shareholders and the public shareholders: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26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r>
      <w:tr>
        <w:trPr>
          <w:trHeight w:val="156"/>
        </w:trPr>
        <w:tc>
          <w:tcPr>
            <w:tcW w:w="40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5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Initial Shareholders </w:t>
            </w:r>
            <w:r>
              <w:rPr>
                <w:rFonts w:ascii="Arial" w:cs="Arial" w:eastAsia="Arial" w:hAnsi="Arial"/>
                <w:sz w:val="14"/>
                <w:szCs w:val="14"/>
                <w:color w:val="auto"/>
              </w:rPr>
              <w:t>(1)</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5,000,000</w:t>
            </w:r>
          </w:p>
        </w:tc>
        <w:tc>
          <w:tcPr>
            <w:tcW w:w="4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20.0%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25,000</w:t>
            </w:r>
          </w:p>
        </w:tc>
        <w:tc>
          <w:tcPr>
            <w:tcW w:w="4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0.01%</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0.005</w:t>
            </w:r>
          </w:p>
        </w:tc>
        <w:tc>
          <w:tcPr>
            <w:tcW w:w="60" w:type="dxa"/>
            <w:vAlign w:val="bottom"/>
            <w:shd w:val="clear" w:color="auto" w:fill="CCEEFF"/>
          </w:tcPr>
          <w:p>
            <w:pPr>
              <w:spacing w:after="0"/>
              <w:rPr>
                <w:sz w:val="15"/>
                <w:szCs w:val="15"/>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Public Shareholders</w:t>
            </w:r>
          </w:p>
        </w:tc>
        <w:tc>
          <w:tcPr>
            <w:tcW w:w="132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20,000,000</w:t>
            </w:r>
          </w:p>
        </w:tc>
        <w:tc>
          <w:tcPr>
            <w:tcW w:w="13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80.0%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w w:val="99"/>
              </w:rPr>
              <w:t>200,000,000</w:t>
            </w:r>
          </w:p>
        </w:tc>
        <w:tc>
          <w:tcPr>
            <w:tcW w:w="156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99.99%</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10.00</w:t>
            </w:r>
          </w:p>
        </w:tc>
      </w:tr>
      <w:tr>
        <w:trPr>
          <w:trHeight w:val="27"/>
        </w:trPr>
        <w:tc>
          <w:tcPr>
            <w:tcW w:w="4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25,000,000</w:t>
            </w:r>
          </w:p>
        </w:tc>
        <w:tc>
          <w:tcPr>
            <w:tcW w:w="13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13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200,025,000</w:t>
            </w:r>
          </w:p>
        </w:tc>
        <w:tc>
          <w:tcPr>
            <w:tcW w:w="15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100.00%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00" w:hanging="257"/>
        <w:spacing w:after="0" w:line="195" w:lineRule="auto"/>
        <w:tabs>
          <w:tab w:leader="none" w:pos="44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Assumes that 750,000 founder shares are surrendered to us for no consideration after the closing of this offering in the event the underwriters do not exercise their over-allotment option.</w:t>
      </w:r>
    </w:p>
    <w:p>
      <w:pPr>
        <w:spacing w:after="0" w:line="116"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net tangible book value per share after the offering (assuming that the underwriters do not exercise their over-allotment option)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WITHOUT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WITH OVER-</w:t>
            </w:r>
          </w:p>
        </w:tc>
        <w:tc>
          <w:tcPr>
            <w:tcW w:w="0" w:type="dxa"/>
            <w:vAlign w:val="bottom"/>
          </w:tcPr>
          <w:p>
            <w:pPr>
              <w:spacing w:after="0"/>
              <w:rPr>
                <w:sz w:val="1"/>
                <w:szCs w:val="1"/>
                <w:color w:val="auto"/>
              </w:rPr>
            </w:pPr>
          </w:p>
        </w:tc>
      </w:tr>
      <w:tr>
        <w:trPr>
          <w:trHeight w:val="177"/>
        </w:trPr>
        <w:tc>
          <w:tcPr>
            <w:tcW w:w="7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ALLOTMENT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ALLOTMENT</w:t>
            </w:r>
          </w:p>
        </w:tc>
        <w:tc>
          <w:tcPr>
            <w:tcW w:w="0" w:type="dxa"/>
            <w:vAlign w:val="bottom"/>
          </w:tcPr>
          <w:p>
            <w:pPr>
              <w:spacing w:after="0"/>
              <w:rPr>
                <w:sz w:val="1"/>
                <w:szCs w:val="1"/>
                <w:color w:val="auto"/>
              </w:rPr>
            </w:pPr>
          </w:p>
        </w:tc>
      </w:tr>
      <w:tr>
        <w:trPr>
          <w:trHeight w:val="169"/>
        </w:trPr>
        <w:tc>
          <w:tcPr>
            <w:tcW w:w="75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6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Net tangible book deficit before this offering</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(60,000)</w:t>
            </w: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Net proceeds from this offering and sale of the private placement warrants </w:t>
            </w:r>
            <w:r>
              <w:rPr>
                <w:rFonts w:ascii="Arial" w:cs="Arial" w:eastAsia="Arial" w:hAnsi="Arial"/>
                <w:sz w:val="14"/>
                <w:szCs w:val="14"/>
                <w:color w:val="auto"/>
              </w:rPr>
              <w:t>(1)</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201,000,000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231,000,000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Plus: Offering costs paid in advance, excluded from tangible book value before this offering</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78,394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78,394</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Deferred underwriting commissions</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(7,000,000)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(8,050,000)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 xml:space="preserve">Less: Proceeds held in trust subject to redemption </w:t>
            </w:r>
            <w:r>
              <w:rPr>
                <w:rFonts w:ascii="Arial" w:cs="Arial" w:eastAsia="Arial" w:hAnsi="Arial"/>
                <w:sz w:val="14"/>
                <w:szCs w:val="14"/>
                <w:color w:val="auto"/>
              </w:rPr>
              <w:t>(2)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w w:val="98"/>
              </w:rPr>
              <w:t>(189,018,390)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(217,968,390)</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5,000,004</w:t>
            </w:r>
          </w:p>
        </w:tc>
        <w:tc>
          <w:tcPr>
            <w:tcW w:w="4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5,000,004</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Ordinary shares outstanding prior to this offering </w:t>
            </w:r>
            <w:r>
              <w:rPr>
                <w:rFonts w:ascii="Arial" w:cs="Arial" w:eastAsia="Arial" w:hAnsi="Arial"/>
                <w:sz w:val="14"/>
                <w:szCs w:val="14"/>
                <w:color w:val="auto"/>
              </w:rPr>
              <w:t>(3)</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5,750,000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5,750,000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Ordinary shares forfeited if over-allotment is not exercised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(750,000)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included in the units offered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20,000,000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23,000,000</w:t>
            </w:r>
          </w:p>
        </w:tc>
        <w:tc>
          <w:tcPr>
            <w:tcW w:w="0" w:type="dxa"/>
            <w:vAlign w:val="bottom"/>
          </w:tcPr>
          <w:p>
            <w:pPr>
              <w:spacing w:after="0"/>
              <w:rPr>
                <w:sz w:val="1"/>
                <w:szCs w:val="1"/>
                <w:color w:val="auto"/>
              </w:rPr>
            </w:pPr>
          </w:p>
        </w:tc>
      </w:tr>
      <w:tr>
        <w:trPr>
          <w:trHeight w:val="189"/>
        </w:trPr>
        <w:tc>
          <w:tcPr>
            <w:tcW w:w="7560" w:type="dxa"/>
            <w:vAlign w:val="bottom"/>
          </w:tcPr>
          <w:p>
            <w:pPr>
              <w:spacing w:after="0" w:line="189" w:lineRule="exact"/>
              <w:rPr>
                <w:sz w:val="20"/>
                <w:szCs w:val="20"/>
                <w:color w:val="auto"/>
              </w:rPr>
            </w:pPr>
            <w:r>
              <w:rPr>
                <w:rFonts w:ascii="Arial" w:cs="Arial" w:eastAsia="Arial" w:hAnsi="Arial"/>
                <w:sz w:val="17"/>
                <w:szCs w:val="17"/>
                <w:color w:val="auto"/>
              </w:rPr>
              <w:t>Less: Ordinary shares subject to redemption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(18,901,839)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(21,796,839)</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6,098,161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6,953,161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140" w:hanging="257"/>
        <w:spacing w:after="0" w:line="187" w:lineRule="auto"/>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Expenses applied against gross proceeds include offering expenses of $1.0 million and underwriting commissions of $4.0 million (excluding deferred underwriting fees). See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1" w:lineRule="exact"/>
        <w:rPr>
          <w:rFonts w:ascii="Arial" w:cs="Arial" w:eastAsia="Arial" w:hAnsi="Arial"/>
          <w:sz w:val="24"/>
          <w:szCs w:val="24"/>
          <w:color w:val="auto"/>
          <w:vertAlign w:val="superscript"/>
        </w:rPr>
      </w:pPr>
    </w:p>
    <w:p>
      <w:pPr>
        <w:ind w:left="440" w:right="20" w:hanging="257"/>
        <w:spacing w:after="0"/>
        <w:tabs>
          <w:tab w:leader="none" w:pos="44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 xml:space="preserve">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w:t>
      </w:r>
      <w:r>
        <w:rPr>
          <w:rFonts w:ascii="Arial" w:cs="Arial" w:eastAsia="Arial" w:hAnsi="Arial"/>
          <w:sz w:val="14"/>
          <w:szCs w:val="14"/>
          <w:i w:val="1"/>
          <w:iCs w:val="1"/>
          <w:color w:val="auto"/>
        </w:rPr>
        <w:t>pro forma</w:t>
      </w:r>
      <w:r>
        <w:rPr>
          <w:rFonts w:ascii="Arial" w:cs="Arial" w:eastAsia="Arial" w:hAnsi="Arial"/>
          <w:sz w:val="14"/>
          <w:szCs w:val="14"/>
          <w:color w:val="auto"/>
        </w:rPr>
        <w:t xml:space="preserve"> net tangible book value per share. See “</w:t>
      </w:r>
      <w:r>
        <w:rPr>
          <w:rFonts w:ascii="Arial" w:cs="Arial" w:eastAsia="Arial" w:hAnsi="Arial"/>
          <w:sz w:val="14"/>
          <w:szCs w:val="14"/>
          <w:i w:val="1"/>
          <w:iCs w:val="1"/>
          <w:color w:val="auto"/>
        </w:rPr>
        <w:t>Proposed Business—Effecting Our Initial Business Combination—Permitted Purchases of Our</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w:t>
      </w:r>
      <w:r>
        <w:rPr>
          <w:rFonts w:ascii="Arial" w:cs="Arial" w:eastAsia="Arial" w:hAnsi="Arial"/>
          <w:sz w:val="14"/>
          <w:szCs w:val="14"/>
          <w:color w:val="auto"/>
        </w:rPr>
        <w:t>.”</w:t>
      </w:r>
    </w:p>
    <w:p>
      <w:pPr>
        <w:spacing w:after="0" w:line="52" w:lineRule="exact"/>
        <w:rPr>
          <w:rFonts w:ascii="Arial" w:cs="Arial" w:eastAsia="Arial" w:hAnsi="Arial"/>
          <w:sz w:val="24"/>
          <w:szCs w:val="24"/>
          <w:color w:val="auto"/>
          <w:vertAlign w:val="superscript"/>
        </w:rPr>
      </w:pPr>
    </w:p>
    <w:p>
      <w:pPr>
        <w:ind w:left="440" w:hanging="257"/>
        <w:spacing w:after="0" w:line="183" w:lineRule="auto"/>
        <w:tabs>
          <w:tab w:leader="none" w:pos="440" w:val="left"/>
        </w:tabs>
        <w:numPr>
          <w:ilvl w:val="0"/>
          <w:numId w:val="37"/>
        </w:numPr>
        <w:rPr>
          <w:rFonts w:ascii="Arial" w:cs="Arial" w:eastAsia="Arial" w:hAnsi="Arial"/>
          <w:sz w:val="20"/>
          <w:szCs w:val="20"/>
          <w:color w:val="auto"/>
          <w:vertAlign w:val="superscript"/>
        </w:rPr>
      </w:pPr>
      <w:r>
        <w:rPr>
          <w:rFonts w:ascii="Arial" w:cs="Arial" w:eastAsia="Arial" w:hAnsi="Arial"/>
          <w:sz w:val="12"/>
          <w:szCs w:val="12"/>
          <w:color w:val="auto"/>
        </w:rPr>
        <w:t>Assumes that 750,000 founder shares are surrendered to us for no consideration.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The following table sets forth our capitalization at August 3, 2020, and as adjusted to give effect to the filing of our amended and restated memorandum and articles of association,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AUGUST 3, 2020</w:t>
            </w:r>
          </w:p>
        </w:tc>
      </w:tr>
      <w:tr>
        <w:trPr>
          <w:trHeight w:val="156"/>
        </w:trPr>
        <w:tc>
          <w:tcPr>
            <w:tcW w:w="8860" w:type="dxa"/>
            <w:vAlign w:val="bottom"/>
          </w:tcPr>
          <w:p>
            <w:pPr>
              <w:spacing w:after="0"/>
              <w:rPr>
                <w:sz w:val="13"/>
                <w:szCs w:val="13"/>
                <w:color w:val="auto"/>
              </w:rPr>
            </w:pPr>
          </w:p>
        </w:tc>
        <w:tc>
          <w:tcPr>
            <w:tcW w:w="900" w:type="dxa"/>
            <w:vAlign w:val="bottom"/>
            <w:tcBorders>
              <w:top w:val="single" w:sz="8" w:color="auto"/>
            </w:tcBorders>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3"/>
                <w:szCs w:val="13"/>
                <w:color w:val="auto"/>
              </w:rPr>
            </w:pPr>
          </w:p>
        </w:tc>
      </w:tr>
      <w:tr>
        <w:trPr>
          <w:trHeight w:val="183"/>
        </w:trPr>
        <w:tc>
          <w:tcPr>
            <w:tcW w:w="8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Notes payable to related party </w:t>
            </w:r>
            <w:r>
              <w:rPr>
                <w:rFonts w:ascii="Arial" w:cs="Arial" w:eastAsia="Arial" w:hAnsi="Arial"/>
                <w:sz w:val="14"/>
                <w:szCs w:val="14"/>
                <w:color w:val="auto"/>
              </w:rPr>
              <w:t>(1)</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Deferred underwriting commissions</w:t>
            </w:r>
          </w:p>
        </w:tc>
        <w:tc>
          <w:tcPr>
            <w:tcW w:w="140" w:type="dxa"/>
            <w:vAlign w:val="bottom"/>
          </w:tcPr>
          <w:p>
            <w:pPr>
              <w:spacing w:after="0"/>
              <w:rPr>
                <w:sz w:val="16"/>
                <w:szCs w:val="16"/>
                <w:color w:val="auto"/>
              </w:rPr>
            </w:pPr>
          </w:p>
        </w:tc>
        <w:tc>
          <w:tcPr>
            <w:tcW w:w="76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7,000,000</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18,901,839 shares are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xml:space="preserve">subject to possible redemption, respectively </w:t>
            </w: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189,018,390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Preference shares, $0.0001 par value; 1,000,000 shares authorized; none issued and outstanding, actual and as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adjusted</w:t>
            </w:r>
          </w:p>
        </w:tc>
        <w:tc>
          <w:tcPr>
            <w:tcW w:w="1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61"/>
        </w:trPr>
        <w:tc>
          <w:tcPr>
            <w:tcW w:w="88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Class A ordinary shares, $0.0001 par value, 200,000,000 shares authorized; -0- and 1,098,161 shares issued and</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9"/>
        </w:trPr>
        <w:tc>
          <w:tcPr>
            <w:tcW w:w="88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outstanding (excluding -0- and 18,901,839 shares subject to possible redemption), actual and as adjusted,</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8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r>
      <w:tr>
        <w:trPr>
          <w:trHeight w:val="161"/>
        </w:trPr>
        <w:tc>
          <w:tcPr>
            <w:tcW w:w="8860" w:type="dxa"/>
            <w:vAlign w:val="bottom"/>
          </w:tcPr>
          <w:p>
            <w:pPr>
              <w:spacing w:after="0" w:line="161" w:lineRule="exact"/>
              <w:rPr>
                <w:sz w:val="20"/>
                <w:szCs w:val="20"/>
                <w:color w:val="auto"/>
              </w:rPr>
            </w:pPr>
            <w:r>
              <w:rPr>
                <w:rFonts w:ascii="Arial" w:cs="Arial" w:eastAsia="Arial" w:hAnsi="Arial"/>
                <w:sz w:val="17"/>
                <w:szCs w:val="17"/>
                <w:color w:val="auto"/>
              </w:rPr>
              <w:t>Class B ordinary shares, $0.0001 par value, 20,000,000 shares authorized, 5,750,000 and 5,000,000 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7"/>
        </w:trPr>
        <w:tc>
          <w:tcPr>
            <w:tcW w:w="8860" w:type="dxa"/>
            <w:vAlign w:val="bottom"/>
          </w:tcPr>
          <w:p>
            <w:pPr>
              <w:ind w:left="260"/>
              <w:spacing w:after="0"/>
              <w:rPr>
                <w:sz w:val="20"/>
                <w:szCs w:val="20"/>
                <w:color w:val="auto"/>
              </w:rPr>
            </w:pPr>
            <w:r>
              <w:rPr>
                <w:rFonts w:ascii="Arial" w:cs="Arial" w:eastAsia="Arial" w:hAnsi="Arial"/>
                <w:sz w:val="17"/>
                <w:szCs w:val="17"/>
                <w:color w:val="auto"/>
              </w:rPr>
              <w:t xml:space="preserve">issued and outstanding, actual and as adjusted, respectively </w:t>
            </w: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500</w:t>
            </w: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24,425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5,006,000</w:t>
            </w:r>
          </w:p>
        </w:tc>
      </w:tr>
      <w:tr>
        <w:trPr>
          <w:trHeight w:val="189"/>
        </w:trPr>
        <w:tc>
          <w:tcPr>
            <w:tcW w:w="886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(6,606)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(6,606)</w:t>
            </w:r>
          </w:p>
        </w:tc>
      </w:tr>
      <w:tr>
        <w:trPr>
          <w:trHeight w:val="27"/>
        </w:trPr>
        <w:tc>
          <w:tcPr>
            <w:tcW w:w="8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18,394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5,000,004</w:t>
            </w:r>
          </w:p>
        </w:tc>
      </w:tr>
      <w:tr>
        <w:trPr>
          <w:trHeight w:val="196"/>
        </w:trPr>
        <w:tc>
          <w:tcPr>
            <w:tcW w:w="8860" w:type="dxa"/>
            <w:vAlign w:val="bottom"/>
          </w:tcPr>
          <w:p>
            <w:pPr>
              <w:spacing w:after="0"/>
              <w:rPr>
                <w:sz w:val="20"/>
                <w:szCs w:val="20"/>
                <w:color w:val="auto"/>
              </w:rPr>
            </w:pPr>
            <w:r>
              <w:rPr>
                <w:rFonts w:ascii="Arial" w:cs="Arial" w:eastAsia="Arial" w:hAnsi="Arial"/>
                <w:sz w:val="17"/>
                <w:szCs w:val="17"/>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201,018,394</w:t>
            </w:r>
          </w:p>
        </w:tc>
        <w:tc>
          <w:tcPr>
            <w:tcW w:w="140" w:type="dxa"/>
            <w:vAlign w:val="bottom"/>
          </w:tcPr>
          <w:p>
            <w:pPr>
              <w:spacing w:after="0"/>
              <w:rPr>
                <w:sz w:val="17"/>
                <w:szCs w:val="17"/>
                <w:color w:val="auto"/>
              </w:rPr>
            </w:pPr>
          </w:p>
        </w:tc>
      </w:tr>
      <w:tr>
        <w:trPr>
          <w:trHeight w:val="20"/>
        </w:trPr>
        <w:tc>
          <w:tcPr>
            <w:tcW w:w="8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240" w:hanging="257"/>
        <w:spacing w:after="0" w:line="202"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Our sponsor may loan us up to $300,000 under an unsecured promissory note to be used for a portion of the expenses of this offering. The “as adjusted” information gives effect to the repayment of any loans received from our sponsor out of the proceeds from this offering and the sale of the private placement warrants. To date, we have not borrowed any amounts under the promissory note with our sponsor.</w:t>
      </w:r>
    </w:p>
    <w:p>
      <w:pPr>
        <w:ind w:left="440" w:right="20" w:hanging="257"/>
        <w:spacing w:after="0" w:line="211"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whereby redemptions cannot cause our net tangible assets to be less than $5,000,001 and any limitations (including, but not limited to, cash requirements) created by the terms of the proposed business combination.</w:t>
      </w:r>
    </w:p>
    <w:p>
      <w:pPr>
        <w:spacing w:after="0" w:line="1" w:lineRule="exact"/>
        <w:rPr>
          <w:rFonts w:ascii="Arial" w:cs="Arial" w:eastAsia="Arial" w:hAnsi="Arial"/>
          <w:sz w:val="24"/>
          <w:szCs w:val="24"/>
          <w:color w:val="auto"/>
          <w:vertAlign w:val="superscript"/>
        </w:rPr>
      </w:pPr>
    </w:p>
    <w:p>
      <w:pPr>
        <w:ind w:left="440" w:right="140" w:hanging="257"/>
        <w:spacing w:after="0" w:line="185" w:lineRule="auto"/>
        <w:tabs>
          <w:tab w:leader="none" w:pos="440" w:val="left"/>
        </w:tabs>
        <w:numPr>
          <w:ilvl w:val="0"/>
          <w:numId w:val="38"/>
        </w:numPr>
        <w:rPr>
          <w:rFonts w:ascii="Arial" w:cs="Arial" w:eastAsia="Arial" w:hAnsi="Arial"/>
          <w:sz w:val="24"/>
          <w:szCs w:val="24"/>
          <w:color w:val="auto"/>
          <w:vertAlign w:val="superscript"/>
        </w:rPr>
      </w:pPr>
      <w:r>
        <w:rPr>
          <w:rFonts w:ascii="Arial" w:cs="Arial" w:eastAsia="Arial" w:hAnsi="Arial"/>
          <w:sz w:val="14"/>
          <w:szCs w:val="14"/>
          <w:color w:val="auto"/>
        </w:rPr>
        <w:t>Actual share amount is prior to any forfeiture of founder shares and as adjusted amount assumes no exercise of the underwriters’ over-allotment option and forfeiture of an aggregate of 750,000 founder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 blank check company incorporated on July 31, 2020 as a Cayman Islands exempted company and incorporated for the purpose of effecting a merger, share exchange, asset acquisition, share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additional shares in connection with a business combination to the owners of the target or other investors:</w:t>
      </w:r>
    </w:p>
    <w:p>
      <w:pPr>
        <w:spacing w:after="0" w:line="196" w:lineRule="exact"/>
        <w:rPr>
          <w:sz w:val="20"/>
          <w:szCs w:val="20"/>
          <w:color w:val="auto"/>
        </w:rPr>
      </w:pPr>
    </w:p>
    <w:p>
      <w:pPr>
        <w:ind w:left="880" w:right="180" w:hanging="427"/>
        <w:spacing w:after="0" w:line="249"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ind w:left="880" w:right="24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subordinate the rights of holders of Class A ordinary shares if preferred shares are issued with rights senior to those afforded our Class A ordinary shares;</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 w:lineRule="exact"/>
        <w:rPr>
          <w:rFonts w:ascii="MS PGothic" w:cs="MS PGothic" w:eastAsia="MS PGothic" w:hAnsi="MS PGothic"/>
          <w:sz w:val="13"/>
          <w:szCs w:val="13"/>
          <w:color w:val="auto"/>
        </w:rPr>
      </w:pPr>
    </w:p>
    <w:p>
      <w:pPr>
        <w:ind w:left="880" w:right="52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have the effect of delaying or preventing a change of control of us by diluting the share ownership or voting rights of a person seeking to obtain control of us; and</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may adversely affect prevailing market prices for our Class A ordinary shares and/or warrants. Similarly, if we issue debt securities or otherwise incur significant debt to bank or other lenders or the owners of a target, it could result in:</w:t>
      </w:r>
    </w:p>
    <w:p>
      <w:pPr>
        <w:spacing w:after="0" w:line="1" w:lineRule="exact"/>
        <w:rPr>
          <w:rFonts w:ascii="MS PGothic" w:cs="MS PGothic" w:eastAsia="MS PGothic" w:hAnsi="MS PGothic"/>
          <w:sz w:val="13"/>
          <w:szCs w:val="13"/>
          <w:color w:val="auto"/>
        </w:rPr>
      </w:pPr>
    </w:p>
    <w:p>
      <w:pPr>
        <w:ind w:left="880" w:right="32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default and foreclosure on our assets if our operating revenues after an initial business combination are insufficient to repay our debt obligations;</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immediate payment of all principal and accrued interest, if any, if the debt security is payable on demand;</w:t>
      </w:r>
    </w:p>
    <w:p>
      <w:pPr>
        <w:spacing w:after="0" w:line="34" w:lineRule="exact"/>
        <w:rPr>
          <w:rFonts w:ascii="MS PGothic" w:cs="MS PGothic" w:eastAsia="MS PGothic" w:hAnsi="MS PGothic"/>
          <w:sz w:val="13"/>
          <w:szCs w:val="13"/>
          <w:color w:val="auto"/>
        </w:rPr>
      </w:pPr>
    </w:p>
    <w:p>
      <w:pPr>
        <w:ind w:left="880" w:right="6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inability to pay dividends on our Class A ordinary shares;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limitations on our flexibility in planning for and reacting to changes in our business and in the industry in which we operate;</w:t>
      </w:r>
    </w:p>
    <w:p>
      <w:pPr>
        <w:spacing w:after="0" w:line="34" w:lineRule="exact"/>
        <w:rPr>
          <w:rFonts w:ascii="MS PGothic" w:cs="MS PGothic" w:eastAsia="MS PGothic" w:hAnsi="MS PGothic"/>
          <w:sz w:val="13"/>
          <w:szCs w:val="13"/>
          <w:color w:val="auto"/>
        </w:rPr>
      </w:pPr>
    </w:p>
    <w:p>
      <w:pPr>
        <w:ind w:left="880" w:right="900" w:hanging="427"/>
        <w:spacing w:after="0" w:line="256"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1" w:lineRule="exact"/>
        <w:rPr>
          <w:rFonts w:ascii="MS PGothic" w:cs="MS PGothic" w:eastAsia="MS PGothic" w:hAnsi="MS PGothic"/>
          <w:sz w:val="13"/>
          <w:szCs w:val="13"/>
          <w:color w:val="auto"/>
        </w:rPr>
      </w:pPr>
    </w:p>
    <w:p>
      <w:pPr>
        <w:ind w:left="880" w:right="560" w:hanging="427"/>
        <w:spacing w:after="0" w:line="273" w:lineRule="auto"/>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00"/>
          </w:cols>
          <w:pgMar w:left="320" w:top="455" w:right="3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As indicated in the accompanying financial statements, at August 3, 2020, we had no cash and deferred offering costs of $78,394. Further, we expect to incur significant costs in the pursuit of our initial business combination. We cannot assure you that our plans to raise capital or to complete our initial business combination will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$300,000 in loans from our sponsor.</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estimate that the net proceeds from the sale of the units in this offering and the sale of the private placement warrants for an aggregate purchase price of $6,000,000 (or $6,600,000 if the underwriters’ over-allotment option is exercised in full), after deducting offering expenses of approximately $1,000,000 and underwriting commissions of $4,000,000 (or $4,600,000 if the underwriters’ over-allotment option is exercised in full) (excluding deferred underwriting commissions of $7,000,000, or $8,050,000 if the underwriters’ over-allotment option is exercised in full), will be $201,000,000 (or $231,000,000 if the underwriters’ over-allotment option is exercised in full). $200,000,000 (or $230,000,000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if any.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2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do not believe we will need to raise additional funds following this offering in order to meet the expenditures required for operating our business prior to our initial business combination. However, if our estimates of the costs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expect our primary liquidity requirements during that period to include approximately $350,000 for legal, accounting, due diligence, travel and other expenses associated with structuring, negotiating and documenting successful business combinations; $150,000 for legal and accounting fees related to regulatory reporting requirements; $240,000 for administrative and support services; $55,000 for continued listing fees; $100,000 for reserve for liquidation; and approximately $105,000 for general working capital that will be used for miscellaneous expenses and reserves. We will also pay our sponsor $10,000 per month for office space, utilities, secretarial and administrative services provided to members of our management team.</w:t>
      </w:r>
    </w:p>
    <w:p>
      <w:pPr>
        <w:spacing w:after="0" w:line="12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64" w:lineRule="exact"/>
        <w:rPr>
          <w:sz w:val="20"/>
          <w:szCs w:val="20"/>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staffing for financial, accounting and external reporting areas, including segregation of duties;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reconciliation of accounts;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proper recording of expenses and liabilities in the period to which they relate;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evidence of internal review and approval of accounting transactions;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documentation of processes, assumptions and conclusions underlying significant estimates;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documentation of accounting policies and procedures.</w:t>
      </w:r>
    </w:p>
    <w:p>
      <w:pPr>
        <w:spacing w:after="0" w:line="15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7"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6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As of August 3,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7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80"/>
          </w:cols>
          <w:pgMar w:left="320" w:top="455" w:right="3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the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060"/>
          </w:cols>
          <w:pgMar w:left="320" w:top="455" w:right="5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7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are a blank check company incorporated as a Cayman Islands exempted company for the purpose of effecting a merger, share exchange, asset acquisition, share purchase, reorganization or similar business combination with one or more businesses. Throughout this prospectus, we will refer to this as our initial business combination. We have not selected any potential business combination target and we have not, nor has anyone on our behalf, initiated any substantive discussions, directly or indirectly, with any potential business combination target.</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sponsor is affiliated with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VPC has sourced, diligenced and executed transactions within the key segments of the Fintech landscape including digital lending, payment processing, insurance technology, real estate technology and digital investment management, and is adept at investing across differing operating models (e.g., asset-light vs. capital intensive) and stages of business maturity. VPC’s industry brand name, historical transaction experience, venture capital partnerships and international investor base have helped the firm build an expansive network of relationships and access to management that will be a differentiating factor in identifying and completing a business combination.</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intend to concentrate our efforts in identifying high-growth businesses in the Fintech industry with an enterprise value of approximately $800 million to $2.0 billion. Based on the CB Insights Global Unicorn Club, we estimate that Fintech businesses represent 13% of all private companies valued at over $1 billion, and approximately 60% of these companies are valued at $2 billion or below. According to PitchBook, in 2019, cumulative global investment activity across Fintech companies reached approximately $147 billion (including venture capital, private equity and M&amp;A), surpassing the previous peak of approximately $143 billion in 2018. We believe that late stage venture capital investors seeking an exit has yielded a deep supply of prospective Fintech targets. The Fintech landscape has matured from a previously niche venture market to an expansive global industry comprised of numerous large-scale institutionalized businesses that consistently experience strong revenue and profitability growth. Fintech adoption by both consumers and businesses continues to benefit from robust secular tailwinds including the growth in digital commerce, the proliferation of mobile technology, the ubiquitous acceptance of digital payments and continuous technological advancement, positioning the sector for long-term growth. In 2019, the EY Global Fintech Adoption Index estimated that 64% of digitally active consumers globally utilized Fintech products and that consumer awareness of Fintech is even higher.</w:t>
      </w:r>
    </w:p>
    <w:p>
      <w:pPr>
        <w:spacing w:after="0" w:line="12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Within the broader Fintech industry, specific sectors of focus will include businesses in the payment processing, digital “buy now pay later”, digital banks or neo banks, e-commerce financing, digital lending, remittance, underwriting and data analytics, insurance technology, real estate technology and fraud detection sectors. We will place particular emphasis on acquiring a Fintech business with a best-in-class management team, rapid sales growth, industry-leading unit economics, a differentiated technology platform and attractive competitive dynamics within a geography and/or industry vertical that offers a large and expanding addressable market. In considering potential acquisition targets, VPC will prioritize targets that promote financial inclusion and superior value add to the end consumer or SME through lowering overall transaction costs and providing access to high-quality financial services.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20"/>
          </w:cols>
          <w:pgMar w:left="320" w:top="455"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7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intend to identify high growth Fintech acquisition targets by leveraging the expertise of our management team and VPC. VPC maintains robust proprietary deal sourcing channels and industry-leading relationships across the Fintech landscape. VPC is well positioned as a partner for both venture capital firms, international finance organizations and Fintech companies.</w:t>
      </w:r>
    </w:p>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VPC’s historical investments consist primarily of debt capital and minority equity transactions which have allowed VPC to invest with a diverse universe of industry participants. VPC currently holds minority equity positions in over 20 Fintech firms globally, typically acquired in the form of warrants or early stage growth equity in conjunction with a larger debt investment. All VPC financing transactions allow meaningful access to management, require detailed reporting, and often include Board of Directors observation rights. This affords VPC valuable insights into the industry and competitive dynamics as well as benchmarks to identify best-in-class operations and management teams. VPC has executed over 50 Fintech transactions and has performed diligence on other opportunities across the world culminating in deep sector expertise and a unique market position. In evaluating potential target businesses, we will adhere to VPC’s comprehensive underwriting and diligence review standards to determine the intrinsic value and identify both idiosyncratic and market risks inherent with each Fintech business. The depth of VPC’s deal origination network is further exemplified by having reviewed over 1,000 investment opportunities since 2018. VPC has executed transactions with more than 50 sponsors and venture capital firms, including nine of the top ten most active Fintech venture capital investors, based on PitchBook’s top venture capital investors in Fintech by deal count from 2009 to 2019.</w:t>
      </w:r>
    </w:p>
    <w:p>
      <w:pPr>
        <w:spacing w:after="0" w:line="127"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VPC investment team’s deal sourcing network is further expanded by the widespread reach and reputation of various global joint venture partners including the IFC, a member of the World Bank, and IDB. These partnerships expand VPC’s sourcing network globally and present a proprietary and differentiated channel for the identification of emerging market Fintech businesses that may benefit from a potential business combination. VPC has successfully utilized these relationships to source and execute non-U.S. Fintech transactions and add credibility and access to VPC to prospective targets in emerging markets. VPC believes these relationships are a key differentiator and will play a critical role in allowing VPC to evaluate attractive non-U.S. acquisition targets, which may further benefit from our access to U.S. equity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a prospective business target. We expect to utilize these criteria and guidelines in evaluating acquisition opportunities, but these are not intended to be exhaustive and management will independently review the merits of an initial business combination. We expect that no individual criterion will entirely determine a decision to pursue an opportunity, but we intend to acquire companies that we believe:</w:t>
      </w:r>
    </w:p>
    <w:p>
      <w:pPr>
        <w:spacing w:after="0" w:line="157" w:lineRule="exact"/>
        <w:rPr>
          <w:sz w:val="20"/>
          <w:szCs w:val="20"/>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high-growth Fintech businesses which operate within large and expanding markets with significant whitespace opportunity;</w:t>
      </w:r>
    </w:p>
    <w:p>
      <w:pPr>
        <w:spacing w:after="0" w:line="35"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of meaningful scale and whose products and/or services are materially differentiated from competitors creating meaningful barriers to entry for new competitors;</w:t>
      </w:r>
    </w:p>
    <w:p>
      <w:pPr>
        <w:spacing w:after="0" w:line="1"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Operate a superior unit economic model which either currently or over time are expected to generate profitable, stable and predictable cash flow generation for the business;</w:t>
      </w:r>
    </w:p>
    <w:p>
      <w:pPr>
        <w:spacing w:after="0" w:line="1"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Are at a capital inflection point where significant risk-adjusted shareholder value can be generated through a business combination and resulting access to the broader equity capital markets to drive growth;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Possess a best-in-class management team with a track record of success in driving growth and profitability within Fintech market;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Maintain superior and scalable risk management, underwriting, data analytics, monitoring and reporting processes; and</w:t>
      </w:r>
    </w:p>
    <w:p>
      <w:pPr>
        <w:spacing w:after="0" w:line="34" w:lineRule="exact"/>
        <w:rPr>
          <w:rFonts w:ascii="MS PGothic" w:cs="MS PGothic" w:eastAsia="MS PGothic" w:hAnsi="MS PGothic"/>
          <w:sz w:val="13"/>
          <w:szCs w:val="13"/>
          <w:color w:val="auto"/>
        </w:rPr>
      </w:pPr>
    </w:p>
    <w:p>
      <w:pPr>
        <w:ind w:left="880" w:right="140" w:hanging="427"/>
        <w:spacing w:after="0" w:line="273"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Promote financial inclusion and provide significant value to the underlying end consumer or enterprise through a lowering of transaction costs or through providing access to high-quality financial services.</w:t>
      </w:r>
    </w:p>
    <w:p>
      <w:pPr>
        <w:spacing w:after="0" w:line="9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criteria and guidelines are not intended to be exhaustive. Any evaluation relating to the merits of a particular initial business combination may be based, to the extent relevant, on these general guidelines as well as other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proxy solicitation materials or tender offer documents that we would file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management team will consist of John Martin, our Chairman and Chief Executive Officer, Gordon Watson, our President and Chief Operating Officer, and Olibia Stamatoglou, our Chief Financial Officer, all of whom will be supported by the entire VPC investment team whose partners average over 15 years of relevant experience across a broad range of investing, financial, operating, advisory and legal disciplines. Our management team’s Fintech investing experience and operational expertise enables VPC to consistently act as a value-added partner to its portfolio companies.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John Martin, our Chairman and Chief Executive Officer, maintains over thirty years of investment experience and is a Senior Partner at VPC. 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 $6.5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Gordon Watson, our President and Chief Operating Officer, joined VPC in 2014 and is currently a Partner. Gordon is a member of VPC’s 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2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Olibia Stamatoglou, our Chief Financial Officer, is the Chief Financial Officer and Chief Compliance Officer of VPC. Previously, Olibia served 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Adrienne Harris will be one of our directors as of the effective date of the registration statement of which this prospectus forms a part. Ms. Harris is currently a Professor of the Practice and a Gates Foundation Senior Research Fellow with the Center for Finance, 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 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Columbia Law Review, and a B.A. from Georgetown University, where she was a John Carrol Scholar and graduated with honors.</w:t>
      </w:r>
    </w:p>
    <w:p>
      <w:pPr>
        <w:spacing w:after="0" w:line="1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Kai Schmitz will be one of our directors as of the effective date of the registration statement of which this prospectus forms a part. Mr. Schmitz is currently a Partner at Amadeus Capital, where he focuses on growth stage investments in Emerging Markets, 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 $600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Kurt Summers will be one of our directors as of the effective date of the registration statement. Mr. Summers has twenty years of experience in both private and public sector finance. Mr. Summers is currently a Senior Advisor at 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 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12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With respect to the foregoing experiences of our management team, past performance is not a guarantee (i) that we will be able to identify a suitable candidate for our initial business combination or (ii) of success with respect to any business combination we may consummate. You should not rely on the historical record of our management team’s performance as indicative of our future performance. None of the members of our management team has any past experience with any blank check companies or special purpose acquisition companies. For more information on the experience and background of our management team, see the section entitled “</w:t>
      </w:r>
      <w:r>
        <w:rPr>
          <w:rFonts w:ascii="Arial" w:cs="Arial" w:eastAsia="Arial" w:hAnsi="Arial"/>
          <w:sz w:val="17"/>
          <w:szCs w:val="17"/>
          <w:i w:val="1"/>
          <w:iCs w:val="1"/>
          <w:color w:val="auto"/>
        </w:rPr>
        <w:t>Management</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VPC Investment Team Leadership</w:t>
      </w:r>
    </w:p>
    <w:p>
      <w:pPr>
        <w:spacing w:after="0" w:line="7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Richard Levy is the Chief Executive Officer and Founder of VPC. He oversees the firm’s investment and operational activities. Mr. Levy is also the chairman of the firm’s Senior Leadership Team and Investment Committee. Mr. Levy serves as chairman of the board of directors of VPC portfolio company, Giordano’s. He also serves as a member of the board of directors of VPC portfolio companies, Caribbean Financial Group and United Automobile Insurance Company. Previously, Mr. Levy served as head of the Small Cap Structured Products Group and co-head of the Solutions Group at Magnetar Capital. He also co-founded and served as managing partner at Crestview Capital Partners. Mr. Levy received a B.A. in political science from The Ohio State University, an MBA from the Illinois Institute of Technology’s Stuart School of Business and a J.D. from Chicago-Kent College of Law. He is a member of the Illinois bar (inactive). Mr. Levy is also chairman of the board of nonprofit, Gardeneers, an active board member of Camp Kesem and he sits on the Board of Trustees for the Illinois Institute of Technology.</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Brendan Carroll is a Senior Partner at VPC, which he co-founded in 2007. He is responsible for strategic initiatives and firm operations in addition to sourcing, evaluating and executing investment opportunities. Mr. Carroll also oversees marketing, fundraising, business development and investor relations for the firm. He is a member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firm’s Senior Leadership Team and Investment Committee. Mr. Carroll serves as member of the board of directors of VPC portfolio company, johnnie-O. Previously, as a member of the Solutions Group at Magnetar Capital, Mr. Carroll specialized in direct financings to lower middle market companies. He has held various investment banking positions at William Blair and Robertson Stephens, specializing in corporate finance and mergers and acquisitions. Mr. Carroll has also worked in various capacities for former U.S. Senator Joseph Lieberman (I- CT). Mr. Carroll received a B.A. with honors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Jason Brown joined VPC in 2014 as a Partner and manages the firm’s Los Angeles office. He is primarily responsible for sourcing, analyzing, executing and managing investments in lower middle market companies. Mr. Brown also actively works on value creation initiatives and strategic alternatives for the firm. Mr. Brown is a member of the firm’s Senior Leadership Team and Investment Committee. Mr. Brown currently serves on the board of directors of VPC portfolio companies, Labs.Dental Holdings and Processing.com. Mr. Brown has more than 20 years of experience in financial services. Most recently, Mr. Brown was a managing director for GE Capital, Corporate Restructuring Finance for more than ten years where he and his team provided growth, working capital and turnaround finance to mid-size and large companies. His team also specialized in senior secured loans to distressed companies supporting Chapter 11 filings, plan-of-reorganizations and out-of-court restructurings. Prior to GE Capital, he worked at Comerica Bank as a manager in their northern Los Angeles office and for Manufacturers Hanover in Sydney, Australia. He has also served as the global chairman and president of the Los Angeles chapter of the Association for Corporate Growth (ACG). Mr. Brown received a B.S. in business administration from the University of Southern California.</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Tom Welch joined VPC in 2009 and is a Partner. He is primarily responsible for sourcing, analyzing, executing and managing investments primarily within the financial services industry. Mr. Welch also actively works on value creation initiatives and strategic alternatives for portfolio companies. Mr. Welch is a member of firm’s Investment Committee. Previously, Mr. Welch served as a credit underwriter in the Cash-Flow Lending Group for CapitalSource, concentrating his investment efforts in the industrials, consumer products and business services industries. He also worked in the Global Multi-Industries Investment Banking Group at Merrill Lynch, focusing on mergers and acquisitions, leveraged finance and growth capital transactions. Mr. Welch received a B.S. in finance with honors from the University of Illinois.</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Connell Hasten joined VPC in 2018 and is a Partner. He co-founded and manages the firm’s insurance services platform and is primarily responsible for sourcing, underwriting, executing and managing investment opportunities for insurers. Mr. Hasten is a member of the firm’s Investment Committee. Previously, Mr. Hasten was a managing director at EquiTrust Life Insurance Company, an insurance company with approximately $20.0 billion in assets, where he oversaw a large portion of private and public debt and equity investments. Prior to EquiTrust Life Insurance Company, Mr. Hasten was a director at Guggenheim Partners and served as a portfolio manager, primarily responsible for an $8 billion real estate investment portfolio on behalf of insurance companies. Beforehand, Mr. Hasten was a vice president at Bank of America in the special situations and real estate lending groups. Mr. Hasten earned his B.S. from Indiana University’s Kelley School of Business and his MBA from Northwestern University’s Kellogg School of Management. Mr. Hasten was a recipient of the ULI 40 under 40 award in 2016 and is also an active Chicago board member of Camp Kesem.</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management team’s efforts to seek a suitable business combination target will be complemented and augmented by the expertise and network of relationships of our independent director nominees. We believe that our access to and affiliation with our independent director nominees represents a competitive advantage. We also believe that our management team’s expertise will be augmented by the other members of our board of directors, which will provide extensive experience in business and financial matters.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45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including if such company is at an early stage of development, operations or growth, or if the anticipated transaction involves a complex financial analysis or other specialized skills and the board of directors determines that outside expertise would be helpful or necessary in conducting such analysis. As any such opinion, if obtained, would only state that the fair market value meets the 80% of assets threshold, unless such opinion includes material information regarding the valuation of the target or the consideration to be provided, it is not anticipated that copies of such opinion would be distributed to our shareholders. However, if required by Schedule 14A of the Exchange Act, any proxy solicitation materials or tender offer documents that we will file with the SEC in connection with our initial business combination will include such opinion. Unless our board of directors is unable to independently determine the fair market value of our initial business combination or we complete our initial business combination with an affiliated entity as described below, we are not required to obtain an opinion from an independent investment banking firm or from an independent valuation or appraisal firm that regularly prepares fairness opinions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materials or tender offer documents, as applicable, related to our initial business combination. In addition, pursuant to Nasdaq rules, any initial business combination must be approved by a majority of our independent directors.</w:t>
      </w:r>
    </w:p>
    <w:p>
      <w:pPr>
        <w:spacing w:after="0" w:line="12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anticipate structuring our initial business combination so that the post transaction company in which our public shareholders own shares will own or acquire 100% of the equity interests or assets of the target business or businesses. We may, however, structure our initial business combination such that the post transaction company owns or acquires less than 100% of such interests or assets of the target business in order to meet certain objectives of the target management team or shareholders or for other reasons, but we will only complete such business combination if the post 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 transaction company owns or acquires 50% or more of the voting securities of the target, our shareholders prior to the business combination may collectively own a minority interest in the post transaction company, depending on valuations ascribed to the target and us in the business combination. For example, we could pursue a transaction in which we issue a substantial number of new shares in exchange for all of the outstanding capital stock, shares or other equity interests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 transaction company, the portion of such business or businesses that is owned or acquired is what will be taken into account for purposes of the 80% of assets test described above. If the business combination involves more than one target business, the 80% of assets test will be based on the aggregate value of all of the target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of Potential Business Combination Targets</w:t>
      </w:r>
    </w:p>
    <w:p>
      <w:pPr>
        <w:spacing w:after="0" w:line="6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the world.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 transactions under varying economic and financial market conditions.</w:t>
      </w:r>
    </w:p>
    <w:p>
      <w:pPr>
        <w:spacing w:after="0" w:line="1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completing the business combination through a joint venture or other form of shared ownership with our sponsor, officers or directors. In the event we seek to complete an initial business combination with a target that is affiliated with our sponsor, officers or directors, we, or a committee of independent directors, would obtain an opinion from an independent investment banking firm that is a member of FINRA or a valuation or appraisal firm that such an initial business combination is fair to our company from a financial point of view.</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other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shares or other equity interests in the target business for our Class A ordinary shares (or shares of a new holding company) or for a combination of our Class A ordinary shares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455" w:right="3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11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is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w:t>
      </w:r>
      <w:r>
        <w:rPr>
          <w:rFonts w:ascii="Arial" w:cs="Arial" w:eastAsia="Arial" w:hAnsi="Arial"/>
          <w:sz w:val="14"/>
          <w:szCs w:val="14"/>
          <w:color w:val="auto"/>
        </w:rPr>
        <w:t>th</w:t>
      </w:r>
      <w:r>
        <w:rPr>
          <w:rFonts w:ascii="Arial" w:cs="Arial" w:eastAsia="Arial" w:hAnsi="Arial"/>
          <w:sz w:val="17"/>
          <w:szCs w:val="17"/>
          <w:color w:val="auto"/>
        </w:rPr>
        <w:t>, or (2) our annual revenues exceeded $100 million during such completed fiscal year and the market value of our ordinary shares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With funds available for a business combination initially in the amount of $193,000,000 (assuming no redemptions), after payment of $7,000,000 of deferred underwriting fees (or $221,950,000 (assuming no redemptions) after payment of $8,050,000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other securities issuances,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use the balance of the cash released to us from the trust account following the closing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we intend to focus our search on global and regional consumer brands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with enterprise values that are greater than we could acquire with the net proceeds of this offering and the sale of the private placement warrants,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shareholder approval of such financing.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At this time, we are not a party to any arrangement or understanding with any third party with respect to raising any additional funds through the sale of securities or otherwise. None of our sponsors, officers, directors or shareholders is required to provide any financing to us in connection with or after our initial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and private investment funds. Target businesses may be brought to our attention by</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455"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track record and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$10,000 per month for office space, utilities, secretarial and administrative support services provided to members of our management team. We may also elect to make payment of customary fees to members of our board of directors for director service.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from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a valuation or appraisal firm, that such an initial business combination is fair to our company from a financial point of view. We are not required to obtain such an opinion in any other context.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7" w:lineRule="exact"/>
        <w:rPr>
          <w:sz w:val="20"/>
          <w:szCs w:val="20"/>
          <w:color w:val="auto"/>
        </w:rPr>
      </w:pPr>
    </w:p>
    <w:p>
      <w:pPr>
        <w:jc w:val="both"/>
        <w:ind w:right="120"/>
        <w:spacing w:after="0" w:line="24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6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51" w:lineRule="exact"/>
        <w:rPr>
          <w:sz w:val="20"/>
          <w:szCs w:val="20"/>
          <w:color w:val="auto"/>
        </w:rPr>
      </w:pPr>
    </w:p>
    <w:p>
      <w:pPr>
        <w:ind w:left="880" w:hanging="427"/>
        <w:spacing w:after="0" w:line="257"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cause us to depend on the marketing and sale of a single product or limited number of products or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reasons.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Under Nasdaq’s listing rules, shareholder approval would be required for our initial business combination if, for example:</w:t>
      </w:r>
    </w:p>
    <w:p>
      <w:pPr>
        <w:spacing w:after="0" w:line="196" w:lineRule="exact"/>
        <w:rPr>
          <w:sz w:val="20"/>
          <w:szCs w:val="20"/>
          <w:color w:val="auto"/>
        </w:rPr>
      </w:pPr>
    </w:p>
    <w:p>
      <w:pPr>
        <w:ind w:left="880" w:right="40" w:hanging="427"/>
        <w:spacing w:after="0" w:line="257"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We issue ordinary shares that will be equal to or in excess of 20% of the number of our ordinary shares then outstanding (other than in a public offering);</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of our directors, officers or substantial shareholders (as defined by Nasdaq rules) has a 5% or greater interest earned on the trust account (or such persons collectively have a 10% or greater interest), directly or indirectly, in the target business or assets to be acquired or otherwise and the present or potential issuance of ordinary shares could result in an increase in outstanding</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ordinary shares or voting power of 5% or more;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issuance or potential issuance of ordinary shares will result in our undergoing a change of control.</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decision as to whether we will seek shareholder approval of a proposed business combination in those instances in which shareholder approval is not required by applicable law or stock exchange listing requirements will be made by us, solely in our discretion, and will be based on business and legal reasons, which include a variety of factors, including, but not limited to: (i) the timing of the transaction, including in the event we determine shareholder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455" w:right="3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approval would require additional time and there is either not enough time to seek shareholder approval or doing so would place the company at a disadvantage in the transaction or result in other additional burdens on the company; (ii) the expected cost of holding a shareholder vote; (iii) the risk that the shareholders would fail to approve the proposed business combination; (iv) other time and budget constraints of the company; and</w:t>
      </w:r>
    </w:p>
    <w:p>
      <w:pPr>
        <w:spacing w:after="0"/>
        <w:rPr>
          <w:sz w:val="20"/>
          <w:szCs w:val="20"/>
          <w:color w:val="auto"/>
        </w:rPr>
      </w:pPr>
      <w:r>
        <w:rPr>
          <w:rFonts w:ascii="Arial" w:cs="Arial" w:eastAsia="Arial" w:hAnsi="Arial"/>
          <w:sz w:val="17"/>
          <w:szCs w:val="17"/>
          <w:color w:val="auto"/>
        </w:rPr>
        <w:t>(v) additional legal complexities of a proposed business combination that would be time-consuming and burdensome to present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shareholders,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sponsor, officers, directors and/or their affiliates anticipate that they may identify the shareholders with whom our initial shareholders,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redeem their shares for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or vote against our initial business combination, whether or not such shareholder has already submitted a proxy with respect to our initial business combination but only if such shares have not already been voted at the general meeting related to our initial business combination. Our sponsor, officers, directors, advisors or any of their affiliates will select which shareholders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not make purchases of shares if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purchases would violate Section 9(a)(2) or Rule 10b-5 of the Exchange Act. Any such purchases will be reported pursuant to Section 13 and Section 16 of the Exchange Act to the extent such purchasers are subject to such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7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 rights with respect to their founder shares and any public shares they may hold in connection with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Redemptions</w:t>
      </w:r>
    </w:p>
    <w:p>
      <w:pPr>
        <w:spacing w:after="0" w:line="6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firstLine="8"/>
        <w:spacing w:after="0" w:line="235" w:lineRule="auto"/>
        <w:tabs>
          <w:tab w:leader="none" w:pos="27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general meeting called to approve the business combination or (ii) without a shareholder vote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 described above under the heading “Shareholders May Not Have the Ability to Approve Our Initial Business Combination.”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So long as we obtain and maintain a listing for our securities on Nasdaq, we will be required to comply with Nasdaq’s shareholder approval rules.</w:t>
      </w:r>
    </w:p>
    <w:p>
      <w:pPr>
        <w:spacing w:after="0" w:line="12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requirement that we provide our public shareholders with the opportunity to redeem their public shares by one of the two methods listed above are contained in provisions of our amended and restated memorandum and articles of association and apply whether or not we maintain our registration under the Exchange Act or our listing on Nasdaq. Such provisions may be amended if approved by a special resolution of our shareholders as a matter of Cayman Islands law, being the affirmative vote of a majority of at least two-thirds of the shareholders who attend and vote at a general meeting of the company, so long as we offer redemption in connection with such amendment.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If we provide our public shareholders with the opportunity to redeem their public shares in connection with a general meeting, we will, pursuant to our amended and restated memorandum and articles of association:</w:t>
      </w:r>
    </w:p>
    <w:p>
      <w:pPr>
        <w:spacing w:after="0" w:line="133" w:lineRule="exact"/>
        <w:rPr>
          <w:sz w:val="20"/>
          <w:szCs w:val="20"/>
          <w:color w:val="auto"/>
        </w:rPr>
      </w:pPr>
    </w:p>
    <w:p>
      <w:pPr>
        <w:ind w:left="880" w:right="320" w:hanging="427"/>
        <w:spacing w:after="0" w:line="257" w:lineRule="auto"/>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file proxy materials with the SEC.</w:t>
      </w:r>
    </w:p>
    <w:p>
      <w:pPr>
        <w:spacing w:after="0" w:line="15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9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A quorum for such meeting will be present if the holders of a majority of issued and outstanding shares entitled to vote at the meeting are represented in person or by proxy. Our sponsor, officers and directors will count toward this quorum and, pursuant to the letter agreement, our sponsor, officers and directors have agreed to vote their founder shares, private placement shares and any public shares purchased during or after this offering (including in open market and privately-negotiated transactions) in favor of our initial business combination. For purposes of seeking approval of an ordinary resolution, non-votes will have no effect on the approval of our initial business combination once a quorum is obtained.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 of our sponsor, officers and directors, may make it more likely that we will consummate our initial business combination.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If a shareholder vote is not required and we do not decide to hold a shareholder vote for business or other legal reasons, we will:</w:t>
      </w:r>
    </w:p>
    <w:p>
      <w:pPr>
        <w:spacing w:after="0" w:line="196" w:lineRule="exact"/>
        <w:rPr>
          <w:sz w:val="20"/>
          <w:szCs w:val="20"/>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35" w:lineRule="exact"/>
        <w:rPr>
          <w:rFonts w:ascii="MS PGothic" w:cs="MS PGothic" w:eastAsia="MS PGothic" w:hAnsi="MS PGothic"/>
          <w:sz w:val="13"/>
          <w:szCs w:val="13"/>
          <w:color w:val="auto"/>
        </w:rPr>
      </w:pPr>
    </w:p>
    <w:p>
      <w:pPr>
        <w:ind w:left="880" w:right="220" w:hanging="427"/>
        <w:spacing w:after="0" w:line="252" w:lineRule="auto"/>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1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 pursuant to the tender offer rules, we or our sponsor will terminate any plan established in accordance with Rule 10b5-1 to purchase our Class A ordinary shares in the open market, in order to comply with Rule 14e-5 under the Exchange Act.</w:t>
      </w:r>
    </w:p>
    <w:p>
      <w:pPr>
        <w:spacing w:after="0" w:line="11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We believe that this will allow our transfer agent to efficiently process any redemptions without the need for further communication or action from the redeeming public shareholders, which could delay redemptions and result in additional administrative cost. If the proposed initial business combination is not approved and we continue to search for a target company, we will promptly return any certificates or shares delivered by public shareholders who elected to redeem their shares.</w:t>
      </w:r>
    </w:p>
    <w:p>
      <w:pPr>
        <w:spacing w:after="0" w:line="12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amended and restated memorandum and articles of association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ind w:right="140" w:firstLine="8"/>
        <w:spacing w:after="0" w:line="235" w:lineRule="auto"/>
        <w:tabs>
          <w:tab w:leader="none" w:pos="2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retention of cash to satisfy other conditions. In the event the aggregate cash consideration we would be required to pay for all Class A ordinary shares that are validly submitted for redemption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amount required to satisfy cash conditions pursuant to the terms of the proposed initial business combination exceed the aggregate amount of cash available to us, we will not complete the initial business combination or redeem any shares, and all Class A ordinary shares submitted for redemption will be returned to the holders thereof. We may, however, raise funds through the issuance of equity or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However, we would not be restricting our shareholders’ ability to vote all of their shares (including Excess Shares) for or against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Share Certificates in Connection with the Exercise of Redemption Rights</w:t>
      </w:r>
    </w:p>
    <w:p>
      <w:pPr>
        <w:spacing w:after="0" w:line="60"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As described above, 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or tender offer documents, as applicable. In the case of proxy materials, this date may be up to two business days prior to the scheduled vote on the proposal to approve the initial business combination. In addition, if we conduct redemptions in connection with a shareholder vote, we intend to require a public shareholder seeking redemption of its public shares to also submit a written request for redemption to our transfer agent two business days prior to the scheduled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shareholders to satisfy such delivery requirements. Accordingly, a public shareholder would have up to two business days prior to the scheduled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shareholder fails to comply with these or any other procedures disclosed in the proxy or tender offer materials, as applicable, its shares may not be redeemed. Given the relatively short exercise period, it is advisable for shareholders to use electronic delivery of their public shares.</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 xml:space="preserve">If our initial business combination is not approved or completed for any reason, then our public shareholders who elected to exercise their redemption rights would not be entitled to redeem their shares for the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In such case, we will promptly return any certificates delivered by public holders who elected to redeem their shares.</w:t>
      </w:r>
    </w:p>
    <w:p>
      <w:pPr>
        <w:spacing w:after="0" w:line="11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If our initial proposed business combination is not completed, we may continue to try to complete a business combination with a different target until 24 months from the closing of this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73"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Our amended and restated memorandum and articles of association provide that we will have only 24 months from the closing of this offering to complete our initial business combination. If we are unable to complete our initial business combination within such 24-month period, we will:</w:t>
      </w:r>
    </w:p>
    <w:p>
      <w:pPr>
        <w:spacing w:after="0" w:line="1" w:lineRule="exact"/>
        <w:rPr>
          <w:sz w:val="20"/>
          <w:szCs w:val="20"/>
          <w:color w:val="auto"/>
        </w:rPr>
      </w:pPr>
    </w:p>
    <w:p>
      <w:pPr>
        <w:ind w:right="60" w:firstLine="8"/>
        <w:spacing w:after="0" w:line="234" w:lineRule="auto"/>
        <w:tabs>
          <w:tab w:leader="none" w:pos="1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complete our initial business combination within the 24-month time period.</w:t>
      </w:r>
    </w:p>
    <w:p>
      <w:pPr>
        <w:spacing w:after="0" w:line="12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1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sponsor, officers, directors and director nominees have agreed, pursuant to a written agreement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$1,500,000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income taxes on interest income earned on the trust account balance, we may request the trustee to release to us an additional amount of up to $100,000 of such accrued interest to pay those costs and expenses.</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45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 xml:space="preserve">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for example, the cost of such legal action is deemed by the independent directors to be too high relative to the amount recoverable or if the independent directors determine that a favorable outcome is not likely. Accordingly, we cannot assure you that due to claims of creditors the actual value of the per-share redemption price will not be less than $10.00 per share.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$1,500,000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2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or insolvency petition or an involuntary bankruptcy or insolvency petition is filed against us that is not dismissed, any distributions received by shareholders could be viewed under applicable debtor/creditor and/or bankruptcy laws as either a “preferential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transfer” or a “fraudulent conveyance.” 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 xml:space="preserve">Our public shareholders will be entitled to receive funds from the trust account only (i) in the event of the redemption of our public shares if we do not complete our initial business combination within 24 months from the closing of this offering, (ii)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or (iii) if they redeem their respective shares for cash upon the completion of our initial business combination.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84"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455" w:right="339" w:bottom="1440" w:gutter="0" w:footer="0" w:header="0"/>
        </w:sect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c>
          <w:tcPr>
            <w:tcW w:w="0" w:type="dxa"/>
            <w:vAlign w:val="bottom"/>
          </w:tcPr>
          <w:p>
            <w:pPr>
              <w:spacing w:after="0"/>
              <w:rPr>
                <w:sz w:val="1"/>
                <w:szCs w:val="1"/>
                <w:color w:val="auto"/>
              </w:rPr>
            </w:pPr>
          </w:p>
        </w:tc>
      </w:tr>
      <w:tr>
        <w:trPr>
          <w:trHeight w:val="191"/>
        </w:trPr>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Calculation of redemption price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c>
          <w:tcPr>
            <w:tcW w:w="0" w:type="dxa"/>
            <w:vAlign w:val="bottom"/>
          </w:tcPr>
          <w:p>
            <w:pPr>
              <w:spacing w:after="0"/>
              <w:rPr>
                <w:sz w:val="1"/>
                <w:szCs w:val="1"/>
                <w:color w:val="auto"/>
              </w:rPr>
            </w:pPr>
          </w:p>
        </w:tc>
      </w:tr>
      <w:tr>
        <w:trPr>
          <w:trHeight w:val="154"/>
        </w:trPr>
        <w:tc>
          <w:tcPr>
            <w:tcW w:w="3240" w:type="dxa"/>
            <w:vAlign w:val="bottom"/>
            <w:vMerge w:val="continue"/>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Redemptions at the time of our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initial business combination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be made pursuant to a tender offer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or in connection with a shareholder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vote. The redemption price will be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same whether we conduct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redemptions pursuant to a tender</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offer or in connection with a</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 vote. In either case,</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public shareholders may</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redeem their public shares for cash</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equal to the aggregate amount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then on deposit in the trust account</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calculated as of two business days</w:t>
            </w: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prior to the consummation of the</w:t>
            </w:r>
          </w:p>
        </w:tc>
        <w:tc>
          <w:tcPr>
            <w:tcW w:w="0" w:type="dxa"/>
            <w:vAlign w:val="bottom"/>
          </w:tcPr>
          <w:p>
            <w:pPr>
              <w:spacing w:after="0"/>
              <w:rPr>
                <w:sz w:val="1"/>
                <w:szCs w:val="1"/>
                <w:color w:val="auto"/>
              </w:rPr>
            </w:pP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initial business</w:t>
            </w:r>
          </w:p>
        </w:tc>
        <w:tc>
          <w:tcPr>
            <w:tcW w:w="0" w:type="dxa"/>
            <w:vAlign w:val="bottom"/>
          </w:tcPr>
          <w:p>
            <w:pPr>
              <w:spacing w:after="0"/>
              <w:rPr>
                <w:sz w:val="1"/>
                <w:szCs w:val="1"/>
                <w:color w:val="auto"/>
              </w:rPr>
            </w:pPr>
          </w:p>
        </w:tc>
      </w:tr>
      <w:tr>
        <w:trPr>
          <w:trHeight w:val="524"/>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260" w:right="26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ind w:right="40"/>
        <w:spacing w:after="0" w:line="233" w:lineRule="auto"/>
        <w:rPr>
          <w:sz w:val="20"/>
          <w:szCs w:val="20"/>
          <w:color w:val="auto"/>
        </w:rPr>
      </w:pPr>
      <w:r>
        <w:rPr>
          <w:rFonts w:ascii="Arial" w:cs="Arial" w:eastAsia="Arial" w:hAnsi="Arial"/>
          <w:sz w:val="17"/>
          <w:szCs w:val="17"/>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(less taxes payable and up to $100,000 of interest to pay</w:t>
      </w:r>
    </w:p>
    <w:p>
      <w:pPr>
        <w:sectPr>
          <w:pgSz w:w="11900" w:h="16838" w:orient="portrait"/>
          <w:cols w:equalWidth="0" w:num="3">
            <w:col w:w="5940" w:space="380"/>
            <w:col w:w="2460" w:space="120"/>
            <w:col w:w="2340"/>
          </w:cols>
          <w:pgMar w:left="320" w:top="455" w:right="33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REDEMPTIONS IN</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CONNECTION WITH OUR</w:t>
            </w:r>
          </w:p>
        </w:tc>
      </w:tr>
      <w:tr>
        <w:trPr>
          <w:trHeight w:val="162"/>
        </w:trPr>
        <w:tc>
          <w:tcPr>
            <w:tcW w:w="32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rPr>
              <w:t>INITIAL BUSINESS</w:t>
            </w:r>
          </w:p>
        </w:tc>
      </w:tr>
      <w:tr>
        <w:trPr>
          <w:trHeight w:val="191"/>
        </w:trPr>
        <w:tc>
          <w:tcPr>
            <w:tcW w:w="324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154"/>
        </w:trPr>
        <w:tc>
          <w:tcPr>
            <w:tcW w:w="3240" w:type="dxa"/>
            <w:vAlign w:val="bottom"/>
          </w:tcPr>
          <w:p>
            <w:pPr>
              <w:spacing w:after="0"/>
              <w:rPr>
                <w:sz w:val="13"/>
                <w:szCs w:val="13"/>
                <w:color w:val="auto"/>
              </w:rPr>
            </w:pPr>
          </w:p>
        </w:tc>
        <w:tc>
          <w:tcPr>
            <w:tcW w:w="2700" w:type="dxa"/>
            <w:vAlign w:val="bottom"/>
          </w:tcPr>
          <w:p>
            <w:pPr>
              <w:spacing w:after="0" w:line="154" w:lineRule="exact"/>
              <w:rPr>
                <w:sz w:val="20"/>
                <w:szCs w:val="20"/>
                <w:color w:val="auto"/>
              </w:rPr>
            </w:pPr>
            <w:r>
              <w:rPr>
                <w:rFonts w:ascii="Arial" w:cs="Arial" w:eastAsia="Arial" w:hAnsi="Arial"/>
                <w:sz w:val="17"/>
                <w:szCs w:val="17"/>
                <w:color w:val="auto"/>
              </w:rPr>
              <w:t>combination (which is initially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anticipated to be $10.00 per</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 including interest earned 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the funds held in the trust account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and not previously released to us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pay our taxes, divided by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number of then outstanding public</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shares, subject to the limitation that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no redemptions will take place if all</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of the redemptions would cause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our net tangible assets to be less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than $5,000,001 and any</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limitations (including but not limited</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cash requirements) agreed to in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connection with the negotiation of</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terms of a proposed business</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combination.</w:t>
            </w:r>
          </w:p>
        </w:tc>
      </w:tr>
      <w:tr>
        <w:trPr>
          <w:trHeight w:val="633"/>
        </w:trPr>
        <w:tc>
          <w:tcPr>
            <w:tcW w:w="3240" w:type="dxa"/>
            <w:vAlign w:val="bottom"/>
          </w:tcPr>
          <w:p>
            <w:pPr>
              <w:spacing w:after="0"/>
              <w:rPr>
                <w:sz w:val="20"/>
                <w:szCs w:val="20"/>
                <w:color w:val="auto"/>
              </w:rPr>
            </w:pPr>
            <w:r>
              <w:rPr>
                <w:rFonts w:ascii="Arial" w:cs="Arial" w:eastAsia="Arial" w:hAnsi="Arial"/>
                <w:sz w:val="17"/>
                <w:szCs w:val="17"/>
                <w:b w:val="1"/>
                <w:bCs w:val="1"/>
                <w:color w:val="auto"/>
              </w:rPr>
              <w:t>Impact to remaining shareholders</w:t>
            </w:r>
          </w:p>
        </w:tc>
        <w:tc>
          <w:tcPr>
            <w:tcW w:w="2700" w:type="dxa"/>
            <w:vAlign w:val="bottom"/>
          </w:tcPr>
          <w:p>
            <w:pPr>
              <w:spacing w:after="0"/>
              <w:rPr>
                <w:sz w:val="20"/>
                <w:szCs w:val="20"/>
                <w:color w:val="auto"/>
              </w:rPr>
            </w:pPr>
            <w:r>
              <w:rPr>
                <w:rFonts w:ascii="Arial" w:cs="Arial" w:eastAsia="Arial" w:hAnsi="Arial"/>
                <w:sz w:val="17"/>
                <w:szCs w:val="17"/>
                <w:color w:val="auto"/>
              </w:rPr>
              <w:t>The redemptions in connection</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 our initial business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combination will reduce the book</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value per share for our remaining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shareholders, who will bear the</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burden of the deferred underwriting</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commissions and interest</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withdrawn in order to pay our taxes</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(to the extent not paid from</w:t>
            </w:r>
          </w:p>
        </w:tc>
      </w:tr>
      <w:tr>
        <w:trPr>
          <w:trHeight w:val="189"/>
        </w:trPr>
        <w:tc>
          <w:tcPr>
            <w:tcW w:w="324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amounts accrued as interest on the</w:t>
            </w:r>
          </w:p>
        </w:tc>
      </w:tr>
      <w:tr>
        <w:trPr>
          <w:trHeight w:val="231"/>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funds held in the trust account).</w:t>
            </w:r>
          </w:p>
        </w:tc>
      </w:tr>
      <w:tr>
        <w:trPr>
          <w:trHeight w:val="335"/>
        </w:trPr>
        <w:tc>
          <w:tcPr>
            <w:tcW w:w="3240" w:type="dxa"/>
            <w:vAlign w:val="bottom"/>
          </w:tcPr>
          <w:p>
            <w:pPr>
              <w:spacing w:after="0"/>
              <w:rPr>
                <w:sz w:val="24"/>
                <w:szCs w:val="24"/>
                <w:color w:val="auto"/>
              </w:rPr>
            </w:pPr>
          </w:p>
        </w:tc>
        <w:tc>
          <w:tcPr>
            <w:tcW w:w="2700" w:type="dxa"/>
            <w:vAlign w:val="bottom"/>
          </w:tcPr>
          <w:p>
            <w:pPr>
              <w:ind w:left="2300"/>
              <w:spacing w:after="0"/>
              <w:rPr>
                <w:sz w:val="20"/>
                <w:szCs w:val="20"/>
                <w:color w:val="auto"/>
              </w:rPr>
            </w:pPr>
            <w:r>
              <w:rPr>
                <w:rFonts w:ascii="Arial" w:cs="Arial" w:eastAsia="Arial" w:hAnsi="Arial"/>
                <w:sz w:val="16"/>
                <w:szCs w:val="16"/>
                <w:color w:val="auto"/>
              </w:rPr>
              <w:t>98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left="360" w:right="20"/>
        <w:spacing w:after="0" w:line="254"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68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7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260" w:right="140" w:hanging="8"/>
        <w:spacing w:after="0" w:line="259"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91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62" w:lineRule="auto"/>
        <w:rPr>
          <w:sz w:val="20"/>
          <w:szCs w:val="20"/>
          <w:color w:val="auto"/>
        </w:rPr>
      </w:pPr>
      <w:r>
        <w:rPr>
          <w:rFonts w:ascii="Arial" w:cs="Arial" w:eastAsia="Arial" w:hAnsi="Arial"/>
          <w:sz w:val="16"/>
          <w:szCs w:val="16"/>
          <w:color w:val="auto"/>
        </w:rPr>
        <w:t>dissolution expenses) divided by the number of then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3">
            <w:col w:w="5940" w:space="380"/>
            <w:col w:w="2460" w:space="120"/>
            <w:col w:w="22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This Offering to Those of Blank Check Companies Subject to Rule 419</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200"/>
          </w:cols>
          <w:pgMar w:left="320" w:top="455" w:right="37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Escrow of offering proceeds</w:t>
            </w:r>
          </w:p>
        </w:tc>
        <w:tc>
          <w:tcPr>
            <w:tcW w:w="3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154"/>
        </w:trPr>
        <w:tc>
          <w:tcPr>
            <w:tcW w:w="4200" w:type="dxa"/>
            <w:vAlign w:val="bottom"/>
            <w:vMerge w:val="continue"/>
          </w:tcPr>
          <w:p>
            <w:pPr>
              <w:spacing w:after="0"/>
              <w:rPr>
                <w:sz w:val="13"/>
                <w:szCs w:val="13"/>
                <w:color w:val="auto"/>
              </w:rPr>
            </w:pPr>
          </w:p>
        </w:tc>
        <w:tc>
          <w:tcPr>
            <w:tcW w:w="3620" w:type="dxa"/>
            <w:vAlign w:val="bottom"/>
          </w:tcPr>
          <w:p>
            <w:pPr>
              <w:spacing w:after="0" w:line="154" w:lineRule="exact"/>
              <w:rPr>
                <w:sz w:val="20"/>
                <w:szCs w:val="20"/>
                <w:color w:val="auto"/>
              </w:rPr>
            </w:pPr>
            <w:r>
              <w:rPr>
                <w:rFonts w:ascii="Arial" w:cs="Arial" w:eastAsia="Arial" w:hAnsi="Arial"/>
                <w:sz w:val="17"/>
                <w:szCs w:val="17"/>
                <w:color w:val="auto"/>
              </w:rPr>
              <w:t>$200,000,000 of the net proceeds of this</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offering and the sale of the private placement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warrants will be deposited into a trust account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located in the United States with Continental</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20" w:type="dxa"/>
            <w:vAlign w:val="bottom"/>
          </w:tcPr>
          <w:p>
            <w:pPr>
              <w:spacing w:after="0" w:line="189" w:lineRule="exact"/>
              <w:rPr>
                <w:sz w:val="20"/>
                <w:szCs w:val="20"/>
                <w:color w:val="auto"/>
              </w:rPr>
            </w:pPr>
            <w:r>
              <w:rPr>
                <w:rFonts w:ascii="Arial" w:cs="Arial" w:eastAsia="Arial" w:hAnsi="Arial"/>
                <w:sz w:val="17"/>
                <w:szCs w:val="17"/>
                <w:color w:val="auto"/>
              </w:rPr>
              <w:t>Stock Transfer &amp; Trust Company acting as</w:t>
            </w:r>
          </w:p>
        </w:tc>
        <w:tc>
          <w:tcPr>
            <w:tcW w:w="0" w:type="dxa"/>
            <w:vAlign w:val="bottom"/>
          </w:tcPr>
          <w:p>
            <w:pPr>
              <w:spacing w:after="0"/>
              <w:rPr>
                <w:sz w:val="1"/>
                <w:szCs w:val="1"/>
                <w:color w:val="auto"/>
              </w:rPr>
            </w:pPr>
          </w:p>
        </w:tc>
      </w:tr>
      <w:tr>
        <w:trPr>
          <w:trHeight w:val="231"/>
        </w:trPr>
        <w:tc>
          <w:tcPr>
            <w:tcW w:w="42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7"/>
          <w:szCs w:val="17"/>
          <w:color w:val="auto"/>
        </w:rPr>
        <w:t>Approximately $170,100,000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70" w:lineRule="exact"/>
        <w:rPr>
          <w:sz w:val="20"/>
          <w:szCs w:val="20"/>
          <w:color w:val="auto"/>
        </w:rPr>
      </w:pPr>
    </w:p>
    <w:p>
      <w:pPr>
        <w:sectPr>
          <w:pgSz w:w="11900" w:h="16838" w:orient="portrait"/>
          <w:cols w:equalWidth="0" w:num="2">
            <w:col w:w="7820" w:space="120"/>
            <w:col w:w="3260"/>
          </w:cols>
          <w:pgMar w:left="320" w:top="455" w:right="379" w:bottom="1440" w:gutter="0" w:footer="0" w:header="0"/>
          <w:type w:val="continuous"/>
        </w:sectPr>
      </w:pPr>
    </w:p>
    <w:p>
      <w:pPr>
        <w:spacing w:after="0"/>
        <w:tabs>
          <w:tab w:leader="none" w:pos="4180" w:val="left"/>
        </w:tabs>
        <w:rPr>
          <w:sz w:val="20"/>
          <w:szCs w:val="20"/>
          <w:color w:val="auto"/>
        </w:rPr>
      </w:pPr>
      <w:r>
        <w:rPr>
          <w:rFonts w:ascii="Arial" w:cs="Arial" w:eastAsia="Arial" w:hAnsi="Arial"/>
          <w:sz w:val="17"/>
          <w:szCs w:val="17"/>
          <w:b w:val="1"/>
          <w:bCs w:val="1"/>
          <w:color w:val="auto"/>
        </w:rPr>
        <w:t>Investment of net proceeds</w:t>
      </w:r>
      <w:r>
        <w:rPr>
          <w:sz w:val="20"/>
          <w:szCs w:val="20"/>
          <w:color w:val="auto"/>
        </w:rPr>
        <w:tab/>
      </w:r>
      <w:r>
        <w:rPr>
          <w:rFonts w:ascii="Arial" w:cs="Arial" w:eastAsia="Arial" w:hAnsi="Arial"/>
          <w:sz w:val="17"/>
          <w:szCs w:val="17"/>
          <w:color w:val="auto"/>
        </w:rPr>
        <w:t>$200,000,000 of the net proceeds of this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offering and the sale of the private placement</w:t>
      </w:r>
    </w:p>
    <w:p>
      <w:pPr>
        <w:ind w:left="4200"/>
        <w:spacing w:after="0" w:line="232" w:lineRule="auto"/>
        <w:rPr>
          <w:sz w:val="20"/>
          <w:szCs w:val="20"/>
          <w:color w:val="auto"/>
        </w:rPr>
      </w:pPr>
      <w:r>
        <w:rPr>
          <w:rFonts w:ascii="Arial" w:cs="Arial" w:eastAsia="Arial" w:hAnsi="Arial"/>
          <w:sz w:val="17"/>
          <w:szCs w:val="17"/>
          <w:color w:val="auto"/>
        </w:rPr>
        <w:t>warrants held in trust will be invested only in</w:t>
      </w:r>
    </w:p>
    <w:p>
      <w:pPr>
        <w:ind w:left="4200"/>
        <w:spacing w:after="0" w:line="232" w:lineRule="auto"/>
        <w:rPr>
          <w:sz w:val="20"/>
          <w:szCs w:val="20"/>
          <w:color w:val="auto"/>
        </w:rPr>
      </w:pPr>
      <w:r>
        <w:rPr>
          <w:rFonts w:ascii="Arial" w:cs="Arial" w:eastAsia="Arial" w:hAnsi="Arial"/>
          <w:sz w:val="17"/>
          <w:szCs w:val="17"/>
          <w:color w:val="auto"/>
        </w:rPr>
        <w:t>U.S. government treasury obligations with a</w:t>
      </w:r>
    </w:p>
    <w:p>
      <w:pPr>
        <w:ind w:left="4200"/>
        <w:spacing w:after="0" w:line="232" w:lineRule="auto"/>
        <w:rPr>
          <w:sz w:val="20"/>
          <w:szCs w:val="20"/>
          <w:color w:val="auto"/>
        </w:rPr>
      </w:pPr>
      <w:r>
        <w:rPr>
          <w:rFonts w:ascii="Arial" w:cs="Arial" w:eastAsia="Arial" w:hAnsi="Arial"/>
          <w:sz w:val="17"/>
          <w:szCs w:val="17"/>
          <w:color w:val="auto"/>
        </w:rPr>
        <w:t>maturity of 185 days or less or in money market</w:t>
      </w:r>
    </w:p>
    <w:p>
      <w:pPr>
        <w:ind w:left="4200"/>
        <w:spacing w:after="0" w:line="232" w:lineRule="auto"/>
        <w:rPr>
          <w:sz w:val="20"/>
          <w:szCs w:val="20"/>
          <w:color w:val="auto"/>
        </w:rPr>
      </w:pPr>
      <w:r>
        <w:rPr>
          <w:rFonts w:ascii="Arial" w:cs="Arial" w:eastAsia="Arial" w:hAnsi="Arial"/>
          <w:sz w:val="17"/>
          <w:szCs w:val="17"/>
          <w:color w:val="auto"/>
        </w:rPr>
        <w:t>funds meeting certain conditions under</w:t>
      </w:r>
    </w:p>
    <w:p>
      <w:pPr>
        <w:ind w:left="4200"/>
        <w:spacing w:after="0" w:line="232" w:lineRule="auto"/>
        <w:rPr>
          <w:sz w:val="20"/>
          <w:szCs w:val="20"/>
          <w:color w:val="auto"/>
        </w:rPr>
      </w:pPr>
      <w:r>
        <w:rPr>
          <w:rFonts w:ascii="Arial" w:cs="Arial" w:eastAsia="Arial" w:hAnsi="Arial"/>
          <w:sz w:val="17"/>
          <w:szCs w:val="17"/>
          <w:color w:val="auto"/>
        </w:rPr>
        <w:t>Rule 2a-7 under the Investment Company Act</w:t>
      </w:r>
    </w:p>
    <w:p>
      <w:pPr>
        <w:ind w:left="4200"/>
        <w:spacing w:after="0" w:line="232" w:lineRule="auto"/>
        <w:rPr>
          <w:sz w:val="20"/>
          <w:szCs w:val="20"/>
          <w:color w:val="auto"/>
        </w:rPr>
      </w:pPr>
      <w:r>
        <w:rPr>
          <w:rFonts w:ascii="Arial" w:cs="Arial" w:eastAsia="Arial" w:hAnsi="Arial"/>
          <w:sz w:val="17"/>
          <w:szCs w:val="17"/>
          <w:color w:val="auto"/>
        </w:rPr>
        <w:t>which invest only in direct U.S. government</w:t>
      </w:r>
    </w:p>
    <w:p>
      <w:pPr>
        <w:ind w:left="4200"/>
        <w:spacing w:after="0"/>
        <w:rPr>
          <w:sz w:val="20"/>
          <w:szCs w:val="20"/>
          <w:color w:val="auto"/>
        </w:rPr>
      </w:pPr>
      <w:r>
        <w:rPr>
          <w:rFonts w:ascii="Arial" w:cs="Arial" w:eastAsia="Arial" w:hAnsi="Arial"/>
          <w:sz w:val="17"/>
          <w:szCs w:val="17"/>
          <w:color w:val="auto"/>
        </w:rPr>
        <w:t>treasury obligations.</w:t>
      </w: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Receipt of interest on escrowed funds</w:t>
      </w:r>
      <w:r>
        <w:rPr>
          <w:sz w:val="20"/>
          <w:szCs w:val="20"/>
          <w:color w:val="auto"/>
        </w:rPr>
        <w:tab/>
      </w:r>
      <w:r>
        <w:rPr>
          <w:rFonts w:ascii="Arial" w:cs="Arial" w:eastAsia="Arial" w:hAnsi="Arial"/>
          <w:sz w:val="17"/>
          <w:szCs w:val="17"/>
          <w:color w:val="auto"/>
        </w:rPr>
        <w:t>Interest on proceeds from the trust account to</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be paid to shareholders is reduced by (i) any</w:t>
      </w:r>
    </w:p>
    <w:p>
      <w:pPr>
        <w:ind w:left="4200"/>
        <w:spacing w:after="0" w:line="232" w:lineRule="auto"/>
        <w:rPr>
          <w:sz w:val="20"/>
          <w:szCs w:val="20"/>
          <w:color w:val="auto"/>
        </w:rPr>
      </w:pPr>
      <w:r>
        <w:rPr>
          <w:rFonts w:ascii="Arial" w:cs="Arial" w:eastAsia="Arial" w:hAnsi="Arial"/>
          <w:sz w:val="17"/>
          <w:szCs w:val="17"/>
          <w:color w:val="auto"/>
        </w:rPr>
        <w:t>taxes paid or payable and (ii) in the event of our</w:t>
      </w:r>
    </w:p>
    <w:p>
      <w:pPr>
        <w:ind w:left="4200"/>
        <w:spacing w:after="0" w:line="232" w:lineRule="auto"/>
        <w:rPr>
          <w:sz w:val="20"/>
          <w:szCs w:val="20"/>
          <w:color w:val="auto"/>
        </w:rPr>
      </w:pPr>
      <w:r>
        <w:rPr>
          <w:rFonts w:ascii="Arial" w:cs="Arial" w:eastAsia="Arial" w:hAnsi="Arial"/>
          <w:sz w:val="17"/>
          <w:szCs w:val="17"/>
          <w:color w:val="auto"/>
        </w:rPr>
        <w:t>liquidation for failure to complete our initial</w:t>
      </w:r>
    </w:p>
    <w:p>
      <w:pPr>
        <w:ind w:left="4200"/>
        <w:spacing w:after="0" w:line="232" w:lineRule="auto"/>
        <w:rPr>
          <w:sz w:val="20"/>
          <w:szCs w:val="20"/>
          <w:color w:val="auto"/>
        </w:rPr>
      </w:pPr>
      <w:r>
        <w:rPr>
          <w:rFonts w:ascii="Arial" w:cs="Arial" w:eastAsia="Arial" w:hAnsi="Arial"/>
          <w:sz w:val="17"/>
          <w:szCs w:val="17"/>
          <w:color w:val="auto"/>
        </w:rPr>
        <w:t>business combination within the allotted time,</w:t>
      </w:r>
    </w:p>
    <w:p>
      <w:pPr>
        <w:ind w:left="4200"/>
        <w:spacing w:after="0" w:line="232" w:lineRule="auto"/>
        <w:rPr>
          <w:sz w:val="20"/>
          <w:szCs w:val="20"/>
          <w:color w:val="auto"/>
        </w:rPr>
      </w:pPr>
      <w:r>
        <w:rPr>
          <w:rFonts w:ascii="Arial" w:cs="Arial" w:eastAsia="Arial" w:hAnsi="Arial"/>
          <w:sz w:val="17"/>
          <w:szCs w:val="17"/>
          <w:color w:val="auto"/>
        </w:rPr>
        <w:t>up to $100,000 of net interest that may be</w:t>
      </w:r>
    </w:p>
    <w:p>
      <w:pPr>
        <w:ind w:left="4200"/>
        <w:spacing w:after="0" w:line="232" w:lineRule="auto"/>
        <w:rPr>
          <w:sz w:val="20"/>
          <w:szCs w:val="20"/>
          <w:color w:val="auto"/>
        </w:rPr>
      </w:pPr>
      <w:r>
        <w:rPr>
          <w:rFonts w:ascii="Arial" w:cs="Arial" w:eastAsia="Arial" w:hAnsi="Arial"/>
          <w:sz w:val="17"/>
          <w:szCs w:val="17"/>
          <w:color w:val="auto"/>
        </w:rPr>
        <w:t>released to us should we have no or insufficient</w:t>
      </w:r>
    </w:p>
    <w:p>
      <w:pPr>
        <w:ind w:left="4200"/>
        <w:spacing w:after="0" w:line="232" w:lineRule="auto"/>
        <w:rPr>
          <w:sz w:val="20"/>
          <w:szCs w:val="20"/>
          <w:color w:val="auto"/>
        </w:rPr>
      </w:pPr>
      <w:r>
        <w:rPr>
          <w:rFonts w:ascii="Arial" w:cs="Arial" w:eastAsia="Arial" w:hAnsi="Arial"/>
          <w:sz w:val="17"/>
          <w:szCs w:val="17"/>
          <w:color w:val="auto"/>
        </w:rPr>
        <w:t>working capital to fund the costs and expenses</w:t>
      </w:r>
    </w:p>
    <w:p>
      <w:pPr>
        <w:ind w:left="4200"/>
        <w:spacing w:after="0"/>
        <w:rPr>
          <w:sz w:val="20"/>
          <w:szCs w:val="20"/>
          <w:color w:val="auto"/>
        </w:rPr>
      </w:pPr>
      <w:r>
        <w:rPr>
          <w:rFonts w:ascii="Arial" w:cs="Arial" w:eastAsia="Arial" w:hAnsi="Arial"/>
          <w:sz w:val="17"/>
          <w:szCs w:val="17"/>
          <w:color w:val="auto"/>
        </w:rPr>
        <w:t>of our dissolution and liquidation.</w:t>
      </w:r>
    </w:p>
    <w:p>
      <w:pPr>
        <w:spacing w:after="0" w:line="1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4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7800" w:space="140"/>
            <w:col w:w="3260"/>
          </w:cols>
          <w:pgMar w:left="320" w:top="455" w:right="37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120"/>
        <w:spacing w:after="0" w:line="290"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7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w:t>
      </w:r>
    </w:p>
    <w:p>
      <w:pPr>
        <w:spacing w:after="0" w:line="8"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Form 8-K will be filed to provide updated financial information to reflect the exercise of the over-allotment option.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12 months from the closing of this offering.</w:t>
      </w:r>
    </w:p>
    <w:p>
      <w:pPr>
        <w:spacing w:after="0" w:line="30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240"/>
        <w:spacing w:after="0"/>
        <w:rPr>
          <w:sz w:val="20"/>
          <w:szCs w:val="20"/>
          <w:color w:val="auto"/>
        </w:rPr>
      </w:pPr>
      <w:r>
        <w:rPr>
          <w:rFonts w:ascii="Arial" w:cs="Arial" w:eastAsia="Arial" w:hAnsi="Arial"/>
          <w:sz w:val="17"/>
          <w:szCs w:val="17"/>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3">
            <w:col w:w="3480" w:space="720"/>
            <w:col w:w="3600" w:space="140"/>
            <w:col w:w="3280"/>
          </w:cols>
          <w:pgMar w:left="32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We will provide our public shareholders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 We may not be required by law to hold a shareholder vote. If we are not required by law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Additionally, each public</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4"/>
          <w:szCs w:val="14"/>
          <w:color w:val="auto"/>
        </w:rPr>
        <w:t>th</w:t>
      </w:r>
      <w:r>
        <w:rPr>
          <w:rFonts w:ascii="Arial" w:cs="Arial" w:eastAsia="Arial" w:hAnsi="Arial"/>
          <w:sz w:val="17"/>
          <w:szCs w:val="17"/>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3">
            <w:col w:w="3480" w:space="720"/>
            <w:col w:w="3620" w:space="120"/>
            <w:col w:w="3280"/>
          </w:cols>
          <w:pgMar w:left="32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8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shareholder may elect to redeem their public</w:t>
      </w:r>
    </w:p>
    <w:p>
      <w:pPr>
        <w:ind w:left="4200"/>
        <w:spacing w:after="0" w:line="232" w:lineRule="auto"/>
        <w:rPr>
          <w:sz w:val="20"/>
          <w:szCs w:val="20"/>
          <w:color w:val="auto"/>
        </w:rPr>
      </w:pPr>
      <w:r>
        <w:rPr>
          <w:rFonts w:ascii="Arial" w:cs="Arial" w:eastAsia="Arial" w:hAnsi="Arial"/>
          <w:sz w:val="17"/>
          <w:szCs w:val="17"/>
          <w:color w:val="auto"/>
        </w:rPr>
        <w:t>shares irrespective of whether they vote for or</w:t>
      </w:r>
    </w:p>
    <w:p>
      <w:pPr>
        <w:ind w:left="4200"/>
        <w:spacing w:after="0" w:line="232" w:lineRule="auto"/>
        <w:rPr>
          <w:sz w:val="20"/>
          <w:szCs w:val="20"/>
          <w:color w:val="auto"/>
        </w:rPr>
      </w:pPr>
      <w:r>
        <w:rPr>
          <w:rFonts w:ascii="Arial" w:cs="Arial" w:eastAsia="Arial" w:hAnsi="Arial"/>
          <w:sz w:val="17"/>
          <w:szCs w:val="17"/>
          <w:color w:val="auto"/>
        </w:rPr>
        <w:t>against the proposed transaction or whether</w:t>
      </w:r>
    </w:p>
    <w:p>
      <w:pPr>
        <w:ind w:left="4200"/>
        <w:spacing w:after="0" w:line="232" w:lineRule="auto"/>
        <w:rPr>
          <w:sz w:val="20"/>
          <w:szCs w:val="20"/>
          <w:color w:val="auto"/>
        </w:rPr>
      </w:pPr>
      <w:r>
        <w:rPr>
          <w:rFonts w:ascii="Arial" w:cs="Arial" w:eastAsia="Arial" w:hAnsi="Arial"/>
          <w:sz w:val="17"/>
          <w:szCs w:val="17"/>
          <w:color w:val="auto"/>
        </w:rPr>
        <w:t>they were a public shareholder on the record</w:t>
      </w:r>
    </w:p>
    <w:p>
      <w:pPr>
        <w:ind w:left="4200"/>
        <w:spacing w:after="0" w:line="232" w:lineRule="auto"/>
        <w:rPr>
          <w:sz w:val="20"/>
          <w:szCs w:val="20"/>
          <w:color w:val="auto"/>
        </w:rPr>
      </w:pPr>
      <w:r>
        <w:rPr>
          <w:rFonts w:ascii="Arial" w:cs="Arial" w:eastAsia="Arial" w:hAnsi="Arial"/>
          <w:sz w:val="17"/>
          <w:szCs w:val="17"/>
          <w:color w:val="auto"/>
        </w:rPr>
        <w:t>date for the general meeting held to approve</w:t>
      </w:r>
    </w:p>
    <w:p>
      <w:pPr>
        <w:ind w:left="4200"/>
        <w:spacing w:after="0"/>
        <w:rPr>
          <w:sz w:val="20"/>
          <w:szCs w:val="20"/>
          <w:color w:val="auto"/>
        </w:rPr>
      </w:pPr>
      <w:r>
        <w:rPr>
          <w:rFonts w:ascii="Arial" w:cs="Arial" w:eastAsia="Arial" w:hAnsi="Arial"/>
          <w:sz w:val="17"/>
          <w:szCs w:val="17"/>
          <w:color w:val="auto"/>
        </w:rPr>
        <w:t>the proposed transaction.</w:t>
      </w:r>
    </w:p>
    <w:p>
      <w:pPr>
        <w:sectPr>
          <w:pgSz w:w="11900" w:h="16838" w:orient="portrait"/>
          <w:cols w:equalWidth="0" w:num="1">
            <w:col w:w="11240"/>
          </w:cols>
          <w:pgMar w:left="320" w:top="455" w:right="339" w:bottom="1440" w:gutter="0" w:footer="0" w:header="0"/>
        </w:sectPr>
      </w:pPr>
    </w:p>
    <w:p>
      <w:pPr>
        <w:spacing w:after="0" w:line="78" w:lineRule="exact"/>
        <w:rPr>
          <w:sz w:val="20"/>
          <w:szCs w:val="20"/>
          <w:color w:val="auto"/>
        </w:rPr>
      </w:pPr>
    </w:p>
    <w:p>
      <w:pPr>
        <w:spacing w:after="0"/>
        <w:tabs>
          <w:tab w:leader="none" w:pos="4180" w:val="left"/>
        </w:tabs>
        <w:rPr>
          <w:sz w:val="20"/>
          <w:szCs w:val="20"/>
          <w:color w:val="auto"/>
        </w:rPr>
      </w:pPr>
      <w:r>
        <w:rPr>
          <w:rFonts w:ascii="Arial" w:cs="Arial" w:eastAsia="Arial" w:hAnsi="Arial"/>
          <w:sz w:val="17"/>
          <w:szCs w:val="17"/>
          <w:b w:val="1"/>
          <w:bCs w:val="1"/>
          <w:color w:val="auto"/>
        </w:rPr>
        <w:t>Business combination deadline</w:t>
      </w:r>
      <w:r>
        <w:rPr>
          <w:sz w:val="20"/>
          <w:szCs w:val="20"/>
          <w:color w:val="auto"/>
        </w:rPr>
        <w:tab/>
      </w:r>
      <w:r>
        <w:rPr>
          <w:rFonts w:ascii="Arial" w:cs="Arial" w:eastAsia="Arial" w:hAnsi="Arial"/>
          <w:sz w:val="17"/>
          <w:szCs w:val="17"/>
          <w:color w:val="auto"/>
        </w:rPr>
        <w:t>If we are unable to complete an initial business</w:t>
      </w:r>
    </w:p>
    <w:p>
      <w:pPr>
        <w:spacing w:after="0" w:line="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combination within 24 months from the closing</w:t>
      </w:r>
    </w:p>
    <w:p>
      <w:pPr>
        <w:ind w:left="4200"/>
        <w:spacing w:after="0" w:line="232" w:lineRule="auto"/>
        <w:rPr>
          <w:sz w:val="20"/>
          <w:szCs w:val="20"/>
          <w:color w:val="auto"/>
        </w:rPr>
      </w:pPr>
      <w:r>
        <w:rPr>
          <w:rFonts w:ascii="Arial" w:cs="Arial" w:eastAsia="Arial" w:hAnsi="Arial"/>
          <w:sz w:val="17"/>
          <w:szCs w:val="17"/>
          <w:color w:val="auto"/>
        </w:rPr>
        <w:t>of this offering, we will (i) cease all operations</w:t>
      </w:r>
    </w:p>
    <w:p>
      <w:pPr>
        <w:ind w:left="4200"/>
        <w:spacing w:after="0" w:line="232" w:lineRule="auto"/>
        <w:rPr>
          <w:sz w:val="20"/>
          <w:szCs w:val="20"/>
          <w:color w:val="auto"/>
        </w:rPr>
      </w:pPr>
      <w:r>
        <w:rPr>
          <w:rFonts w:ascii="Arial" w:cs="Arial" w:eastAsia="Arial" w:hAnsi="Arial"/>
          <w:sz w:val="17"/>
          <w:szCs w:val="17"/>
          <w:color w:val="auto"/>
        </w:rPr>
        <w:t>except for the purpose of winding up, (ii) as</w:t>
      </w:r>
    </w:p>
    <w:p>
      <w:pPr>
        <w:ind w:left="4200"/>
        <w:spacing w:after="0" w:line="232" w:lineRule="auto"/>
        <w:rPr>
          <w:sz w:val="20"/>
          <w:szCs w:val="20"/>
          <w:color w:val="auto"/>
        </w:rPr>
      </w:pPr>
      <w:r>
        <w:rPr>
          <w:rFonts w:ascii="Arial" w:cs="Arial" w:eastAsia="Arial" w:hAnsi="Arial"/>
          <w:sz w:val="17"/>
          <w:szCs w:val="17"/>
          <w:color w:val="auto"/>
        </w:rPr>
        <w:t>promptly as reasonably possible but not more</w:t>
      </w:r>
    </w:p>
    <w:p>
      <w:pPr>
        <w:ind w:left="4200"/>
        <w:spacing w:after="0" w:line="232" w:lineRule="auto"/>
        <w:rPr>
          <w:sz w:val="20"/>
          <w:szCs w:val="20"/>
          <w:color w:val="auto"/>
        </w:rPr>
      </w:pPr>
      <w:r>
        <w:rPr>
          <w:rFonts w:ascii="Arial" w:cs="Arial" w:eastAsia="Arial" w:hAnsi="Arial"/>
          <w:sz w:val="17"/>
          <w:szCs w:val="17"/>
          <w:color w:val="auto"/>
        </w:rPr>
        <w:t>than ten business days thereafter, redeem</w:t>
      </w:r>
    </w:p>
    <w:p>
      <w:pPr>
        <w:ind w:left="4200"/>
        <w:spacing w:after="0" w:line="232" w:lineRule="auto"/>
        <w:rPr>
          <w:sz w:val="20"/>
          <w:szCs w:val="20"/>
          <w:color w:val="auto"/>
        </w:rPr>
      </w:pPr>
      <w:r>
        <w:rPr>
          <w:rFonts w:ascii="Arial" w:cs="Arial" w:eastAsia="Arial" w:hAnsi="Arial"/>
          <w:sz w:val="17"/>
          <w:szCs w:val="17"/>
          <w:color w:val="auto"/>
        </w:rPr>
        <w:t>100% of the public shares, at a per-share price,</w:t>
      </w:r>
    </w:p>
    <w:p>
      <w:pPr>
        <w:ind w:left="4200"/>
        <w:spacing w:after="0" w:line="232" w:lineRule="auto"/>
        <w:rPr>
          <w:sz w:val="20"/>
          <w:szCs w:val="20"/>
          <w:color w:val="auto"/>
        </w:rPr>
      </w:pPr>
      <w:r>
        <w:rPr>
          <w:rFonts w:ascii="Arial" w:cs="Arial" w:eastAsia="Arial" w:hAnsi="Arial"/>
          <w:sz w:val="17"/>
          <w:szCs w:val="17"/>
          <w:color w:val="auto"/>
        </w:rPr>
        <w:t>payable in cash, equal to the aggregate amount</w:t>
      </w:r>
    </w:p>
    <w:p>
      <w:pPr>
        <w:ind w:left="4200"/>
        <w:spacing w:after="0" w:line="232" w:lineRule="auto"/>
        <w:rPr>
          <w:sz w:val="20"/>
          <w:szCs w:val="20"/>
          <w:color w:val="auto"/>
        </w:rPr>
      </w:pPr>
      <w:r>
        <w:rPr>
          <w:rFonts w:ascii="Arial" w:cs="Arial" w:eastAsia="Arial" w:hAnsi="Arial"/>
          <w:sz w:val="17"/>
          <w:szCs w:val="17"/>
          <w:color w:val="auto"/>
        </w:rPr>
        <w:t>then on deposit in the trust account, including</w:t>
      </w:r>
    </w:p>
    <w:p>
      <w:pPr>
        <w:ind w:left="4200"/>
        <w:spacing w:after="0" w:line="232" w:lineRule="auto"/>
        <w:rPr>
          <w:sz w:val="20"/>
          <w:szCs w:val="20"/>
          <w:color w:val="auto"/>
        </w:rPr>
      </w:pPr>
      <w:r>
        <w:rPr>
          <w:rFonts w:ascii="Arial" w:cs="Arial" w:eastAsia="Arial" w:hAnsi="Arial"/>
          <w:sz w:val="17"/>
          <w:szCs w:val="17"/>
          <w:color w:val="auto"/>
        </w:rPr>
        <w:t>interest earned on the funds held in the trust</w:t>
      </w:r>
    </w:p>
    <w:p>
      <w:pPr>
        <w:ind w:left="4200"/>
        <w:spacing w:after="0" w:line="232" w:lineRule="auto"/>
        <w:rPr>
          <w:sz w:val="20"/>
          <w:szCs w:val="20"/>
          <w:color w:val="auto"/>
        </w:rPr>
      </w:pPr>
      <w:r>
        <w:rPr>
          <w:rFonts w:ascii="Arial" w:cs="Arial" w:eastAsia="Arial" w:hAnsi="Arial"/>
          <w:sz w:val="17"/>
          <w:szCs w:val="17"/>
          <w:color w:val="auto"/>
        </w:rPr>
        <w:t>account and not previously released to us (less</w:t>
      </w:r>
    </w:p>
    <w:p>
      <w:pPr>
        <w:ind w:left="4200"/>
        <w:spacing w:after="0" w:line="232" w:lineRule="auto"/>
        <w:rPr>
          <w:sz w:val="20"/>
          <w:szCs w:val="20"/>
          <w:color w:val="auto"/>
        </w:rPr>
      </w:pPr>
      <w:r>
        <w:rPr>
          <w:rFonts w:ascii="Arial" w:cs="Arial" w:eastAsia="Arial" w:hAnsi="Arial"/>
          <w:sz w:val="17"/>
          <w:szCs w:val="17"/>
          <w:color w:val="auto"/>
        </w:rPr>
        <w:t>taxes payable and up to $100,000 of interest to</w:t>
      </w:r>
    </w:p>
    <w:p>
      <w:pPr>
        <w:ind w:left="4200"/>
        <w:spacing w:after="0" w:line="232" w:lineRule="auto"/>
        <w:rPr>
          <w:sz w:val="20"/>
          <w:szCs w:val="20"/>
          <w:color w:val="auto"/>
        </w:rPr>
      </w:pPr>
      <w:r>
        <w:rPr>
          <w:rFonts w:ascii="Arial" w:cs="Arial" w:eastAsia="Arial" w:hAnsi="Arial"/>
          <w:sz w:val="17"/>
          <w:szCs w:val="17"/>
          <w:color w:val="auto"/>
        </w:rPr>
        <w:t>pay dissolution expenses), divided by the</w:t>
      </w:r>
    </w:p>
    <w:p>
      <w:pPr>
        <w:ind w:left="4200"/>
        <w:spacing w:after="0" w:line="232" w:lineRule="auto"/>
        <w:rPr>
          <w:sz w:val="20"/>
          <w:szCs w:val="20"/>
          <w:color w:val="auto"/>
        </w:rPr>
      </w:pPr>
      <w:r>
        <w:rPr>
          <w:rFonts w:ascii="Arial" w:cs="Arial" w:eastAsia="Arial" w:hAnsi="Arial"/>
          <w:sz w:val="17"/>
          <w:szCs w:val="17"/>
          <w:color w:val="auto"/>
        </w:rPr>
        <w:t>number of then outstanding public shares,</w:t>
      </w:r>
    </w:p>
    <w:p>
      <w:pPr>
        <w:ind w:left="4200"/>
        <w:spacing w:after="0" w:line="232" w:lineRule="auto"/>
        <w:rPr>
          <w:sz w:val="20"/>
          <w:szCs w:val="20"/>
          <w:color w:val="auto"/>
        </w:rPr>
      </w:pPr>
      <w:r>
        <w:rPr>
          <w:rFonts w:ascii="Arial" w:cs="Arial" w:eastAsia="Arial" w:hAnsi="Arial"/>
          <w:sz w:val="17"/>
          <w:szCs w:val="17"/>
          <w:color w:val="auto"/>
        </w:rPr>
        <w:t>which redemption will completely extinguish</w:t>
      </w:r>
    </w:p>
    <w:p>
      <w:pPr>
        <w:ind w:left="4200"/>
        <w:spacing w:after="0" w:line="232" w:lineRule="auto"/>
        <w:rPr>
          <w:sz w:val="20"/>
          <w:szCs w:val="20"/>
          <w:color w:val="auto"/>
        </w:rPr>
      </w:pPr>
      <w:r>
        <w:rPr>
          <w:rFonts w:ascii="Arial" w:cs="Arial" w:eastAsia="Arial" w:hAnsi="Arial"/>
          <w:sz w:val="17"/>
          <w:szCs w:val="17"/>
          <w:color w:val="auto"/>
        </w:rPr>
        <w:t>public shareholders’ rights as shareholders</w:t>
      </w:r>
    </w:p>
    <w:p>
      <w:pPr>
        <w:ind w:left="4200"/>
        <w:spacing w:after="0" w:line="232" w:lineRule="auto"/>
        <w:rPr>
          <w:sz w:val="20"/>
          <w:szCs w:val="20"/>
          <w:color w:val="auto"/>
        </w:rPr>
      </w:pPr>
      <w:r>
        <w:rPr>
          <w:rFonts w:ascii="Arial" w:cs="Arial" w:eastAsia="Arial" w:hAnsi="Arial"/>
          <w:sz w:val="17"/>
          <w:szCs w:val="17"/>
          <w:color w:val="auto"/>
        </w:rPr>
        <w:t>(including the right to receive further liquidation</w:t>
      </w:r>
    </w:p>
    <w:p>
      <w:pPr>
        <w:ind w:left="4200"/>
        <w:spacing w:after="0" w:line="232" w:lineRule="auto"/>
        <w:rPr>
          <w:sz w:val="20"/>
          <w:szCs w:val="20"/>
          <w:color w:val="auto"/>
        </w:rPr>
      </w:pPr>
      <w:r>
        <w:rPr>
          <w:rFonts w:ascii="Arial" w:cs="Arial" w:eastAsia="Arial" w:hAnsi="Arial"/>
          <w:sz w:val="17"/>
          <w:szCs w:val="17"/>
          <w:color w:val="auto"/>
        </w:rPr>
        <w:t>distributions, if any) and (iii) as promptly as</w:t>
      </w:r>
    </w:p>
    <w:p>
      <w:pPr>
        <w:ind w:left="4200"/>
        <w:spacing w:after="0" w:line="232" w:lineRule="auto"/>
        <w:rPr>
          <w:sz w:val="20"/>
          <w:szCs w:val="20"/>
          <w:color w:val="auto"/>
        </w:rPr>
      </w:pPr>
      <w:r>
        <w:rPr>
          <w:rFonts w:ascii="Arial" w:cs="Arial" w:eastAsia="Arial" w:hAnsi="Arial"/>
          <w:sz w:val="17"/>
          <w:szCs w:val="17"/>
          <w:color w:val="auto"/>
        </w:rPr>
        <w:t>reasonably possible following such redemption,</w:t>
      </w:r>
    </w:p>
    <w:p>
      <w:pPr>
        <w:ind w:left="4200"/>
        <w:spacing w:after="0" w:line="232" w:lineRule="auto"/>
        <w:rPr>
          <w:sz w:val="20"/>
          <w:szCs w:val="20"/>
          <w:color w:val="auto"/>
        </w:rPr>
      </w:pPr>
      <w:r>
        <w:rPr>
          <w:rFonts w:ascii="Arial" w:cs="Arial" w:eastAsia="Arial" w:hAnsi="Arial"/>
          <w:sz w:val="17"/>
          <w:szCs w:val="17"/>
          <w:color w:val="auto"/>
        </w:rPr>
        <w:t>subject to the approval of our remaining</w:t>
      </w:r>
    </w:p>
    <w:p>
      <w:pPr>
        <w:ind w:left="4200"/>
        <w:spacing w:after="0" w:line="232" w:lineRule="auto"/>
        <w:rPr>
          <w:sz w:val="20"/>
          <w:szCs w:val="20"/>
          <w:color w:val="auto"/>
        </w:rPr>
      </w:pPr>
      <w:r>
        <w:rPr>
          <w:rFonts w:ascii="Arial" w:cs="Arial" w:eastAsia="Arial" w:hAnsi="Arial"/>
          <w:sz w:val="17"/>
          <w:szCs w:val="17"/>
          <w:color w:val="auto"/>
        </w:rPr>
        <w:t>shareholders and our board of directors,</w:t>
      </w:r>
    </w:p>
    <w:p>
      <w:pPr>
        <w:ind w:left="4200"/>
        <w:spacing w:after="0" w:line="233" w:lineRule="auto"/>
        <w:rPr>
          <w:sz w:val="20"/>
          <w:szCs w:val="20"/>
          <w:color w:val="auto"/>
        </w:rPr>
      </w:pPr>
      <w:r>
        <w:rPr>
          <w:rFonts w:ascii="Arial" w:cs="Arial" w:eastAsia="Arial" w:hAnsi="Arial"/>
          <w:sz w:val="17"/>
          <w:szCs w:val="17"/>
          <w:color w:val="auto"/>
        </w:rPr>
        <w:t>liquidate and dissolve, subject in the case of</w:t>
      </w:r>
    </w:p>
    <w:p>
      <w:pPr>
        <w:ind w:left="4200"/>
        <w:spacing w:after="0" w:line="232" w:lineRule="auto"/>
        <w:rPr>
          <w:sz w:val="20"/>
          <w:szCs w:val="20"/>
          <w:color w:val="auto"/>
        </w:rPr>
      </w:pPr>
      <w:r>
        <w:rPr>
          <w:rFonts w:ascii="Arial" w:cs="Arial" w:eastAsia="Arial" w:hAnsi="Arial"/>
          <w:sz w:val="17"/>
          <w:szCs w:val="17"/>
          <w:color w:val="auto"/>
        </w:rPr>
        <w:t>clauses (ii) and (iii) to our obligations under</w:t>
      </w:r>
    </w:p>
    <w:p>
      <w:pPr>
        <w:ind w:left="4200"/>
        <w:spacing w:after="0" w:line="232" w:lineRule="auto"/>
        <w:rPr>
          <w:sz w:val="20"/>
          <w:szCs w:val="20"/>
          <w:color w:val="auto"/>
        </w:rPr>
      </w:pPr>
      <w:r>
        <w:rPr>
          <w:rFonts w:ascii="Arial" w:cs="Arial" w:eastAsia="Arial" w:hAnsi="Arial"/>
          <w:sz w:val="17"/>
          <w:szCs w:val="17"/>
          <w:color w:val="auto"/>
        </w:rPr>
        <w:t>Cayman Islands law to provide for claims of</w:t>
      </w:r>
    </w:p>
    <w:p>
      <w:pPr>
        <w:ind w:left="4200"/>
        <w:spacing w:after="0" w:line="232" w:lineRule="auto"/>
        <w:rPr>
          <w:sz w:val="20"/>
          <w:szCs w:val="20"/>
          <w:color w:val="auto"/>
        </w:rPr>
      </w:pPr>
      <w:r>
        <w:rPr>
          <w:rFonts w:ascii="Arial" w:cs="Arial" w:eastAsia="Arial" w:hAnsi="Arial"/>
          <w:sz w:val="17"/>
          <w:szCs w:val="17"/>
          <w:color w:val="auto"/>
        </w:rPr>
        <w:t>creditors and in all cases subject to the other</w:t>
      </w:r>
    </w:p>
    <w:p>
      <w:pPr>
        <w:ind w:left="4200"/>
        <w:spacing w:after="0"/>
        <w:rPr>
          <w:sz w:val="20"/>
          <w:szCs w:val="20"/>
          <w:color w:val="auto"/>
        </w:rPr>
      </w:pPr>
      <w:r>
        <w:rPr>
          <w:rFonts w:ascii="Arial" w:cs="Arial" w:eastAsia="Arial" w:hAnsi="Arial"/>
          <w:sz w:val="17"/>
          <w:szCs w:val="17"/>
          <w:color w:val="auto"/>
        </w:rPr>
        <w:t>requirements of applicable law.</w:t>
      </w:r>
    </w:p>
    <w:p>
      <w:pPr>
        <w:spacing w:after="0" w:line="1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800" w:space="140"/>
            <w:col w:w="3300"/>
          </w:cols>
          <w:pgMar w:left="320" w:top="455" w:right="3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Delivering share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-734695</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19050</wp:posOffset>
            </wp:positionV>
            <wp:extent cx="23056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Except for the withdrawal of interest to pay our taxes, if any,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intend to require our public shareholders seeking to exercise their redemption rights, whether they are record holders or hold their shares in “street name,” to, at the holder’s option, either deliver their share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scheduled vote on the proposal to approve the initial business combination. In addition, if we conduct redemptions in connection</w:t>
      </w:r>
    </w:p>
    <w:p>
      <w:pPr>
        <w:spacing w:after="0" w:line="1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100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right="60"/>
        <w:spacing w:after="0" w:line="236"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Many blank check companies provide that a shareholder can vote against a proposed business combination and check a box on the proxy card indicating that such shareholder is seeking to exercise its redemption rights.</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After the business combination is approved, the company would contact such shareholder to arrange for delivery of its share certificates to verify ownership.</w:t>
      </w:r>
    </w:p>
    <w:p>
      <w:pPr>
        <w:sectPr>
          <w:pgSz w:w="11900" w:h="16838" w:orient="portrait"/>
          <w:cols w:equalWidth="0" w:num="3">
            <w:col w:w="3840" w:space="360"/>
            <w:col w:w="3620" w:space="120"/>
            <w:col w:w="3280"/>
          </w:cols>
          <w:pgMar w:left="320" w:top="455" w:right="3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TERMS UNDER A RULE 419</w:t>
      </w:r>
    </w:p>
    <w:p>
      <w:pPr>
        <w:spacing w:after="0" w:line="21" w:lineRule="exact"/>
        <w:rPr>
          <w:sz w:val="20"/>
          <w:szCs w:val="20"/>
          <w:color w:val="auto"/>
        </w:rPr>
      </w:pPr>
    </w:p>
    <w:p>
      <w:pPr>
        <w:jc w:val="right"/>
        <w:ind w:right="1220"/>
        <w:spacing w:after="0"/>
        <w:tabs>
          <w:tab w:leader="none" w:pos="130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6350</wp:posOffset>
            </wp:positionV>
            <wp:extent cx="44748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with a shareholder vote, we intend to require a</w:t>
      </w:r>
    </w:p>
    <w:p>
      <w:pPr>
        <w:ind w:left="4200"/>
        <w:spacing w:after="0" w:line="232" w:lineRule="auto"/>
        <w:rPr>
          <w:sz w:val="20"/>
          <w:szCs w:val="20"/>
          <w:color w:val="auto"/>
        </w:rPr>
      </w:pPr>
      <w:r>
        <w:rPr>
          <w:rFonts w:ascii="Arial" w:cs="Arial" w:eastAsia="Arial" w:hAnsi="Arial"/>
          <w:sz w:val="17"/>
          <w:szCs w:val="17"/>
          <w:color w:val="auto"/>
        </w:rPr>
        <w:t>public shareholder seeking redemption of its</w:t>
      </w:r>
    </w:p>
    <w:p>
      <w:pPr>
        <w:ind w:left="4200"/>
        <w:spacing w:after="0" w:line="232" w:lineRule="auto"/>
        <w:rPr>
          <w:sz w:val="20"/>
          <w:szCs w:val="20"/>
          <w:color w:val="auto"/>
        </w:rPr>
      </w:pPr>
      <w:r>
        <w:rPr>
          <w:rFonts w:ascii="Arial" w:cs="Arial" w:eastAsia="Arial" w:hAnsi="Arial"/>
          <w:sz w:val="17"/>
          <w:szCs w:val="17"/>
          <w:color w:val="auto"/>
        </w:rPr>
        <w:t>public shares to also submit a written request</w:t>
      </w:r>
    </w:p>
    <w:p>
      <w:pPr>
        <w:ind w:left="4200"/>
        <w:spacing w:after="0" w:line="232" w:lineRule="auto"/>
        <w:rPr>
          <w:sz w:val="20"/>
          <w:szCs w:val="20"/>
          <w:color w:val="auto"/>
        </w:rPr>
      </w:pPr>
      <w:r>
        <w:rPr>
          <w:rFonts w:ascii="Arial" w:cs="Arial" w:eastAsia="Arial" w:hAnsi="Arial"/>
          <w:sz w:val="17"/>
          <w:szCs w:val="17"/>
          <w:color w:val="auto"/>
        </w:rPr>
        <w:t>for redemption to our transfer agent two</w:t>
      </w:r>
    </w:p>
    <w:p>
      <w:pPr>
        <w:ind w:left="4200"/>
        <w:spacing w:after="0" w:line="232" w:lineRule="auto"/>
        <w:rPr>
          <w:sz w:val="20"/>
          <w:szCs w:val="20"/>
          <w:color w:val="auto"/>
        </w:rPr>
      </w:pPr>
      <w:r>
        <w:rPr>
          <w:rFonts w:ascii="Arial" w:cs="Arial" w:eastAsia="Arial" w:hAnsi="Arial"/>
          <w:sz w:val="17"/>
          <w:szCs w:val="17"/>
          <w:color w:val="auto"/>
        </w:rPr>
        <w:t>business days prior to the scheduled vote in</w:t>
      </w:r>
    </w:p>
    <w:p>
      <w:pPr>
        <w:ind w:left="4200"/>
        <w:spacing w:after="0" w:line="232" w:lineRule="auto"/>
        <w:rPr>
          <w:sz w:val="20"/>
          <w:szCs w:val="20"/>
          <w:color w:val="auto"/>
        </w:rPr>
      </w:pPr>
      <w:r>
        <w:rPr>
          <w:rFonts w:ascii="Arial" w:cs="Arial" w:eastAsia="Arial" w:hAnsi="Arial"/>
          <w:sz w:val="17"/>
          <w:szCs w:val="17"/>
          <w:color w:val="auto"/>
        </w:rPr>
        <w:t>which the name of the beneficial owner of such</w:t>
      </w:r>
    </w:p>
    <w:p>
      <w:pPr>
        <w:ind w:left="4200"/>
        <w:spacing w:after="0" w:line="232" w:lineRule="auto"/>
        <w:rPr>
          <w:sz w:val="20"/>
          <w:szCs w:val="20"/>
          <w:color w:val="auto"/>
        </w:rPr>
      </w:pPr>
      <w:r>
        <w:rPr>
          <w:rFonts w:ascii="Arial" w:cs="Arial" w:eastAsia="Arial" w:hAnsi="Arial"/>
          <w:sz w:val="17"/>
          <w:szCs w:val="17"/>
          <w:color w:val="auto"/>
        </w:rPr>
        <w:t>shares is included. The proxy materials or</w:t>
      </w:r>
    </w:p>
    <w:p>
      <w:pPr>
        <w:ind w:left="4200"/>
        <w:spacing w:after="0" w:line="232" w:lineRule="auto"/>
        <w:rPr>
          <w:sz w:val="20"/>
          <w:szCs w:val="20"/>
          <w:color w:val="auto"/>
        </w:rPr>
      </w:pPr>
      <w:r>
        <w:rPr>
          <w:rFonts w:ascii="Arial" w:cs="Arial" w:eastAsia="Arial" w:hAnsi="Arial"/>
          <w:sz w:val="17"/>
          <w:szCs w:val="17"/>
          <w:color w:val="auto"/>
        </w:rPr>
        <w:t>tender offer documents, as applicable, that we</w:t>
      </w:r>
    </w:p>
    <w:p>
      <w:pPr>
        <w:ind w:left="4200"/>
        <w:spacing w:after="0" w:line="232" w:lineRule="auto"/>
        <w:rPr>
          <w:sz w:val="20"/>
          <w:szCs w:val="20"/>
          <w:color w:val="auto"/>
        </w:rPr>
      </w:pPr>
      <w:r>
        <w:rPr>
          <w:rFonts w:ascii="Arial" w:cs="Arial" w:eastAsia="Arial" w:hAnsi="Arial"/>
          <w:sz w:val="17"/>
          <w:szCs w:val="17"/>
          <w:color w:val="auto"/>
        </w:rPr>
        <w:t>will furnish to holders of our public shares in</w:t>
      </w:r>
    </w:p>
    <w:p>
      <w:pPr>
        <w:ind w:left="4200"/>
        <w:spacing w:after="0" w:line="232" w:lineRule="auto"/>
        <w:rPr>
          <w:sz w:val="20"/>
          <w:szCs w:val="20"/>
          <w:color w:val="auto"/>
        </w:rPr>
      </w:pPr>
      <w:r>
        <w:rPr>
          <w:rFonts w:ascii="Arial" w:cs="Arial" w:eastAsia="Arial" w:hAnsi="Arial"/>
          <w:sz w:val="17"/>
          <w:szCs w:val="17"/>
          <w:color w:val="auto"/>
        </w:rPr>
        <w:t>connection with our initial business combination</w:t>
      </w:r>
    </w:p>
    <w:p>
      <w:pPr>
        <w:ind w:left="4200"/>
        <w:spacing w:after="0" w:line="232" w:lineRule="auto"/>
        <w:rPr>
          <w:sz w:val="20"/>
          <w:szCs w:val="20"/>
          <w:color w:val="auto"/>
        </w:rPr>
      </w:pPr>
      <w:r>
        <w:rPr>
          <w:rFonts w:ascii="Arial" w:cs="Arial" w:eastAsia="Arial" w:hAnsi="Arial"/>
          <w:sz w:val="17"/>
          <w:szCs w:val="17"/>
          <w:color w:val="auto"/>
        </w:rPr>
        <w:t>will indicate whether we are requiring public</w:t>
      </w:r>
    </w:p>
    <w:p>
      <w:pPr>
        <w:ind w:left="4200"/>
        <w:spacing w:after="0" w:line="232" w:lineRule="auto"/>
        <w:rPr>
          <w:sz w:val="20"/>
          <w:szCs w:val="20"/>
          <w:color w:val="auto"/>
        </w:rPr>
      </w:pPr>
      <w:r>
        <w:rPr>
          <w:rFonts w:ascii="Arial" w:cs="Arial" w:eastAsia="Arial" w:hAnsi="Arial"/>
          <w:sz w:val="17"/>
          <w:szCs w:val="17"/>
          <w:color w:val="auto"/>
        </w:rPr>
        <w:t>shareholders to satisfy such delivery</w:t>
      </w:r>
    </w:p>
    <w:p>
      <w:pPr>
        <w:ind w:left="4200"/>
        <w:spacing w:after="0" w:line="232" w:lineRule="auto"/>
        <w:rPr>
          <w:sz w:val="20"/>
          <w:szCs w:val="20"/>
          <w:color w:val="auto"/>
        </w:rPr>
      </w:pPr>
      <w:r>
        <w:rPr>
          <w:rFonts w:ascii="Arial" w:cs="Arial" w:eastAsia="Arial" w:hAnsi="Arial"/>
          <w:sz w:val="17"/>
          <w:szCs w:val="17"/>
          <w:color w:val="auto"/>
        </w:rPr>
        <w:t>requirements. Accordingly, a public shareholder</w:t>
      </w:r>
    </w:p>
    <w:p>
      <w:pPr>
        <w:ind w:left="4200"/>
        <w:spacing w:after="0" w:line="232" w:lineRule="auto"/>
        <w:rPr>
          <w:sz w:val="20"/>
          <w:szCs w:val="20"/>
          <w:color w:val="auto"/>
        </w:rPr>
      </w:pPr>
      <w:r>
        <w:rPr>
          <w:rFonts w:ascii="Arial" w:cs="Arial" w:eastAsia="Arial" w:hAnsi="Arial"/>
          <w:sz w:val="17"/>
          <w:szCs w:val="17"/>
          <w:color w:val="auto"/>
        </w:rPr>
        <w:t>would have up to two business days prior to the</w:t>
      </w:r>
    </w:p>
    <w:p>
      <w:pPr>
        <w:ind w:left="4200"/>
        <w:spacing w:after="0" w:line="232" w:lineRule="auto"/>
        <w:rPr>
          <w:sz w:val="20"/>
          <w:szCs w:val="20"/>
          <w:color w:val="auto"/>
        </w:rPr>
      </w:pPr>
      <w:r>
        <w:rPr>
          <w:rFonts w:ascii="Arial" w:cs="Arial" w:eastAsia="Arial" w:hAnsi="Arial"/>
          <w:sz w:val="17"/>
          <w:szCs w:val="17"/>
          <w:color w:val="auto"/>
        </w:rPr>
        <w:t>scheduled vote on the initial business</w:t>
      </w:r>
    </w:p>
    <w:p>
      <w:pPr>
        <w:ind w:left="4200"/>
        <w:spacing w:after="0" w:line="232" w:lineRule="auto"/>
        <w:rPr>
          <w:sz w:val="20"/>
          <w:szCs w:val="20"/>
          <w:color w:val="auto"/>
        </w:rPr>
      </w:pPr>
      <w:r>
        <w:rPr>
          <w:rFonts w:ascii="Arial" w:cs="Arial" w:eastAsia="Arial" w:hAnsi="Arial"/>
          <w:sz w:val="17"/>
          <w:szCs w:val="17"/>
          <w:color w:val="auto"/>
        </w:rPr>
        <w:t>combination if we distribute proxy materials, or</w:t>
      </w:r>
    </w:p>
    <w:p>
      <w:pPr>
        <w:ind w:left="4200"/>
        <w:spacing w:after="0" w:line="232" w:lineRule="auto"/>
        <w:rPr>
          <w:sz w:val="20"/>
          <w:szCs w:val="20"/>
          <w:color w:val="auto"/>
        </w:rPr>
      </w:pPr>
      <w:r>
        <w:rPr>
          <w:rFonts w:ascii="Arial" w:cs="Arial" w:eastAsia="Arial" w:hAnsi="Arial"/>
          <w:sz w:val="17"/>
          <w:szCs w:val="17"/>
          <w:color w:val="auto"/>
        </w:rPr>
        <w:t>from the time we send out our tender offer</w:t>
      </w:r>
    </w:p>
    <w:p>
      <w:pPr>
        <w:ind w:left="4200"/>
        <w:spacing w:after="0" w:line="232" w:lineRule="auto"/>
        <w:rPr>
          <w:sz w:val="20"/>
          <w:szCs w:val="20"/>
          <w:color w:val="auto"/>
        </w:rPr>
      </w:pPr>
      <w:r>
        <w:rPr>
          <w:rFonts w:ascii="Arial" w:cs="Arial" w:eastAsia="Arial" w:hAnsi="Arial"/>
          <w:sz w:val="17"/>
          <w:szCs w:val="17"/>
          <w:color w:val="auto"/>
        </w:rPr>
        <w:t>materials until the close of the tender offer</w:t>
      </w:r>
    </w:p>
    <w:p>
      <w:pPr>
        <w:ind w:left="4200"/>
        <w:spacing w:after="0" w:line="232" w:lineRule="auto"/>
        <w:rPr>
          <w:sz w:val="20"/>
          <w:szCs w:val="20"/>
          <w:color w:val="auto"/>
        </w:rPr>
      </w:pPr>
      <w:r>
        <w:rPr>
          <w:rFonts w:ascii="Arial" w:cs="Arial" w:eastAsia="Arial" w:hAnsi="Arial"/>
          <w:sz w:val="17"/>
          <w:szCs w:val="17"/>
          <w:color w:val="auto"/>
        </w:rPr>
        <w:t>period, as applicable, to submit or tender its</w:t>
      </w:r>
    </w:p>
    <w:p>
      <w:pPr>
        <w:ind w:left="4200"/>
        <w:spacing w:after="0" w:line="232" w:lineRule="auto"/>
        <w:rPr>
          <w:sz w:val="20"/>
          <w:szCs w:val="20"/>
          <w:color w:val="auto"/>
        </w:rPr>
      </w:pPr>
      <w:r>
        <w:rPr>
          <w:rFonts w:ascii="Arial" w:cs="Arial" w:eastAsia="Arial" w:hAnsi="Arial"/>
          <w:sz w:val="17"/>
          <w:szCs w:val="17"/>
          <w:color w:val="auto"/>
        </w:rPr>
        <w:t>shares if it wishes to seek to exercise its</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redemption rights.</w:t>
      </w:r>
    </w:p>
    <w:p>
      <w:pPr>
        <w:sectPr>
          <w:pgSz w:w="11900" w:h="16838" w:orient="portrait"/>
          <w:cols w:equalWidth="0" w:num="1">
            <w:col w:w="11180"/>
          </w:cols>
          <w:pgMar w:left="320" w:top="455" w:right="399" w:bottom="1440" w:gutter="0" w:footer="0" w:header="0"/>
        </w:sectPr>
      </w:pP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as a “group” (as defined under Section 13 of the Exchange Act), will be restricted from seeking redemption rights with respect to Excess Shares without our prior consent. However, we would not restrict our shareholders’ ability to vote all of their shares (including Excess Shares) for or against our initial business combination.</w:t>
      </w:r>
    </w:p>
    <w:p>
      <w:pPr>
        <w:spacing w:after="0" w:line="11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Many blank check companies provide no restrictions on the ability of shareholders to redeem shares based on the number of shares held by such shareholders in connection with an initial business combination.</w:t>
      </w:r>
    </w:p>
    <w:p>
      <w:pPr>
        <w:sectPr>
          <w:pgSz w:w="11900" w:h="16838" w:orient="portrait"/>
          <w:cols w:equalWidth="0" w:num="3">
            <w:col w:w="3940" w:space="260"/>
            <w:col w:w="3580" w:space="160"/>
            <w:col w:w="3240"/>
          </w:cols>
          <w:pgMar w:left="320" w:top="455" w:right="39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similar or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issued and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and the members of our management team as our executive offices. We consider our current office space adequate for our current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6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currently have three officers John Martin, Gordon Watson and Olibia Stamatoglou.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materials or tender offer documents sent to shareholders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2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2"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14"/>
          <w:szCs w:val="14"/>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 in their capacities as such.</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20"/>
          </w:cols>
          <w:pgMar w:left="320" w:top="455" w:right="3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officers, directors and director nominees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40" w:type="dxa"/>
            <w:vAlign w:val="bottom"/>
            <w:gridSpan w:val="2"/>
          </w:tcPr>
          <w:p>
            <w:pPr>
              <w:ind w:left="70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8860" w:type="dxa"/>
            <w:vAlign w:val="bottom"/>
          </w:tcPr>
          <w:p>
            <w:pPr>
              <w:ind w:left="4080"/>
              <w:spacing w:after="0"/>
              <w:rPr>
                <w:sz w:val="20"/>
                <w:szCs w:val="20"/>
                <w:color w:val="auto"/>
              </w:rPr>
            </w:pPr>
            <w:r>
              <w:rPr>
                <w:rFonts w:ascii="Arial" w:cs="Arial" w:eastAsia="Arial" w:hAnsi="Arial"/>
                <w:sz w:val="14"/>
                <w:szCs w:val="14"/>
                <w:b w:val="1"/>
                <w:bCs w:val="1"/>
                <w:color w:val="auto"/>
              </w:rPr>
              <w:t>POSITION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7"/>
                <w:szCs w:val="17"/>
                <w:color w:val="auto"/>
              </w:rPr>
              <w:t>60</w:t>
            </w:r>
          </w:p>
        </w:tc>
        <w:tc>
          <w:tcPr>
            <w:tcW w:w="120" w:type="dxa"/>
            <w:vAlign w:val="bottom"/>
          </w:tcPr>
          <w:p>
            <w:pPr>
              <w:spacing w:after="0"/>
              <w:rPr>
                <w:sz w:val="13"/>
                <w:szCs w:val="13"/>
                <w:color w:val="auto"/>
              </w:rPr>
            </w:pPr>
          </w:p>
        </w:tc>
        <w:tc>
          <w:tcPr>
            <w:tcW w:w="88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Chairman and Chief Executive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Gordon Watson</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President and Chief Operating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Olibia Stamatoglou</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Adrienne Harris</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39</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Director Nominee</w:t>
            </w:r>
          </w:p>
        </w:tc>
      </w:tr>
      <w:tr>
        <w:trPr>
          <w:trHeight w:val="189"/>
        </w:trPr>
        <w:tc>
          <w:tcPr>
            <w:tcW w:w="1940" w:type="dxa"/>
            <w:vAlign w:val="bottom"/>
            <w:gridSpan w:val="2"/>
          </w:tcPr>
          <w:p>
            <w:pPr>
              <w:spacing w:after="0" w:line="189" w:lineRule="exact"/>
              <w:rPr>
                <w:sz w:val="20"/>
                <w:szCs w:val="20"/>
                <w:color w:val="auto"/>
              </w:rPr>
            </w:pPr>
            <w:r>
              <w:rPr>
                <w:rFonts w:ascii="Arial" w:cs="Arial" w:eastAsia="Arial" w:hAnsi="Arial"/>
                <w:sz w:val="17"/>
                <w:szCs w:val="17"/>
                <w:color w:val="auto"/>
              </w:rPr>
              <w:t>Kai Schmitz</w:t>
            </w:r>
          </w:p>
        </w:tc>
        <w:tc>
          <w:tcPr>
            <w:tcW w:w="320" w:type="dxa"/>
            <w:vAlign w:val="bottom"/>
          </w:tcPr>
          <w:p>
            <w:pPr>
              <w:jc w:val="center"/>
              <w:spacing w:after="0" w:line="189" w:lineRule="exact"/>
              <w:rPr>
                <w:sz w:val="20"/>
                <w:szCs w:val="20"/>
                <w:color w:val="auto"/>
              </w:rPr>
            </w:pPr>
            <w:r>
              <w:rPr>
                <w:rFonts w:ascii="Arial" w:cs="Arial" w:eastAsia="Arial" w:hAnsi="Arial"/>
                <w:sz w:val="17"/>
                <w:szCs w:val="17"/>
                <w:color w:val="auto"/>
              </w:rPr>
              <w:t>51</w:t>
            </w:r>
          </w:p>
        </w:tc>
        <w:tc>
          <w:tcPr>
            <w:tcW w:w="898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Director Nominee</w:t>
            </w:r>
          </w:p>
        </w:tc>
      </w:tr>
      <w:tr>
        <w:trPr>
          <w:trHeight w:val="231"/>
        </w:trPr>
        <w:tc>
          <w:tcPr>
            <w:tcW w:w="1940" w:type="dxa"/>
            <w:vAlign w:val="bottom"/>
            <w:gridSpan w:val="2"/>
          </w:tcPr>
          <w:p>
            <w:pPr>
              <w:spacing w:after="0"/>
              <w:rPr>
                <w:sz w:val="20"/>
                <w:szCs w:val="20"/>
                <w:color w:val="auto"/>
              </w:rPr>
            </w:pPr>
            <w:r>
              <w:rPr>
                <w:rFonts w:ascii="Arial" w:cs="Arial" w:eastAsia="Arial" w:hAnsi="Arial"/>
                <w:sz w:val="17"/>
                <w:szCs w:val="17"/>
                <w:color w:val="auto"/>
              </w:rPr>
              <w:t>Kurt Summers</w:t>
            </w:r>
          </w:p>
        </w:tc>
        <w:tc>
          <w:tcPr>
            <w:tcW w:w="320" w:type="dxa"/>
            <w:vAlign w:val="bottom"/>
          </w:tcPr>
          <w:p>
            <w:pPr>
              <w:jc w:val="center"/>
              <w:spacing w:after="0"/>
              <w:rPr>
                <w:sz w:val="20"/>
                <w:szCs w:val="20"/>
                <w:color w:val="auto"/>
              </w:rPr>
            </w:pPr>
            <w:r>
              <w:rPr>
                <w:rFonts w:ascii="Arial" w:cs="Arial" w:eastAsia="Arial" w:hAnsi="Arial"/>
                <w:sz w:val="17"/>
                <w:szCs w:val="17"/>
                <w:color w:val="auto"/>
              </w:rPr>
              <w:t>41</w:t>
            </w:r>
          </w:p>
        </w:tc>
        <w:tc>
          <w:tcPr>
            <w:tcW w:w="8980" w:type="dxa"/>
            <w:vAlign w:val="bottom"/>
            <w:gridSpan w:val="2"/>
          </w:tcPr>
          <w:p>
            <w:pPr>
              <w:ind w:left="120"/>
              <w:spacing w:after="0"/>
              <w:rPr>
                <w:sz w:val="20"/>
                <w:szCs w:val="20"/>
                <w:color w:val="auto"/>
              </w:rPr>
            </w:pPr>
            <w:r>
              <w:rPr>
                <w:rFonts w:ascii="Arial" w:cs="Arial" w:eastAsia="Arial" w:hAnsi="Arial"/>
                <w:sz w:val="17"/>
                <w:szCs w:val="17"/>
                <w:color w:val="auto"/>
              </w:rPr>
              <w:t>Director Nominee</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6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consisting of Kai Schmitz, will expire at our first annual general meeting. The term of office of the second class of directors, consisting of Adrienne Harris and Kurt Summers, will expire at the second annual general meeting. The term of office of the third class of directors, consisting of John Martin and Gordon Watson, will expire at the third annual general meeting.</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Upon the effectiveness of the registration statement of which this prospectus forms a part, we expect to have one “independent director” as defined in the Nasdaq rules and applicable SEC rules prior to completion of this offering. Our board of directors has determined that Adrienne Harris, Kai Schmitz and Kurt Summers are “independent directors” as defined in the Nasdaq listing standards and applicable SEC rules. Our independent directors will have regularly scheduled meetings at which only independent directors are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 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40"/>
          </w:cols>
          <w:pgMar w:left="320" w:top="455"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23"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9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Upon the effective date of the registration statement of which this prospectus forms a part, our board of directors will have three standing committees: an audit committee, a compensation committee and a nominating and corporate governance committee. Both our audit committee and our compensation committee will be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will operate under a charter that will be approved by our board and will have the composition and responsibilities described below. The charter of each committee will be available on our website following the closing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Adrienne Harris, Kai Schmitz and Kurt Summers will serve as the members of the audit committee, and Kai Schmitz will chair the audit committee. Under the Nasdaq listing standards and applicable SEC rules, we are required to have at least three members of the audit committee, all of whom must be independent. Each of Adrienne Harris, Kai Schmitz and Kurt Summers meet the independent director standard under Nasdaq listing standards and under Rule 10-A-3(b)(1) of the Exchange Act.</w:t>
      </w:r>
    </w:p>
    <w:p>
      <w:pPr>
        <w:spacing w:after="0" w:line="121"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Kurt Summers qualifies as an “audit committee financial expert” as defined in applicable SEC rules and has accounting or related financial management expertise.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an audit committee charter, which will detail the principal functions of the audit committee, including:</w:t>
      </w:r>
    </w:p>
    <w:p>
      <w:pPr>
        <w:spacing w:after="0" w:line="196" w:lineRule="exact"/>
        <w:rPr>
          <w:sz w:val="20"/>
          <w:szCs w:val="20"/>
          <w:color w:val="auto"/>
        </w:rPr>
      </w:pP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assisting board oversight of (1) the integrity of our financial statements, (2) our compliance with legal and regulatory requirements,</w:t>
      </w:r>
    </w:p>
    <w:p>
      <w:pPr>
        <w:spacing w:after="0" w:line="15" w:lineRule="exact"/>
        <w:rPr>
          <w:rFonts w:ascii="MS PGothic" w:cs="MS PGothic" w:eastAsia="MS PGothic" w:hAnsi="MS PGothic"/>
          <w:sz w:val="13"/>
          <w:szCs w:val="13"/>
          <w:color w:val="auto"/>
        </w:rPr>
      </w:pPr>
    </w:p>
    <w:p>
      <w:pPr>
        <w:ind w:left="880" w:right="20"/>
        <w:spacing w:after="0"/>
        <w:rPr>
          <w:rFonts w:ascii="MS PGothic" w:cs="MS PGothic" w:eastAsia="MS PGothic" w:hAnsi="MS PGothic"/>
          <w:sz w:val="13"/>
          <w:szCs w:val="13"/>
          <w:color w:val="auto"/>
        </w:rPr>
      </w:pPr>
      <w:r>
        <w:rPr>
          <w:rFonts w:ascii="Arial" w:cs="Arial" w:eastAsia="Arial" w:hAnsi="Arial"/>
          <w:sz w:val="17"/>
          <w:szCs w:val="17"/>
          <w:color w:val="auto"/>
        </w:rPr>
        <w:t>(3)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00"/>
          </w:cols>
          <w:pgMar w:left="320" w:top="455" w:right="3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0" w:hanging="427"/>
        <w:spacing w:after="0" w:line="249"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ind w:left="880" w:right="240" w:hanging="427"/>
        <w:spacing w:after="0" w:line="241"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4" w:lineRule="exact"/>
        <w:rPr>
          <w:rFonts w:ascii="MS PGothic" w:cs="MS PGothic" w:eastAsia="MS PGothic" w:hAnsi="MS PGothic"/>
          <w:sz w:val="13"/>
          <w:szCs w:val="13"/>
          <w:color w:val="auto"/>
        </w:rPr>
      </w:pPr>
    </w:p>
    <w:p>
      <w:pPr>
        <w:ind w:left="880" w:right="200" w:hanging="427"/>
        <w:spacing w:after="0" w:line="244"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 w:lineRule="exact"/>
        <w:rPr>
          <w:rFonts w:ascii="MS PGothic" w:cs="MS PGothic" w:eastAsia="MS PGothic" w:hAnsi="MS PGothic"/>
          <w:sz w:val="13"/>
          <w:szCs w:val="13"/>
          <w:color w:val="auto"/>
        </w:rPr>
      </w:pPr>
    </w:p>
    <w:p>
      <w:pPr>
        <w:ind w:left="880" w:right="140" w:hanging="427"/>
        <w:spacing w:after="0" w:line="245"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7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Adrienne Harris and Kurt Summers will serve as the members of the compensation committee, and Kurt Summers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will adopt a compensation committee charter, which will detail the principal functions of the compensation committee, including:</w:t>
      </w:r>
    </w:p>
    <w:p>
      <w:pPr>
        <w:spacing w:after="0" w:line="196" w:lineRule="exact"/>
        <w:rPr>
          <w:sz w:val="20"/>
          <w:szCs w:val="20"/>
          <w:color w:val="auto"/>
        </w:rPr>
      </w:pPr>
    </w:p>
    <w:p>
      <w:pPr>
        <w:ind w:left="880" w:right="240" w:hanging="427"/>
        <w:spacing w:after="0" w:line="249"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ind w:left="880" w:hanging="427"/>
        <w:spacing w:after="0" w:line="256"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and making recommendations to our board of directors with respect to the compensation, and any incentive compensation and equity based plans that are subject to board approval of all of our other officers;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our executive compensation policies and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implementing and administering our incentive compensation equity-based remuneration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assisting management in complying with our proxy statement and annual report disclosure requirements;</w:t>
      </w:r>
    </w:p>
    <w:p>
      <w:pPr>
        <w:spacing w:after="0" w:line="34" w:lineRule="exact"/>
        <w:rPr>
          <w:rFonts w:ascii="MS PGothic" w:cs="MS PGothic" w:eastAsia="MS PGothic" w:hAnsi="MS PGothic"/>
          <w:sz w:val="13"/>
          <w:szCs w:val="13"/>
          <w:color w:val="auto"/>
        </w:rPr>
      </w:pPr>
    </w:p>
    <w:p>
      <w:pPr>
        <w:ind w:left="880" w:right="160" w:hanging="427"/>
        <w:spacing w:after="0" w:line="256"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approving all special perquisites, special cash payments and other special compensation and benefit arrangements for our officers and employees;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producing a report on executive compensation to be included in our annual proxy statement; and</w:t>
      </w:r>
    </w:p>
    <w:p>
      <w:pPr>
        <w:spacing w:after="0" w:line="73" w:lineRule="exact"/>
        <w:rPr>
          <w:rFonts w:ascii="MS PGothic" w:cs="MS PGothic" w:eastAsia="MS PGothic" w:hAnsi="MS PGothic"/>
          <w:sz w:val="13"/>
          <w:szCs w:val="13"/>
          <w:color w:val="auto"/>
        </w:rPr>
      </w:pPr>
    </w:p>
    <w:p>
      <w:pPr>
        <w:ind w:left="880" w:hanging="427"/>
        <w:spacing w:after="0"/>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73"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 members of our nominating and corporate governance will be Adrienne Harris, Kai Schmitz and Kurt Summers. Adrienne Harris will serve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33" w:lineRule="exact"/>
        <w:rPr>
          <w:sz w:val="20"/>
          <w:szCs w:val="20"/>
          <w:color w:val="auto"/>
        </w:rPr>
      </w:pPr>
    </w:p>
    <w:p>
      <w:pPr>
        <w:ind w:left="880" w:right="240" w:hanging="427"/>
        <w:spacing w:after="0" w:line="249" w:lineRule="auto"/>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34" w:lineRule="exact"/>
        <w:rPr>
          <w:rFonts w:ascii="MS PGothic" w:cs="MS PGothic" w:eastAsia="MS PGothic" w:hAnsi="MS PGothic"/>
          <w:sz w:val="13"/>
          <w:szCs w:val="13"/>
          <w:color w:val="auto"/>
        </w:rPr>
      </w:pPr>
    </w:p>
    <w:p>
      <w:pPr>
        <w:ind w:left="880" w:right="100" w:hanging="427"/>
        <w:spacing w:after="0" w:line="256" w:lineRule="auto"/>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reviewing on a regular basis our overall corporate governance and recommending improvements as and when necessary.</w:t>
      </w:r>
    </w:p>
    <w:p>
      <w:pPr>
        <w:spacing w:after="0" w:line="154"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11"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None of our officers currently serves, or in the past year has served, as a member of the compensation committee of any entity that has one or more officers serving on our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6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Prior to the consummation of this offering, we will have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of our board of directors will be provided without charge upon request from us. See the section of this prospectus entitled.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40"/>
          </w:cols>
          <w:pgMar w:left="320" w:top="455"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Form S-1 or in any other report or document we file with the SEC, and any references to our website are intended to be inactive textual references only.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directors and officers owe the following fiduciary duties:</w:t>
      </w:r>
    </w:p>
    <w:p>
      <w:pPr>
        <w:spacing w:after="0" w:line="115" w:lineRule="exact"/>
        <w:rPr>
          <w:sz w:val="20"/>
          <w:szCs w:val="20"/>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act in good faith in what the director or officer believes to be in the best interests of the company as a whole;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powers for the purposes for which those powers were conferred and not for a collateral purpose;</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directors should not improperly fetter the exercise of future discretion;</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powers fairly as between different sections of shareholders;</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15"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duty to exercise independent judgment.</w:t>
      </w:r>
    </w:p>
    <w:p>
      <w:pPr>
        <w:spacing w:after="0" w:line="35"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18"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summarizing the entities to which our officers and directors currently have fiduciary duties or contractual obligations: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20" w:type="dxa"/>
            <w:vAlign w:val="bottom"/>
          </w:tcPr>
          <w:p>
            <w:pPr>
              <w:ind w:left="500"/>
              <w:spacing w:after="0"/>
              <w:rPr>
                <w:sz w:val="20"/>
                <w:szCs w:val="20"/>
                <w:color w:val="auto"/>
              </w:rPr>
            </w:pPr>
            <w:r>
              <w:rPr>
                <w:rFonts w:ascii="Arial" w:cs="Arial" w:eastAsia="Arial" w:hAnsi="Arial"/>
                <w:sz w:val="14"/>
                <w:szCs w:val="14"/>
                <w:b w:val="1"/>
                <w:bCs w:val="1"/>
                <w:color w:val="auto"/>
              </w:rPr>
              <w:t>INDIVIDUAL</w:t>
            </w:r>
          </w:p>
        </w:tc>
        <w:tc>
          <w:tcPr>
            <w:tcW w:w="120" w:type="dxa"/>
            <w:vAlign w:val="bottom"/>
          </w:tcPr>
          <w:p>
            <w:pPr>
              <w:spacing w:after="0"/>
              <w:rPr>
                <w:sz w:val="16"/>
                <w:szCs w:val="16"/>
                <w:color w:val="auto"/>
              </w:rPr>
            </w:pPr>
          </w:p>
        </w:tc>
        <w:tc>
          <w:tcPr>
            <w:tcW w:w="3720" w:type="dxa"/>
            <w:vAlign w:val="bottom"/>
            <w:gridSpan w:val="2"/>
          </w:tcPr>
          <w:p>
            <w:pPr>
              <w:ind w:left="1540"/>
              <w:spacing w:after="0"/>
              <w:rPr>
                <w:sz w:val="20"/>
                <w:szCs w:val="20"/>
                <w:color w:val="auto"/>
              </w:rPr>
            </w:pPr>
            <w:r>
              <w:rPr>
                <w:rFonts w:ascii="Arial" w:cs="Arial" w:eastAsia="Arial" w:hAnsi="Arial"/>
                <w:sz w:val="14"/>
                <w:szCs w:val="14"/>
                <w:b w:val="1"/>
                <w:bCs w:val="1"/>
                <w:color w:val="auto"/>
              </w:rPr>
              <w:t>ENTITY</w:t>
            </w:r>
          </w:p>
        </w:tc>
        <w:tc>
          <w:tcPr>
            <w:tcW w:w="3460" w:type="dxa"/>
            <w:vAlign w:val="bottom"/>
          </w:tcPr>
          <w:p>
            <w:pPr>
              <w:ind w:left="102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020" w:type="dxa"/>
            <w:vAlign w:val="bottom"/>
          </w:tcPr>
          <w:p>
            <w:pPr>
              <w:ind w:left="580"/>
              <w:spacing w:after="0"/>
              <w:rPr>
                <w:sz w:val="20"/>
                <w:szCs w:val="20"/>
                <w:color w:val="auto"/>
              </w:rPr>
            </w:pPr>
            <w:r>
              <w:rPr>
                <w:rFonts w:ascii="Arial" w:cs="Arial" w:eastAsia="Arial" w:hAnsi="Arial"/>
                <w:sz w:val="14"/>
                <w:szCs w:val="14"/>
                <w:b w:val="1"/>
                <w:bCs w:val="1"/>
                <w:color w:val="auto"/>
              </w:rPr>
              <w:t>AFFILIATION</w:t>
            </w:r>
          </w:p>
        </w:tc>
      </w:tr>
      <w:tr>
        <w:trPr>
          <w:trHeight w:val="154"/>
        </w:trPr>
        <w:tc>
          <w:tcPr>
            <w:tcW w:w="18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John Martin</w:t>
            </w:r>
          </w:p>
        </w:tc>
        <w:tc>
          <w:tcPr>
            <w:tcW w:w="120" w:type="dxa"/>
            <w:vAlign w:val="bottom"/>
          </w:tcPr>
          <w:p>
            <w:pPr>
              <w:spacing w:after="0"/>
              <w:rPr>
                <w:sz w:val="13"/>
                <w:szCs w:val="13"/>
                <w:color w:val="auto"/>
              </w:rPr>
            </w:pPr>
          </w:p>
        </w:tc>
        <w:tc>
          <w:tcPr>
            <w:tcW w:w="360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Automotive Keys Investor LLC</w:t>
            </w:r>
          </w:p>
        </w:tc>
        <w:tc>
          <w:tcPr>
            <w:tcW w:w="120" w:type="dxa"/>
            <w:vAlign w:val="bottom"/>
          </w:tcPr>
          <w:p>
            <w:pPr>
              <w:spacing w:after="0"/>
              <w:rPr>
                <w:sz w:val="13"/>
                <w:szCs w:val="13"/>
                <w:color w:val="auto"/>
              </w:rPr>
            </w:pPr>
          </w:p>
        </w:tc>
        <w:tc>
          <w:tcPr>
            <w:tcW w:w="34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Consumer Products</w:t>
            </w:r>
          </w:p>
        </w:tc>
        <w:tc>
          <w:tcPr>
            <w:tcW w:w="100" w:type="dxa"/>
            <w:vAlign w:val="bottom"/>
          </w:tcPr>
          <w:p>
            <w:pPr>
              <w:spacing w:after="0"/>
              <w:rPr>
                <w:sz w:val="13"/>
                <w:szCs w:val="13"/>
                <w:color w:val="auto"/>
              </w:rPr>
            </w:pPr>
          </w:p>
        </w:tc>
        <w:tc>
          <w:tcPr>
            <w:tcW w:w="20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Advisor</w:t>
            </w:r>
          </w:p>
        </w:tc>
      </w:tr>
      <w:tr>
        <w:trPr>
          <w:trHeight w:val="297"/>
        </w:trPr>
        <w:tc>
          <w:tcPr>
            <w:tcW w:w="1820" w:type="dxa"/>
            <w:vAlign w:val="bottom"/>
          </w:tcPr>
          <w:p>
            <w:pPr>
              <w:spacing w:after="0"/>
              <w:rPr>
                <w:sz w:val="20"/>
                <w:szCs w:val="20"/>
                <w:color w:val="auto"/>
              </w:rPr>
            </w:pPr>
            <w:r>
              <w:rPr>
                <w:rFonts w:ascii="Arial" w:cs="Arial" w:eastAsia="Arial" w:hAnsi="Arial"/>
                <w:sz w:val="17"/>
                <w:szCs w:val="17"/>
                <w:color w:val="auto"/>
              </w:rPr>
              <w:t>Olibia Stamatoglou</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Officer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Gordon Watson</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Borro Ltd</w:t>
            </w:r>
          </w:p>
        </w:tc>
        <w:tc>
          <w:tcPr>
            <w:tcW w:w="3460" w:type="dxa"/>
            <w:vAlign w:val="bottom"/>
          </w:tcPr>
          <w:p>
            <w:pPr>
              <w:spacing w:after="0"/>
              <w:rPr>
                <w:sz w:val="20"/>
                <w:szCs w:val="20"/>
                <w:color w:val="auto"/>
              </w:rPr>
            </w:pPr>
            <w:r>
              <w:rPr>
                <w:rFonts w:ascii="Arial" w:cs="Arial" w:eastAsia="Arial" w:hAnsi="Arial"/>
                <w:sz w:val="17"/>
                <w:szCs w:val="17"/>
                <w:color w:val="auto"/>
              </w:rPr>
              <w:t>Specialty Finance</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Victory Park Capital Advisors</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Partner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Victory Park Specialty Lending Investments</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Manager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PLC</w:t>
            </w: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Adrienne Harris</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Beneficial State Bank</w:t>
            </w:r>
          </w:p>
        </w:tc>
        <w:tc>
          <w:tcPr>
            <w:tcW w:w="3460" w:type="dxa"/>
            <w:vAlign w:val="bottom"/>
          </w:tcPr>
          <w:p>
            <w:pPr>
              <w:spacing w:after="0"/>
              <w:rPr>
                <w:sz w:val="20"/>
                <w:szCs w:val="20"/>
                <w:color w:val="auto"/>
              </w:rPr>
            </w:pPr>
            <w:r>
              <w:rPr>
                <w:rFonts w:ascii="Arial" w:cs="Arial" w:eastAsia="Arial" w:hAnsi="Arial"/>
                <w:sz w:val="17"/>
                <w:szCs w:val="17"/>
                <w:color w:val="auto"/>
              </w:rPr>
              <w:t>Banking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Financial Health Network</w:t>
            </w:r>
          </w:p>
        </w:tc>
        <w:tc>
          <w:tcPr>
            <w:tcW w:w="3460" w:type="dxa"/>
            <w:vAlign w:val="bottom"/>
          </w:tcPr>
          <w:p>
            <w:pPr>
              <w:spacing w:after="0"/>
              <w:rPr>
                <w:sz w:val="20"/>
                <w:szCs w:val="20"/>
                <w:color w:val="auto"/>
              </w:rPr>
            </w:pPr>
            <w:r>
              <w:rPr>
                <w:rFonts w:ascii="Arial" w:cs="Arial" w:eastAsia="Arial" w:hAnsi="Arial"/>
                <w:sz w:val="17"/>
                <w:szCs w:val="17"/>
                <w:color w:val="auto"/>
              </w:rPr>
              <w:t>Financial Consulting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Homie, Inc.</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Real Estate Brokerage</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States Title, Inc.</w:t>
            </w:r>
          </w:p>
        </w:tc>
        <w:tc>
          <w:tcPr>
            <w:tcW w:w="3460" w:type="dxa"/>
            <w:vAlign w:val="bottom"/>
          </w:tcPr>
          <w:p>
            <w:pPr>
              <w:spacing w:after="0"/>
              <w:rPr>
                <w:sz w:val="20"/>
                <w:szCs w:val="20"/>
                <w:color w:val="auto"/>
              </w:rPr>
            </w:pPr>
            <w:r>
              <w:rPr>
                <w:rFonts w:ascii="Arial" w:cs="Arial" w:eastAsia="Arial" w:hAnsi="Arial"/>
                <w:sz w:val="17"/>
                <w:szCs w:val="17"/>
                <w:color w:val="auto"/>
              </w:rPr>
              <w:t>Real Estate Settlement Services</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Advisor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Kai Schmitz</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Amadeus Capital Partners</w:t>
            </w:r>
          </w:p>
        </w:tc>
        <w:tc>
          <w:tcPr>
            <w:tcW w:w="3460" w:type="dxa"/>
            <w:vAlign w:val="bottom"/>
          </w:tcPr>
          <w:p>
            <w:pPr>
              <w:spacing w:after="0"/>
              <w:rPr>
                <w:sz w:val="20"/>
                <w:szCs w:val="20"/>
                <w:color w:val="auto"/>
              </w:rPr>
            </w:pPr>
            <w:r>
              <w:rPr>
                <w:rFonts w:ascii="Arial" w:cs="Arial" w:eastAsia="Arial" w:hAnsi="Arial"/>
                <w:sz w:val="17"/>
                <w:szCs w:val="17"/>
                <w:color w:val="auto"/>
              </w:rPr>
              <w:t>Investment Advisor</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Partner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Koin Pagamentos S.A.</w:t>
            </w:r>
          </w:p>
        </w:tc>
        <w:tc>
          <w:tcPr>
            <w:tcW w:w="3460" w:type="dxa"/>
            <w:vAlign w:val="bottom"/>
          </w:tcPr>
          <w:p>
            <w:pPr>
              <w:spacing w:after="0"/>
              <w:rPr>
                <w:sz w:val="20"/>
                <w:szCs w:val="20"/>
                <w:color w:val="auto"/>
              </w:rPr>
            </w:pPr>
            <w:r>
              <w:rPr>
                <w:rFonts w:ascii="Arial" w:cs="Arial" w:eastAsia="Arial" w:hAnsi="Arial"/>
                <w:sz w:val="17"/>
                <w:szCs w:val="17"/>
                <w:color w:val="auto"/>
              </w:rPr>
              <w:t>Financing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3"/>
        </w:trPr>
        <w:tc>
          <w:tcPr>
            <w:tcW w:w="1820" w:type="dxa"/>
            <w:vAlign w:val="bottom"/>
          </w:tcPr>
          <w:p>
            <w:pPr>
              <w:spacing w:after="0"/>
              <w:rPr>
                <w:sz w:val="17"/>
                <w:szCs w:val="17"/>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Minka Ltd</w:t>
            </w:r>
          </w:p>
        </w:tc>
        <w:tc>
          <w:tcPr>
            <w:tcW w:w="3460" w:type="dxa"/>
            <w:vAlign w:val="bottom"/>
          </w:tcPr>
          <w:p>
            <w:pPr>
              <w:spacing w:after="0"/>
              <w:rPr>
                <w:sz w:val="20"/>
                <w:szCs w:val="20"/>
                <w:color w:val="auto"/>
              </w:rPr>
            </w:pPr>
            <w:r>
              <w:rPr>
                <w:rFonts w:ascii="Arial" w:cs="Arial" w:eastAsia="Arial" w:hAnsi="Arial"/>
                <w:sz w:val="17"/>
                <w:szCs w:val="17"/>
                <w:color w:val="auto"/>
              </w:rPr>
              <w:t>Technology</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189"/>
        </w:trPr>
        <w:tc>
          <w:tcPr>
            <w:tcW w:w="1820" w:type="dxa"/>
            <w:vAlign w:val="bottom"/>
          </w:tcPr>
          <w:p>
            <w:pPr>
              <w:spacing w:after="0"/>
              <w:rPr>
                <w:sz w:val="16"/>
                <w:szCs w:val="16"/>
                <w:color w:val="auto"/>
              </w:rPr>
            </w:pPr>
          </w:p>
        </w:tc>
        <w:tc>
          <w:tcPr>
            <w:tcW w:w="384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RS2 Software, Inc.</w:t>
            </w: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Payments Platform</w:t>
            </w:r>
          </w:p>
        </w:tc>
        <w:tc>
          <w:tcPr>
            <w:tcW w:w="21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Tranza Holding Ltd</w:t>
            </w:r>
          </w:p>
        </w:tc>
        <w:tc>
          <w:tcPr>
            <w:tcW w:w="3460" w:type="dxa"/>
            <w:vAlign w:val="bottom"/>
          </w:tcPr>
          <w:p>
            <w:pPr>
              <w:spacing w:after="0"/>
              <w:rPr>
                <w:sz w:val="20"/>
                <w:szCs w:val="20"/>
                <w:color w:val="auto"/>
              </w:rPr>
            </w:pPr>
            <w:r>
              <w:rPr>
                <w:rFonts w:ascii="Arial" w:cs="Arial" w:eastAsia="Arial" w:hAnsi="Arial"/>
                <w:sz w:val="17"/>
                <w:szCs w:val="17"/>
                <w:color w:val="auto"/>
              </w:rPr>
              <w:t>Digital Banking</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69"/>
        </w:trPr>
        <w:tc>
          <w:tcPr>
            <w:tcW w:w="1820" w:type="dxa"/>
            <w:vAlign w:val="bottom"/>
          </w:tcPr>
          <w:p>
            <w:pPr>
              <w:spacing w:after="0"/>
              <w:rPr>
                <w:sz w:val="20"/>
                <w:szCs w:val="20"/>
                <w:color w:val="auto"/>
              </w:rPr>
            </w:pPr>
            <w:r>
              <w:rPr>
                <w:rFonts w:ascii="Arial" w:cs="Arial" w:eastAsia="Arial" w:hAnsi="Arial"/>
                <w:sz w:val="17"/>
                <w:szCs w:val="17"/>
                <w:color w:val="auto"/>
              </w:rPr>
              <w:t>Kurt Summers</w:t>
            </w: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Blackstone</w:t>
            </w:r>
          </w:p>
        </w:tc>
        <w:tc>
          <w:tcPr>
            <w:tcW w:w="3460" w:type="dxa"/>
            <w:vAlign w:val="bottom"/>
          </w:tcPr>
          <w:p>
            <w:pPr>
              <w:spacing w:after="0"/>
              <w:rPr>
                <w:sz w:val="20"/>
                <w:szCs w:val="20"/>
                <w:color w:val="auto"/>
              </w:rPr>
            </w:pPr>
            <w:r>
              <w:rPr>
                <w:rFonts w:ascii="Arial" w:cs="Arial" w:eastAsia="Arial" w:hAnsi="Arial"/>
                <w:sz w:val="17"/>
                <w:szCs w:val="17"/>
                <w:color w:val="auto"/>
              </w:rPr>
              <w:t>Investment Management</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Senior Advisor</w:t>
            </w:r>
          </w:p>
        </w:tc>
      </w:tr>
      <w:tr>
        <w:trPr>
          <w:trHeight w:val="231"/>
        </w:trPr>
        <w:tc>
          <w:tcPr>
            <w:tcW w:w="18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7"/>
                <w:szCs w:val="17"/>
                <w:color w:val="auto"/>
              </w:rPr>
              <w:t>Ullico</w:t>
            </w:r>
          </w:p>
        </w:tc>
        <w:tc>
          <w:tcPr>
            <w:tcW w:w="3460" w:type="dxa"/>
            <w:vAlign w:val="bottom"/>
          </w:tcPr>
          <w:p>
            <w:pPr>
              <w:spacing w:after="0"/>
              <w:rPr>
                <w:sz w:val="20"/>
                <w:szCs w:val="20"/>
                <w:color w:val="auto"/>
              </w:rPr>
            </w:pPr>
            <w:r>
              <w:rPr>
                <w:rFonts w:ascii="Arial" w:cs="Arial" w:eastAsia="Arial" w:hAnsi="Arial"/>
                <w:sz w:val="17"/>
                <w:szCs w:val="17"/>
                <w:color w:val="auto"/>
              </w:rPr>
              <w:t>Financial Services</w:t>
            </w:r>
          </w:p>
        </w:tc>
        <w:tc>
          <w:tcPr>
            <w:tcW w:w="2120" w:type="dxa"/>
            <w:vAlign w:val="bottom"/>
            <w:gridSpan w:val="2"/>
          </w:tcPr>
          <w:p>
            <w:pPr>
              <w:ind w:left="100"/>
              <w:spacing w:after="0"/>
              <w:rPr>
                <w:sz w:val="20"/>
                <w:szCs w:val="20"/>
                <w:color w:val="auto"/>
              </w:rPr>
            </w:pPr>
            <w:r>
              <w:rPr>
                <w:rFonts w:ascii="Arial" w:cs="Arial" w:eastAsia="Arial" w:hAnsi="Arial"/>
                <w:sz w:val="17"/>
                <w:szCs w:val="17"/>
                <w:color w:val="auto"/>
              </w:rPr>
              <w:t>Senior Advisor</w:t>
            </w:r>
          </w:p>
        </w:tc>
      </w:tr>
    </w:tbl>
    <w:p>
      <w:pPr>
        <w:spacing w:after="0" w:line="134"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Potential investors should also be aware of the following other potential conflicts of interest:</w:t>
      </w:r>
    </w:p>
    <w:p>
      <w:pPr>
        <w:spacing w:after="0" w:line="196" w:lineRule="exact"/>
        <w:rPr>
          <w:sz w:val="20"/>
          <w:szCs w:val="20"/>
          <w:color w:val="auto"/>
        </w:rPr>
      </w:pPr>
    </w:p>
    <w:p>
      <w:pPr>
        <w:ind w:left="880" w:right="120" w:hanging="427"/>
        <w:spacing w:after="0" w:line="242"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1" w:lineRule="exact"/>
        <w:rPr>
          <w:rFonts w:ascii="MS PGothic" w:cs="MS PGothic" w:eastAsia="MS PGothic" w:hAnsi="MS PGothic"/>
          <w:sz w:val="13"/>
          <w:szCs w:val="13"/>
          <w:color w:val="auto"/>
        </w:rPr>
      </w:pPr>
    </w:p>
    <w:p>
      <w:pPr>
        <w:ind w:left="880" w:right="40" w:hanging="427"/>
        <w:spacing w:after="0" w:line="235" w:lineRule="auto"/>
        <w:tabs>
          <w:tab w:leader="none" w:pos="8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initial shareholders purchased founder shares prior to the date of this prospectus and will purchase private placement warrants in a transaction that will close simultaneously with the closing of this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w:t>
      </w:r>
    </w:p>
    <w:p>
      <w:pPr>
        <w:spacing w:after="0" w:line="1" w:lineRule="exact"/>
        <w:rPr>
          <w:rFonts w:ascii="MS PGothic" w:cs="MS PGothic" w:eastAsia="MS PGothic" w:hAnsi="MS PGothic"/>
          <w:sz w:val="13"/>
          <w:szCs w:val="13"/>
          <w:color w:val="auto"/>
        </w:rPr>
      </w:pPr>
    </w:p>
    <w:p>
      <w:pPr>
        <w:ind w:left="880" w:right="260"/>
        <w:spacing w:after="0" w:line="236" w:lineRule="auto"/>
        <w:rPr>
          <w:rFonts w:ascii="MS PGothic" w:cs="MS PGothic" w:eastAsia="MS PGothic" w:hAnsi="MS PGothic"/>
          <w:sz w:val="13"/>
          <w:szCs w:val="13"/>
          <w:color w:val="auto"/>
        </w:rPr>
      </w:pPr>
      <w:r>
        <w:rPr>
          <w:rFonts w:ascii="Arial" w:cs="Arial" w:eastAsia="Arial" w:hAnsi="Arial"/>
          <w:sz w:val="17"/>
          <w:szCs w:val="17"/>
          <w:color w:val="auto"/>
        </w:rPr>
        <w:t>(i)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spacing w:after="0" w:line="242"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1" w:lineRule="exact"/>
        <w:rPr>
          <w:sz w:val="20"/>
          <w:szCs w:val="20"/>
          <w:color w:val="auto"/>
        </w:rPr>
      </w:pPr>
    </w:p>
    <w:p>
      <w:pPr>
        <w:ind w:left="880" w:right="220" w:hanging="427"/>
        <w:spacing w:after="0" w:line="252" w:lineRule="auto"/>
        <w:tabs>
          <w:tab w:leader="none" w:pos="8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any of the above mentioned conflicts will be resolved in our favor.</w:t>
      </w:r>
    </w:p>
    <w:p>
      <w:pPr>
        <w:spacing w:after="0" w:line="15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73"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55"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51" w:lineRule="exact"/>
        <w:rPr>
          <w:sz w:val="20"/>
          <w:szCs w:val="20"/>
          <w:color w:val="auto"/>
        </w:rPr>
      </w:pPr>
    </w:p>
    <w:p>
      <w:pPr>
        <w:ind w:left="880" w:hanging="427"/>
        <w:spacing w:after="0"/>
        <w:tabs>
          <w:tab w:leader="none" w:pos="8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each person known by us to be the beneficial owner of more than 5% of our issued and outstanding ordinary shares;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each of our officers, directors and director nominees;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all our officers and directors as a group.</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The post-offering percentages in the following table assume that the underwriters do not exercise their over-allotment option, that 750,000 founder shares have been surrendered to us for no consideration, and that there are 25,000,000 ordinary shares issued and outstanding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9"/>
        </w:trPr>
        <w:tc>
          <w:tcPr>
            <w:tcW w:w="6640" w:type="dxa"/>
            <w:vAlign w:val="bottom"/>
          </w:tcPr>
          <w:p>
            <w:pPr>
              <w:spacing w:after="0"/>
              <w:rPr>
                <w:sz w:val="13"/>
                <w:szCs w:val="13"/>
                <w:color w:val="auto"/>
              </w:rPr>
            </w:pPr>
          </w:p>
        </w:tc>
        <w:tc>
          <w:tcPr>
            <w:tcW w:w="2380" w:type="dxa"/>
            <w:vAlign w:val="bottom"/>
            <w:gridSpan w:val="4"/>
          </w:tcPr>
          <w:p>
            <w:pPr>
              <w:jc w:val="right"/>
              <w:ind w:right="600"/>
              <w:spacing w:after="0" w:line="159" w:lineRule="exact"/>
              <w:rPr>
                <w:sz w:val="20"/>
                <w:szCs w:val="20"/>
                <w:color w:val="auto"/>
              </w:rPr>
            </w:pPr>
            <w:r>
              <w:rPr>
                <w:rFonts w:ascii="Arial" w:cs="Arial" w:eastAsia="Arial" w:hAnsi="Arial"/>
                <w:sz w:val="14"/>
                <w:szCs w:val="14"/>
                <w:b w:val="1"/>
                <w:bCs w:val="1"/>
                <w:color w:val="auto"/>
              </w:rPr>
              <w:t>NUMBER OF SHARES</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2380" w:type="dxa"/>
            <w:vAlign w:val="bottom"/>
            <w:gridSpan w:val="4"/>
          </w:tcPr>
          <w:p>
            <w:pPr>
              <w:ind w:left="120"/>
              <w:spacing w:after="0" w:line="181" w:lineRule="exact"/>
              <w:rPr>
                <w:sz w:val="20"/>
                <w:szCs w:val="20"/>
                <w:color w:val="auto"/>
              </w:rPr>
            </w:pPr>
            <w:r>
              <w:rPr>
                <w:rFonts w:ascii="Arial" w:cs="Arial" w:eastAsia="Arial" w:hAnsi="Arial"/>
                <w:sz w:val="12"/>
                <w:szCs w:val="12"/>
                <w:b w:val="1"/>
                <w:bCs w:val="1"/>
                <w:color w:val="auto"/>
              </w:rPr>
              <w:t>BENEFICIALLY OWNED</w:t>
            </w:r>
            <w:r>
              <w:rPr>
                <w:rFonts w:ascii="Arial" w:cs="Arial" w:eastAsia="Arial" w:hAnsi="Arial"/>
                <w:sz w:val="20"/>
                <w:szCs w:val="20"/>
                <w:b w:val="1"/>
                <w:bCs w:val="1"/>
                <w:color w:val="auto"/>
                <w:vertAlign w:val="superscript"/>
              </w:rPr>
              <w:t>(2)</w:t>
            </w:r>
          </w:p>
        </w:tc>
        <w:tc>
          <w:tcPr>
            <w:tcW w:w="2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4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4"/>
                <w:szCs w:val="24"/>
                <w:b w:val="1"/>
                <w:bCs w:val="1"/>
                <w:color w:val="auto"/>
                <w:vertAlign w:val="superscript"/>
              </w:rPr>
              <w:t>(1)</w:t>
            </w:r>
          </w:p>
        </w:tc>
        <w:tc>
          <w:tcPr>
            <w:tcW w:w="120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4"/>
                <w:szCs w:val="14"/>
                <w:b w:val="1"/>
                <w:bCs w:val="1"/>
                <w:color w:val="auto"/>
              </w:rPr>
              <w:t>BEFORE</w:t>
            </w:r>
          </w:p>
        </w:tc>
        <w:tc>
          <w:tcPr>
            <w:tcW w:w="820" w:type="dxa"/>
            <w:vAlign w:val="bottom"/>
            <w:tcBorders>
              <w:top w:val="single" w:sz="8" w:color="auto"/>
            </w:tcBorders>
          </w:tcPr>
          <w:p>
            <w:pPr>
              <w:jc w:val="right"/>
              <w:ind w:right="105"/>
              <w:spacing w:after="0" w:line="141" w:lineRule="exact"/>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2"/>
                <w:szCs w:val="12"/>
                <w:color w:val="auto"/>
              </w:rPr>
            </w:pPr>
          </w:p>
        </w:tc>
        <w:tc>
          <w:tcPr>
            <w:tcW w:w="1260" w:type="dxa"/>
            <w:vAlign w:val="bottom"/>
            <w:tcBorders>
              <w:top w:val="single" w:sz="8" w:color="auto"/>
            </w:tcBorders>
          </w:tcPr>
          <w:p>
            <w:pPr>
              <w:jc w:val="right"/>
              <w:ind w:right="506"/>
              <w:spacing w:after="0" w:line="141" w:lineRule="exact"/>
              <w:rPr>
                <w:sz w:val="20"/>
                <w:szCs w:val="20"/>
                <w:color w:val="auto"/>
              </w:rPr>
            </w:pPr>
            <w:r>
              <w:rPr>
                <w:rFonts w:ascii="Arial" w:cs="Arial" w:eastAsia="Arial" w:hAnsi="Arial"/>
                <w:sz w:val="14"/>
                <w:szCs w:val="14"/>
                <w:b w:val="1"/>
                <w:bCs w:val="1"/>
                <w:color w:val="auto"/>
              </w:rPr>
              <w:t>BEFORE</w:t>
            </w:r>
          </w:p>
        </w:tc>
        <w:tc>
          <w:tcPr>
            <w:tcW w:w="760" w:type="dxa"/>
            <w:vAlign w:val="bottom"/>
            <w:tcBorders>
              <w:top w:val="single" w:sz="8" w:color="auto"/>
            </w:tcBorders>
          </w:tcPr>
          <w:p>
            <w:pPr>
              <w:jc w:val="right"/>
              <w:ind w:right="65"/>
              <w:spacing w:after="0" w:line="141"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OFFERING</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OFFERING</w:t>
            </w:r>
          </w:p>
        </w:tc>
        <w:tc>
          <w:tcPr>
            <w:tcW w:w="1260" w:type="dxa"/>
            <w:vAlign w:val="bottom"/>
          </w:tcPr>
          <w:p>
            <w:pPr>
              <w:jc w:val="right"/>
              <w:ind w:right="426"/>
              <w:spacing w:after="0"/>
              <w:rPr>
                <w:sz w:val="20"/>
                <w:szCs w:val="20"/>
                <w:color w:val="auto"/>
              </w:rPr>
            </w:pPr>
            <w:r>
              <w:rPr>
                <w:rFonts w:ascii="Arial" w:cs="Arial" w:eastAsia="Arial" w:hAnsi="Arial"/>
                <w:sz w:val="14"/>
                <w:szCs w:val="14"/>
                <w:b w:val="1"/>
                <w:bCs w:val="1"/>
                <w:u w:val="single" w:color="auto"/>
                <w:color w:val="auto"/>
              </w:rPr>
              <w:t>OFFERING</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u w:val="single" w:color="auto"/>
                <w:color w:val="auto"/>
              </w:rPr>
              <w:t>OFFERING</w:t>
            </w:r>
          </w:p>
        </w:tc>
        <w:tc>
          <w:tcPr>
            <w:tcW w:w="0" w:type="dxa"/>
            <w:vAlign w:val="bottom"/>
          </w:tcPr>
          <w:p>
            <w:pPr>
              <w:spacing w:after="0"/>
              <w:rPr>
                <w:sz w:val="1"/>
                <w:szCs w:val="1"/>
                <w:color w:val="auto"/>
              </w:rPr>
            </w:pPr>
          </w:p>
        </w:tc>
      </w:tr>
      <w:tr>
        <w:trPr>
          <w:trHeight w:val="13"/>
        </w:trPr>
        <w:tc>
          <w:tcPr>
            <w:tcW w:w="6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VPC Impact Acquisition Holdings Sponsor, LLC</w:t>
            </w:r>
          </w:p>
        </w:tc>
        <w:tc>
          <w:tcPr>
            <w:tcW w:w="84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5,690,000</w:t>
            </w: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jc w:val="right"/>
              <w:spacing w:after="0" w:line="4" w:lineRule="exact"/>
              <w:rPr>
                <w:sz w:val="20"/>
                <w:szCs w:val="20"/>
                <w:color w:val="auto"/>
              </w:rPr>
            </w:pPr>
            <w:r>
              <w:rPr>
                <w:rFonts w:ascii="Arial" w:cs="Arial" w:eastAsia="Arial" w:hAnsi="Arial"/>
                <w:sz w:val="1"/>
                <w:szCs w:val="1"/>
                <w:color w:val="auto"/>
              </w:rPr>
              <w:t>4,940,000</w:t>
            </w:r>
          </w:p>
        </w:tc>
        <w:tc>
          <w:tcPr>
            <w:tcW w:w="3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jc w:val="right"/>
              <w:ind w:right="266"/>
              <w:spacing w:after="0" w:line="4" w:lineRule="exact"/>
              <w:rPr>
                <w:sz w:val="20"/>
                <w:szCs w:val="20"/>
                <w:color w:val="auto"/>
              </w:rPr>
            </w:pPr>
            <w:r>
              <w:rPr>
                <w:rFonts w:ascii="Arial" w:cs="Arial" w:eastAsia="Arial" w:hAnsi="Arial"/>
                <w:sz w:val="1"/>
                <w:szCs w:val="1"/>
                <w:color w:val="auto"/>
              </w:rPr>
              <w:t>99%</w:t>
            </w:r>
          </w:p>
        </w:tc>
        <w:tc>
          <w:tcPr>
            <w:tcW w:w="9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19.8%</w:t>
            </w: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3580"/>
              <w:spacing w:after="0"/>
              <w:rPr>
                <w:sz w:val="20"/>
                <w:szCs w:val="20"/>
                <w:color w:val="auto"/>
              </w:rPr>
            </w:pPr>
            <w:r>
              <w:rPr>
                <w:rFonts w:ascii="Arial" w:cs="Arial" w:eastAsia="Arial" w:hAnsi="Arial"/>
                <w:sz w:val="15"/>
                <w:szCs w:val="15"/>
                <w:color w:val="auto"/>
              </w:rPr>
              <w:t>(3)(4)</w:t>
            </w: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John Martin</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Gordon Watson</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Olibia Stamatoglou</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Adrienne Harris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w:t>
            </w:r>
          </w:p>
        </w:tc>
        <w:tc>
          <w:tcPr>
            <w:tcW w:w="126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line="189" w:lineRule="exact"/>
              <w:rPr>
                <w:sz w:val="20"/>
                <w:szCs w:val="20"/>
                <w:color w:val="auto"/>
              </w:rPr>
            </w:pPr>
            <w:r>
              <w:rPr>
                <w:rFonts w:ascii="Arial" w:cs="Arial" w:eastAsia="Arial" w:hAnsi="Arial"/>
                <w:sz w:val="17"/>
                <w:szCs w:val="17"/>
                <w:color w:val="auto"/>
              </w:rPr>
              <w:t>Kai Schmitz</w:t>
            </w:r>
          </w:p>
        </w:tc>
        <w:tc>
          <w:tcPr>
            <w:tcW w:w="12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1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260" w:type="dxa"/>
            <w:vAlign w:val="bottom"/>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Kurt Summers</w:t>
            </w: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20,000</w:t>
            </w:r>
          </w:p>
        </w:tc>
        <w:tc>
          <w:tcPr>
            <w:tcW w:w="1260" w:type="dxa"/>
            <w:vAlign w:val="bottom"/>
            <w:shd w:val="clear" w:color="auto" w:fill="CCEEFF"/>
          </w:tcPr>
          <w:p>
            <w:pPr>
              <w:jc w:val="right"/>
              <w:ind w:right="426"/>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r>
              <w:rPr>
                <w:rFonts w:ascii="Arial" w:cs="Arial" w:eastAsia="Arial" w:hAnsi="Arial"/>
                <w:sz w:val="17"/>
                <w:szCs w:val="17"/>
                <w:color w:val="auto"/>
              </w:rPr>
              <w:t>All officers, directors and director nominees as a group (6 individuals)</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60,000</w:t>
            </w:r>
          </w:p>
        </w:tc>
        <w:tc>
          <w:tcPr>
            <w:tcW w:w="1180" w:type="dxa"/>
            <w:vAlign w:val="bottom"/>
            <w:gridSpan w:val="2"/>
          </w:tcPr>
          <w:p>
            <w:pPr>
              <w:jc w:val="right"/>
              <w:ind w:right="360"/>
              <w:spacing w:after="0"/>
              <w:rPr>
                <w:sz w:val="20"/>
                <w:szCs w:val="20"/>
                <w:color w:val="auto"/>
              </w:rPr>
            </w:pPr>
            <w:r>
              <w:rPr>
                <w:rFonts w:ascii="Arial" w:cs="Arial" w:eastAsia="Arial" w:hAnsi="Arial"/>
                <w:sz w:val="17"/>
                <w:szCs w:val="17"/>
                <w:color w:val="auto"/>
              </w:rPr>
              <w:t>60,000</w:t>
            </w:r>
          </w:p>
        </w:tc>
        <w:tc>
          <w:tcPr>
            <w:tcW w:w="1260" w:type="dxa"/>
            <w:vAlign w:val="bottom"/>
          </w:tcPr>
          <w:p>
            <w:pPr>
              <w:jc w:val="right"/>
              <w:ind w:right="266"/>
              <w:spacing w:after="0"/>
              <w:rPr>
                <w:sz w:val="20"/>
                <w:szCs w:val="20"/>
                <w:color w:val="auto"/>
              </w:rPr>
            </w:pPr>
            <w:r>
              <w:rPr>
                <w:rFonts w:ascii="Arial" w:cs="Arial" w:eastAsia="Arial" w:hAnsi="Arial"/>
                <w:sz w:val="17"/>
                <w:szCs w:val="17"/>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9" w:lineRule="exact"/>
        <w:rPr>
          <w:sz w:val="20"/>
          <w:szCs w:val="20"/>
          <w:color w:val="auto"/>
        </w:rPr>
      </w:pPr>
    </w:p>
    <w:p>
      <w:pPr>
        <w:ind w:left="440" w:hanging="297"/>
        <w:spacing w:after="0"/>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Unless otherwise noted, the business address of each of the following is 150 North Riverside Plaza, Suite 5200, Chicago, IL 60606.</w:t>
      </w:r>
    </w:p>
    <w:p>
      <w:pPr>
        <w:ind w:left="440" w:right="140" w:hanging="297"/>
        <w:spacing w:after="0" w:line="195" w:lineRule="auto"/>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in the section entitled “Description of Securities.”</w:t>
      </w:r>
    </w:p>
    <w:p>
      <w:pPr>
        <w:ind w:left="440" w:hanging="297"/>
        <w:spacing w:after="0" w:line="204" w:lineRule="auto"/>
        <w:tabs>
          <w:tab w:leader="none" w:pos="44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spacing w:after="0" w:line="2"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57"/>
        </w:numPr>
        <w:rPr>
          <w:rFonts w:ascii="Arial" w:cs="Arial" w:eastAsia="Arial" w:hAnsi="Arial"/>
          <w:sz w:val="20"/>
          <w:szCs w:val="20"/>
          <w:color w:val="auto"/>
          <w:vertAlign w:val="superscript"/>
        </w:rPr>
      </w:pPr>
      <w:r>
        <w:rPr>
          <w:rFonts w:ascii="Arial" w:cs="Arial" w:eastAsia="Arial" w:hAnsi="Arial"/>
          <w:sz w:val="12"/>
          <w:szCs w:val="12"/>
          <w:color w:val="auto"/>
        </w:rPr>
        <w:t>Includes up to 750,000 founder shares that will be surrendered for no consideration depending on the extent to which the underwriters’ over-allotment option is exercised.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40"/>
          </w:cols>
          <w:pgMar w:left="320" w:top="455"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Immediately after this offering, our initial shareholders will beneficially own 20.0% of the then issued and outstanding ordinary shares (assuming they do not purchase any units in this offering). Only holders of Class B ordinary shares will have the right to appoint directors in any election held prior to or in connection with the completion of our initial business combination. Holders of our public shares will not have the right to appoint any directors to our board of directors prior to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sponsor has committed,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occur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may not, subject to certain limited exceptions, be transferred, assigned or sold by the holder. A portion of the purchase price of the private placement warrants will be added to the proceeds from this offering to be held in the trust account such that at the time of closing of this offering $200 million (or $230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w:t>
      </w:r>
    </w:p>
    <w:p>
      <w:pPr>
        <w:spacing w:after="0" w:line="12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VPC Impact Acquisition Holdings Sponsor, LLC, our sponsor, and our officers and directors are deemed to be our “promoters” as such term is defined under the federal securities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founder shares, private placement warrants and any Class A ordinary shares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and (ii) in the case of the private placement warrants and any Class A ordinary shares issuable upon conversion or exercise thereof, until 30 days after the completion of our initial business combination except in each case (a) to our officers or directors, any affiliate or family member of any of our officers or directors, any members or partners of the Sponsor or their affiliates, any affiliates of the Sponsor, or any employees of such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455"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shareholders having the right to exchange their Class A ordinary shares for cash, securities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in the case of clauses (a) through (f) these permitted transferees must enter into a written agreement agreeing to be bound by these transfer restrictions and the other restrictions contained in the letter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40"/>
          </w:cols>
          <w:pgMar w:left="320" w:top="455"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316"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 founder shares will be surrendered for no consideration depending on the extent to which the underwriters’ over-allotment is exercised. If we increase or decrease the size of the offering, we will effect a share capitalization or a share repurchase or redemption or other appropriate mechanism, as applicable, with respect to our Class B ordinary shares immediately prior to the consummation of this offering in such amount as to maintain the number of founder shares at 20.0% of our issued and outstanding ordinary shares upon the consummation of this offering.</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sponsor has committed to, pursuant to a written agreement, to purchase an aggregate of 6,000,000 private placement warrants (or 6,600,000 warrants if the underwriters’ over-allotment option is exercised in full), each exercisable to purchase one Class A ordinary share at $11.50 per share, at a price of $1.00 per warrant, or $6,000,000 in the aggregate (or $6,600,000 if the underwriters’ over-allotment option is exercised in full), in a private placement that will close simultaneously with the closing of this offering. The private placement warrants will be identical to the warrants sold in this offering except that the private placement warrants, so long as they are held by our sponsor or its permitted transferees, (i) will not be redeemable by us, except as described under “</w:t>
      </w:r>
      <w:r>
        <w:rPr>
          <w:rFonts w:ascii="Arial" w:cs="Arial" w:eastAsia="Arial" w:hAnsi="Arial"/>
          <w:sz w:val="17"/>
          <w:szCs w:val="17"/>
          <w:i w:val="1"/>
          <w:iCs w:val="1"/>
          <w:color w:val="auto"/>
        </w:rPr>
        <w:t>Description of Securities—Warrants—Public Warrants—Redemption of warrants when the price per</w:t>
      </w:r>
      <w:r>
        <w:rPr>
          <w:rFonts w:ascii="Arial" w:cs="Arial" w:eastAsia="Arial" w:hAnsi="Arial"/>
          <w:sz w:val="17"/>
          <w:szCs w:val="17"/>
          <w:color w:val="auto"/>
        </w:rPr>
        <w:t xml:space="preserve"> </w:t>
      </w:r>
      <w:r>
        <w:rPr>
          <w:rFonts w:ascii="Arial" w:cs="Arial" w:eastAsia="Arial" w:hAnsi="Arial"/>
          <w:sz w:val="17"/>
          <w:szCs w:val="17"/>
          <w:i w:val="1"/>
          <w:iCs w:val="1"/>
          <w:color w:val="auto"/>
        </w:rPr>
        <w:t>Class A ordinary share equals or exceeds $10.00,</w:t>
      </w:r>
      <w:r>
        <w:rPr>
          <w:rFonts w:ascii="Arial" w:cs="Arial" w:eastAsia="Arial" w:hAnsi="Arial"/>
          <w:sz w:val="17"/>
          <w:szCs w:val="17"/>
          <w:color w:val="auto"/>
        </w:rPr>
        <w:t>” (ii) may not (including the Class A ordinary shares issuable upon exercise of these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warrants (including the Class A ordinary shares issuable upon exercise thereof) may not, subject to certain limited exceptions, be transferred, assigned or sold by the holder.</w:t>
      </w:r>
    </w:p>
    <w:p>
      <w:pPr>
        <w:spacing w:after="0" w:line="127"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We currently utilize office space at 150 North Riverside Plaza, Suite 5200, Chicago, Illinois 60606 from our sponsor as our executive offices. Commencing on the date of this prospectus, we will pay our sponsor $10,000 per month for office space, utilities, secretarial and administrative support services provided to members of our management team. Upon completion of our initial business combination or our liquidation, we will cease paying these monthly fees.</w:t>
      </w:r>
    </w:p>
    <w:p>
      <w:pPr>
        <w:spacing w:after="0" w:line="11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No compensation of any kind, including finder’s and consulting fees, will be paid by the company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warrants of the post business combination entity at a price of $1.00 per warrant at the option of the lender. Such warrants would be identical to the private placement warrants. Except as set forth above, the terms of such loans, if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1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9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proxy solicitation or tender offer materials, as applicable, furnished to our shareholders. It is unlikely the amount of such compensation will be known at the time of distribution of such tender offer materials or at the time of a general meeting held to consider our initial business combination, as applicable, as it will be up to the directors of the post-combination business to determine executive and director compensation.</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have entered into a registration rights agreement with respect to the founder shares and private placement warrants, which is described under the heading “Principal Shareholders—Registration Rights.”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3" w:lineRule="exact"/>
        <w:rPr>
          <w:sz w:val="20"/>
          <w:szCs w:val="20"/>
          <w:color w:val="auto"/>
        </w:rPr>
      </w:pPr>
    </w:p>
    <w:p>
      <w:pPr>
        <w:ind w:firstLine="8"/>
        <w:spacing w:after="0" w:line="234" w:lineRule="auto"/>
        <w:tabs>
          <w:tab w:leader="none" w:pos="19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shareholders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officer to participate in the discussion of, or decision concerning, a related person transaction in which he or she is the related party.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20"/>
          </w:cols>
          <w:pgMar w:left="320" w:top="455" w:right="3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are a Cayman Islands exempted company (company number 364819) and our affairs are governed by our amended and restated memorandum and articles of association, the Companies Law and the common law of the Cayman Islands. Pursuant to our amended and restated memorandum and articles of association which will be adopted upon the consummation of this offering, we will be authorized to issue 200,000,000 ordinary shares, $0.0001 par value each, including 200,000,000 Class A ordinary shares and 20,000,000 Class B ordinary shares, as well as 1,000,000 preferred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For example, if a warrant holder holds one-half of one warrant to purchase a Class A ordinary share, such warrant will not be exercisable. If a warrant holder holds two-halves of one warrant, such whole warrant will be exercisable for one Class A ordinary share at a price of $11.50 per share. The Class A ordinary shares and warrants comprising the units are expected to begin separate trading on the 52</w:t>
      </w:r>
      <w:r>
        <w:rPr>
          <w:rFonts w:ascii="Arial" w:cs="Arial" w:eastAsia="Arial" w:hAnsi="Arial"/>
          <w:sz w:val="14"/>
          <w:szCs w:val="14"/>
          <w:color w:val="auto"/>
        </w:rPr>
        <w:t>nd</w:t>
      </w:r>
      <w:r>
        <w:rPr>
          <w:rFonts w:ascii="Arial" w:cs="Arial" w:eastAsia="Arial" w:hAnsi="Arial"/>
          <w:sz w:val="17"/>
          <w:szCs w:val="17"/>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6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the date of this prospectus, there were 5,750,000 Class B ordinary shares outstanding, all of which were held of record by our initial shareholders, so that our initial shareholders will own 20% of our issued and outstanding shares after this offering (assuming our initial shareholders do not purchase any units in this offering). Up to 750,000 of the founder shares will be surrendered for no consideration depending on the extent to which the underwriters’ over-allotment is exercised. Upon the closing of this offering, 25,000,000 of our ordinary shares will be outstanding (assuming no exercise of the underwriters’ over-allotment option and the corresponding surrender for no consideration of 750,000 founder shares) including:</w:t>
      </w:r>
    </w:p>
    <w:p>
      <w:pPr>
        <w:spacing w:after="0" w:line="164" w:lineRule="exact"/>
        <w:rPr>
          <w:sz w:val="20"/>
          <w:szCs w:val="20"/>
          <w:color w:val="auto"/>
        </w:rPr>
      </w:pPr>
    </w:p>
    <w:p>
      <w:pPr>
        <w:ind w:left="880" w:hanging="427"/>
        <w:spacing w:after="0"/>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20,000,000 Class A ordinary shares underlying units issued as part of this offering;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5,750,000 Class B ordinary shares held by our initial shareholders.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20"/>
          </w:cols>
          <w:pgMar w:left="320" w:top="455" w:right="3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If we increase or decrease the size of this offering, we will effect a share capitalization or share repurchase or redemption or other appropriate mechanism, as applicable, with respect to our Class B ordinary shares immediately prior to the consummation of the offering in such amount as to maintain the ownership of our initial shareholders at 20.0% of our issued and outstanding ordinary shares upon the consummation of this offering.</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the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appointed in each year. There is no cumulative voting with respect to the appointment of directors, with the result that the holders of more than 50% of the shares voted for the appointment of directors can elect all of the directors. However, only holders of Class B ordinary shares will have the right to appoint directors in any election held prior to or in connection with the completion of our initial business combination, meaning that holders of Class A ordinary shares will not have the right to appoint any directors until after the completion of our initial business combination. In addition, in a vote to continue the Company in a jurisdiction outside the Cayman Islands (which requires the approval of at least two thirds of the votes of all ordinary shares), holders of our Class B ordinary shares will have ten votes for every Class B ordinary share and holders of our Class A ordinary shares will have one vote for every Class A ordinary share. The provisions of our amended and restated memorandum and articles of association governing the appointment or removal of directors prior to our initial business combination and our continuation in a jurisdiction outside the Cayman Islands prior to our initial business combination may only be amended by a special resolution passed by not less than two-thirds of our ordinary shares who attend and vote at our general meeting which shall include the affirmative vote of a simple majority of our Class B ordinary shares. Our shareholders are entitled to receive ratable dividends when, as and if declared by the board of directors out of funds legally available therefor.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Because our amended and restated memorandum and articles of association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 Our board of directors is divided into three classes with only one class of directors being appointed in each year and each class (except for those directors appointed prior to our first annual general meeting) serving a three-year term.</w:t>
      </w:r>
    </w:p>
    <w:p>
      <w:pPr>
        <w:spacing w:after="0" w:line="12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one year after our first fiscal year end following our listing on Nasdaq. There is no requirement under the Companies Law for us to hold annual or general meetings or appoint directors. We may not hold an annual general meeting to appoint new directors prior to the consummation of our initial business combination.</w:t>
      </w:r>
    </w:p>
    <w:p>
      <w:pPr>
        <w:spacing w:after="0" w:line="117"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sponsor, officers and directors have entered into a letter agreement with us, pursuant to which they have agreed to waive their redemption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455"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rights with respect to their founder shares and public shares in connection with the completion of our initial business combination. Unlike many special purpose acquisition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our initial business combination and the redemption rights as is required under the SEC’s proxy rules. If, however, a shareholder approval of the transaction is required by law, or we decide to obtain shareholder approval for business or other reasons, we will, like many special purpose acquisition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an ordinary resolution, non-votes will have no effect on the approval of our initial business combination once a quorum is obtained. Our amended and restated memorandum and articles of association require that at least five days’ notice will be given of any general meeting.</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20% and, in order to dispose such shares would be required to sell their shares in open market transactions, potentially at a loss.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we seek shareholder approval in connection with our initial business combination, our sponsor, officers and directors have agreed to vote their founder shares and any public shares purchased during or after this offering (including in open market and privately-negotiated transactions) in favor of our initial business combination. As a result, in addition to our initial shareholders’ founder shares, we would need 7,500,001, or 37.5%, of the 20,000,000 public shares sold in this offering to be voted in favor of an initial business combination in order to have our initial business combination approved (assuming all outstanding shares are voted and the over-allotment option is not exercised). Additionally, each public shareholder may elect to redeem their public shares irrespective of whether they vote for or against the proposed transaction or whether they were a public shareholder on the record date for the general meeting held to approve the proposed transaction.</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Pursuant to our amended and restated memorandum and articles of association,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officers and directors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sponsor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4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and on the conditions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6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the founder shares are entitled to registration rights;</w:t>
      </w:r>
    </w:p>
    <w:p>
      <w:pPr>
        <w:ind w:firstLine="8"/>
        <w:spacing w:after="0" w:line="232" w:lineRule="auto"/>
        <w:tabs>
          <w:tab w:leader="none" w:pos="2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 vote to continue the Company in a jurisdiction outside the Cayman Islands (which requires the approval of at least two thirds of the votes of all ordinary shares), holders of our founder shares will have ten votes for every founder share and holders of our Class A ordinary shares will have one vote for every Class A ordinary share, (iv) our sponsor, officers and directors have entered into a letter agreement with us, pursuant to which they have agreed to (A) waive their redemption rights with respect to their founder shares and public shares in connection with the completion of our initial business combination, (B) waive their redemption rights with respect to their founder shares and public shares in connection with a shareholder vote to approve an amendment to our amended and restated memorandum and articles of association (A) to modify the substance or timing of our obligation to allow redemption in connection with our initial business combination or to redeem 100% of our public shares if we have not consummated an initial business combination within 24 months from the closing of this offering or (B) with respect to any other material provisions relating to shareholders’ rights or pre-initial business combination activity, (C) waive their rights to liquidating distributions from the trust account with respect to their founder shares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(D) vote any founder shares held by them and any public shares purchased during or after this offering (including in open market and privately-negotiated transactions) in favor of our initial business combination, (v) the founder shares are automatically convertible into Class A ordinary shares concurrently with or immediately following the consummation of our initial business combination on a one-for-one basis, subject to adjustment as described herein and in our amended and restated memorandum and articles of association, and</w:t>
      </w:r>
    </w:p>
    <w:p>
      <w:pPr>
        <w:ind w:right="40" w:firstLine="8"/>
        <w:spacing w:after="0" w:line="248" w:lineRule="auto"/>
        <w:tabs>
          <w:tab w:leader="none" w:pos="2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only holders of Class B ordinary shares will have the right to appoint directors in any election held prior to or in connection with the completion of our initial business combination.</w:t>
      </w:r>
    </w:p>
    <w:p>
      <w:pPr>
        <w:spacing w:after="0" w:line="114"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20"/>
          </w:cols>
          <w:pgMar w:left="320" w:top="45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 xml:space="preserve">shareholders), including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conversion of founder shares will never occur on a less than one-for-one basis.</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shareholders having the right to exchange their Class A ordinary shares for cash, securities or other property. Up to 750,000 founder shares will be surrendered to us for no consideration depending on the exercise of the over-allotment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96" w:lineRule="exact"/>
        <w:rPr>
          <w:sz w:val="20"/>
          <w:szCs w:val="20"/>
          <w:color w:val="auto"/>
        </w:rPr>
      </w:pPr>
    </w:p>
    <w:p>
      <w:pPr>
        <w:ind w:left="880" w:right="400" w:hanging="427"/>
        <w:spacing w:after="0" w:line="257" w:lineRule="auto"/>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date on which the name of any person was entered on the register as a member;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the date on which any person ceased to be a member.</w:t>
      </w:r>
    </w:p>
    <w:p>
      <w:pPr>
        <w:spacing w:after="0" w:line="15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amended and restated memorandum and articles of association authorize 1,000,000 preferred shares and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outstanding at the date hereof. Although we do not currently intend to issue any preferred shares, we cannot assure you that we will not do so in the future. No preferred shares are being issued or registered in this offering.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6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provided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2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ordinary shares are at the time of any exercise of a warrant not listed on a national securities exchange such that they satisfy the definition of a “covered security” under</w:t>
      </w:r>
    </w:p>
    <w:p>
      <w:pPr>
        <w:ind w:right="180"/>
        <w:spacing w:after="0" w:line="238" w:lineRule="auto"/>
        <w:rPr>
          <w:sz w:val="20"/>
          <w:szCs w:val="20"/>
          <w:color w:val="auto"/>
        </w:rPr>
      </w:pPr>
      <w:r>
        <w:rPr>
          <w:rFonts w:ascii="Arial" w:cs="Arial" w:eastAsia="Arial" w:hAnsi="Arial"/>
          <w:sz w:val="17"/>
          <w:szCs w:val="17"/>
          <w:color w:val="auto"/>
        </w:rPr>
        <w:t>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21"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at a price of $0.01 per warrant;</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upon a minimum of 30 days’ prior written notice of redemption (the “</w:t>
      </w:r>
      <w:r>
        <w:rPr>
          <w:rFonts w:ascii="Arial" w:cs="Arial" w:eastAsia="Arial" w:hAnsi="Arial"/>
          <w:sz w:val="17"/>
          <w:szCs w:val="17"/>
          <w:b w:val="1"/>
          <w:bCs w:val="1"/>
          <w:color w:val="auto"/>
        </w:rPr>
        <w:t>30-day redemption period</w:t>
      </w:r>
      <w:r>
        <w:rPr>
          <w:rFonts w:ascii="Arial" w:cs="Arial" w:eastAsia="Arial" w:hAnsi="Arial"/>
          <w:sz w:val="17"/>
          <w:szCs w:val="17"/>
          <w:color w:val="auto"/>
        </w:rPr>
        <w:t>”);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120" w:hanging="427"/>
        <w:spacing w:after="0" w:line="246"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the Class A ordinary shares equals or exceeds $18.00 per share (as adjusted for adjustments to the number of shares issuable upon exercise or the exercise price of a warrant as described under the heading “—Redemption Procedures —Anti-dilution Adjustments”) for any 20 trading days within a 30-trading day period ending three business days before we send the notice of redemption to the warrant holders.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and when the warrants become redeemable by us, we may exercise our redemption right even if we are unable to register or qualify the underlying securities for sale under all applicable state securities laws.</w:t>
      </w:r>
    </w:p>
    <w:p>
      <w:pPr>
        <w:spacing w:after="0" w:line="92"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2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we may</w:t>
      </w:r>
      <w:r>
        <w:rPr>
          <w:rFonts w:ascii="Arial" w:cs="Arial" w:eastAsia="Arial" w:hAnsi="Arial"/>
          <w:sz w:val="17"/>
          <w:szCs w:val="17"/>
          <w:i w:val="1"/>
          <w:iCs w:val="1"/>
          <w:color w:val="auto"/>
        </w:rPr>
        <w:t xml:space="preserve"> </w:t>
      </w:r>
      <w:r>
        <w:rPr>
          <w:rFonts w:ascii="Arial" w:cs="Arial" w:eastAsia="Arial" w:hAnsi="Arial"/>
          <w:sz w:val="17"/>
          <w:szCs w:val="17"/>
          <w:color w:val="auto"/>
        </w:rPr>
        <w:t>redeem the outstanding warrants (except as described herein with respect to the private placement warrants):</w:t>
      </w:r>
    </w:p>
    <w:p>
      <w:pPr>
        <w:spacing w:after="0" w:line="133" w:lineRule="exact"/>
        <w:rPr>
          <w:sz w:val="20"/>
          <w:szCs w:val="20"/>
          <w:color w:val="auto"/>
        </w:rPr>
      </w:pPr>
    </w:p>
    <w:p>
      <w:pPr>
        <w:ind w:left="880" w:hanging="427"/>
        <w:spacing w:after="0"/>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in whole and not in part;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at a price of $0.10 per warrant;</w:t>
      </w:r>
    </w:p>
    <w:p>
      <w:pPr>
        <w:spacing w:after="0" w:line="34" w:lineRule="exact"/>
        <w:rPr>
          <w:rFonts w:ascii="MS PGothic" w:cs="MS PGothic" w:eastAsia="MS PGothic" w:hAnsi="MS PGothic"/>
          <w:sz w:val="13"/>
          <w:szCs w:val="13"/>
          <w:color w:val="auto"/>
        </w:rPr>
      </w:pPr>
    </w:p>
    <w:p>
      <w:pPr>
        <w:ind w:left="880" w:right="40" w:hanging="427"/>
        <w:spacing w:after="0" w:line="252"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 xml:space="preserve">upon a minimum of 30 days’ prior written notice of redemption;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holders will be able to exercise their warrants on a cashless basis prior to redemption and receive that number of shares determined by reference to the table below, based on the redemption date and the “</w:t>
      </w:r>
      <w:r>
        <w:rPr>
          <w:rFonts w:ascii="Arial" w:cs="Arial" w:eastAsia="Arial" w:hAnsi="Arial"/>
          <w:sz w:val="17"/>
          <w:szCs w:val="17"/>
          <w:b w:val="1"/>
          <w:bCs w:val="1"/>
          <w:color w:val="auto"/>
        </w:rPr>
        <w:t>fair market value</w:t>
      </w:r>
      <w:r>
        <w:rPr>
          <w:rFonts w:ascii="Arial" w:cs="Arial" w:eastAsia="Arial" w:hAnsi="Arial"/>
          <w:sz w:val="17"/>
          <w:szCs w:val="17"/>
          <w:color w:val="auto"/>
        </w:rPr>
        <w:t>” (as defined below) of our Class A ordinary shares except as otherwise described below; and</w:t>
      </w:r>
    </w:p>
    <w:p>
      <w:pPr>
        <w:spacing w:after="0" w:line="1" w:lineRule="exact"/>
        <w:rPr>
          <w:rFonts w:ascii="MS PGothic" w:cs="MS PGothic" w:eastAsia="MS PGothic" w:hAnsi="MS PGothic"/>
          <w:sz w:val="13"/>
          <w:szCs w:val="13"/>
          <w:color w:val="auto"/>
        </w:rPr>
      </w:pPr>
    </w:p>
    <w:p>
      <w:pPr>
        <w:ind w:left="880" w:right="120" w:hanging="427"/>
        <w:spacing w:after="0" w:line="241"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if, and only if, the closing price of our Class A ordinary shares equals or exceeds $10.00 per share (as adjusted for adjustments to the number of shares issuable upon exercise or the exercise price of a warrant as described under the heading “—Redemption Procedures —Anti-dilution Adjustments”) for any 20 trading days within the 30-trading day period ending three trading days before we send the notice of redemption to the warrant holders; and</w:t>
      </w:r>
    </w:p>
    <w:p>
      <w:pPr>
        <w:spacing w:after="0" w:line="1" w:lineRule="exact"/>
        <w:rPr>
          <w:rFonts w:ascii="MS PGothic" w:cs="MS PGothic" w:eastAsia="MS PGothic" w:hAnsi="MS PGothic"/>
          <w:sz w:val="13"/>
          <w:szCs w:val="13"/>
          <w:color w:val="auto"/>
        </w:rPr>
      </w:pPr>
    </w:p>
    <w:p>
      <w:pPr>
        <w:ind w:left="880" w:right="200" w:hanging="427"/>
        <w:spacing w:after="0" w:line="242"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Securities—Warrants—Public Warrants—Anti-dilution Adjustments”), the private placement warrants must also be concurrently called for redemption on the same terms as the outstanding public warrants, as described above.</w:t>
      </w:r>
    </w:p>
    <w:p>
      <w:pPr>
        <w:spacing w:after="0" w:line="12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Beginning on the date the notice of redemption is given and until the warrants are redeemed or exercised, holders may elect to exercise their warrants on a cashless basis. The numbers in the table below represent the number of Class A ordinary shares that a warrant holder will receive upon such cashless exercise in connection with a redemption by us pursuant to this redemption feature, based on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on the corresponding redemption date (assuming holders elect to exercise their warrants and such warrants are not redeemed for $0.10 per warrant), determined for these purposes based on the volume-weighted average price of our Class A ordinary shares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12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Pursuant to the warrant agreement, references above to Class A ordinary shares shall include a security other than Class A ordinary shares into which the Class A ordinary shares have been converted or for which they have been exchanged in the event we are not the surviving company in our initial business combination.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20"/>
          </w:cols>
          <w:pgMar w:left="320" w:top="455" w:right="3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“—Redemption Procedures—Anti-dilution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“—Redemption Procedures—Anti-dilution Adjustments” below, the adjusted share prices in the column headings will equal the unadjusted share prices multiplied by a fraction, the numerator of which is the higher of the Market Value and the Newly Issued Price as set forth under the heading “—Redemption Procedures—Anti-dilution Adjustments” and the denominator of which is $10.00 and (b) in the case of an adjustment pursuant to the second paragraph under the heading “—Redemption Procedures—Anti-dilution Adjustments” below, the adjusted share prices in the column headings will equal the unadjusted share prices less the decrease in the exercise price of a warrant pursuant to such exercise price adjustment.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b w:val="1"/>
                <w:bCs w:val="1"/>
                <w:color w:val="auto"/>
              </w:rPr>
              <w:t>REDEMPTION</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40" w:type="dxa"/>
            <w:vAlign w:val="bottom"/>
          </w:tcPr>
          <w:p>
            <w:pPr>
              <w:spacing w:after="0" w:line="192" w:lineRule="exact"/>
              <w:rPr>
                <w:sz w:val="20"/>
                <w:szCs w:val="20"/>
                <w:color w:val="auto"/>
              </w:rPr>
            </w:pPr>
            <w:r>
              <w:rPr>
                <w:rFonts w:ascii="Arial" w:cs="Arial" w:eastAsia="Arial" w:hAnsi="Arial"/>
                <w:sz w:val="17"/>
                <w:szCs w:val="17"/>
                <w:b w:val="1"/>
                <w:bCs w:val="1"/>
                <w:color w:val="auto"/>
              </w:rPr>
              <w:t>DATE (PERIOD</w:t>
            </w: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60" w:type="dxa"/>
            <w:vAlign w:val="bottom"/>
            <w:gridSpan w:val="10"/>
          </w:tcPr>
          <w:p>
            <w:pPr>
              <w:ind w:left="20"/>
              <w:spacing w:after="0" w:line="192" w:lineRule="exact"/>
              <w:rPr>
                <w:sz w:val="20"/>
                <w:szCs w:val="20"/>
                <w:color w:val="auto"/>
              </w:rPr>
            </w:pPr>
            <w:r>
              <w:rPr>
                <w:rFonts w:ascii="Arial" w:cs="Arial" w:eastAsia="Arial" w:hAnsi="Arial"/>
                <w:sz w:val="17"/>
                <w:szCs w:val="17"/>
                <w:b w:val="1"/>
                <w:bCs w:val="1"/>
                <w:color w:val="auto"/>
              </w:rPr>
              <w:t>FAIR MARKET VALUE OF CLASS A ORDINARY SHARES</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340" w:type="dxa"/>
            <w:vAlign w:val="bottom"/>
            <w:vMerge w:val="restart"/>
          </w:tcPr>
          <w:p>
            <w:pPr>
              <w:spacing w:after="0" w:line="186" w:lineRule="exact"/>
              <w:rPr>
                <w:sz w:val="20"/>
                <w:szCs w:val="20"/>
                <w:color w:val="auto"/>
              </w:rPr>
            </w:pPr>
            <w:r>
              <w:rPr>
                <w:rFonts w:ascii="Arial" w:cs="Arial" w:eastAsia="Arial" w:hAnsi="Arial"/>
                <w:sz w:val="17"/>
                <w:szCs w:val="17"/>
                <w:b w:val="1"/>
                <w:bCs w:val="1"/>
                <w:color w:val="auto"/>
                <w:w w:val="99"/>
              </w:rPr>
              <w:t>TO EXPIRATION</w:t>
            </w:r>
          </w:p>
        </w:tc>
        <w:tc>
          <w:tcPr>
            <w:tcW w:w="13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3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9"/>
              </w:rPr>
              <w:t>OF WARRANTS)</w:t>
            </w:r>
          </w:p>
        </w:tc>
        <w:tc>
          <w:tcPr>
            <w:tcW w:w="216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b w:val="1"/>
                <w:bCs w:val="1"/>
                <w:color w:val="auto"/>
              </w:rPr>
              <w:t>$10.00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$11.00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$12.00</w:t>
            </w:r>
          </w:p>
        </w:tc>
        <w:tc>
          <w:tcPr>
            <w:tcW w:w="18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$13.00</w:t>
            </w:r>
          </w:p>
        </w:tc>
        <w:tc>
          <w:tcPr>
            <w:tcW w:w="200" w:type="dxa"/>
            <w:vAlign w:val="bottom"/>
          </w:tcPr>
          <w:p>
            <w:pPr>
              <w:spacing w:after="0"/>
              <w:rPr>
                <w:sz w:val="20"/>
                <w:szCs w:val="20"/>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$14.00</w:t>
            </w: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$15.00</w:t>
            </w:r>
          </w:p>
        </w:tc>
        <w:tc>
          <w:tcPr>
            <w:tcW w:w="20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$16.00</w:t>
            </w:r>
          </w:p>
        </w:tc>
        <w:tc>
          <w:tcPr>
            <w:tcW w:w="200" w:type="dxa"/>
            <w:vAlign w:val="bottom"/>
          </w:tcPr>
          <w:p>
            <w:pPr>
              <w:spacing w:after="0"/>
              <w:rPr>
                <w:sz w:val="20"/>
                <w:szCs w:val="20"/>
                <w:color w:val="auto"/>
              </w:rPr>
            </w:pPr>
          </w:p>
        </w:tc>
        <w:tc>
          <w:tcPr>
            <w:tcW w:w="780" w:type="dxa"/>
            <w:vAlign w:val="bottom"/>
          </w:tcPr>
          <w:p>
            <w:pPr>
              <w:jc w:val="right"/>
              <w:ind w:right="95"/>
              <w:spacing w:after="0"/>
              <w:rPr>
                <w:sz w:val="20"/>
                <w:szCs w:val="20"/>
                <w:color w:val="auto"/>
              </w:rPr>
            </w:pPr>
            <w:r>
              <w:rPr>
                <w:rFonts w:ascii="Arial" w:cs="Arial" w:eastAsia="Arial" w:hAnsi="Arial"/>
                <w:sz w:val="14"/>
                <w:szCs w:val="14"/>
                <w:b w:val="1"/>
                <w:bCs w:val="1"/>
                <w:color w:val="auto"/>
              </w:rPr>
              <w:t>$17.00</w:t>
            </w:r>
          </w:p>
        </w:tc>
        <w:tc>
          <w:tcPr>
            <w:tcW w:w="180" w:type="dxa"/>
            <w:vAlign w:val="bottom"/>
          </w:tcPr>
          <w:p>
            <w:pPr>
              <w:spacing w:after="0"/>
              <w:rPr>
                <w:sz w:val="20"/>
                <w:szCs w:val="20"/>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³</w:t>
            </w:r>
            <w:r>
              <w:rPr>
                <w:rFonts w:ascii="Arial" w:cs="Arial" w:eastAsia="Arial" w:hAnsi="Arial"/>
                <w:sz w:val="14"/>
                <w:szCs w:val="14"/>
                <w:b w:val="1"/>
                <w:bCs w:val="1"/>
                <w:color w:val="auto"/>
              </w:rPr>
              <w:t>$18.00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3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60 months</w:t>
            </w:r>
          </w:p>
        </w:tc>
        <w:tc>
          <w:tcPr>
            <w:tcW w:w="13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0.261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0.281</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0.297</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0.311</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0.324</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0.337</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340"/>
              <w:spacing w:after="0" w:line="176" w:lineRule="exact"/>
              <w:rPr>
                <w:sz w:val="20"/>
                <w:szCs w:val="20"/>
                <w:color w:val="auto"/>
              </w:rPr>
            </w:pPr>
            <w:r>
              <w:rPr>
                <w:rFonts w:ascii="Arial" w:cs="Arial" w:eastAsia="Arial" w:hAnsi="Arial"/>
                <w:sz w:val="17"/>
                <w:szCs w:val="17"/>
                <w:color w:val="auto"/>
                <w:w w:val="93"/>
              </w:rPr>
              <w:t>0.348</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0.358</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0.277</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0.310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0.348</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0.358</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0.307</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0.347</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51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0.287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0.304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0.241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0.301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0.344</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45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0.235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0.315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0.343</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0.274</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0.294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0.342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0.221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0.246</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0.269</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0.325</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0.340</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0.354</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0.263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0.285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0.205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0.257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0.280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0.301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0.320</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30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0.196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0.224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0.274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0.297</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0.316</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0.335</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0.351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27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0.185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0.214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0.242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0.268</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0.332</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0.350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24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0.173</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0.204</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0.260</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0.285</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0.308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0.329</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0.348</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21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0.161</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0.193</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0.223</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0.252</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0.279</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0.304</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0.326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0.347</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18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0.242</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0.271</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0.298</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0.322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0.345</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15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0.130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0.230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0.262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0.291</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0.317</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0.342</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12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0.111</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0.146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0.181</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0.216</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0.250</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0.282</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0.312</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0.339</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9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0.090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0.125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0.162</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0.199</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0.237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0.272</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0.305</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0.336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6 months</w:t>
            </w:r>
          </w:p>
        </w:tc>
        <w:tc>
          <w:tcPr>
            <w:tcW w:w="234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0.099</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0.137</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0.178</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0.219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0.259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0.296</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0.331</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tcPr>
          <w:p>
            <w:pPr>
              <w:spacing w:after="0" w:line="189" w:lineRule="exact"/>
              <w:rPr>
                <w:sz w:val="20"/>
                <w:szCs w:val="20"/>
                <w:color w:val="auto"/>
              </w:rPr>
            </w:pPr>
            <w:r>
              <w:rPr>
                <w:rFonts w:ascii="Arial" w:cs="Arial" w:eastAsia="Arial" w:hAnsi="Arial"/>
                <w:sz w:val="17"/>
                <w:szCs w:val="17"/>
                <w:color w:val="auto"/>
              </w:rPr>
              <w:t>3 months</w:t>
            </w:r>
          </w:p>
        </w:tc>
        <w:tc>
          <w:tcPr>
            <w:tcW w:w="234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0.034</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0.065</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0.104</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0.150</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0.197</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0.243</w:t>
            </w:r>
          </w:p>
        </w:tc>
        <w:tc>
          <w:tcPr>
            <w:tcW w:w="9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0.286</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0.326</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r>
        <w:trPr>
          <w:trHeight w:val="189"/>
        </w:trPr>
        <w:tc>
          <w:tcPr>
            <w:tcW w:w="1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0 months</w:t>
            </w:r>
          </w:p>
        </w:tc>
        <w:tc>
          <w:tcPr>
            <w:tcW w:w="1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0.042</w:t>
            </w: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0.115</w:t>
            </w:r>
          </w:p>
        </w:tc>
        <w:tc>
          <w:tcPr>
            <w:tcW w:w="9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0.179</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0.233</w:t>
            </w:r>
          </w:p>
        </w:tc>
        <w:tc>
          <w:tcPr>
            <w:tcW w:w="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0.281</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0.323</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0.361</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volume-weighted average price of our Class A ordinary shares during the 10 trading days immediately following the date on which the notice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0.361 Class A ordinary shares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Class A ordinary shares.</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redemption feature differs from the typical warrant redemption features used in many other blank check company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No fractional Class A ordinary shares will be issued upon exercise. If, upon exercise, a holder would be entitled to receive a fractional interest in a share, we will round down to the nearest whole number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procedures.</w:t>
      </w:r>
    </w:p>
    <w:p>
      <w:pPr>
        <w:spacing w:after="0" w:line="3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outstanding immediately after giving effect to such exercise.</w:t>
      </w:r>
    </w:p>
    <w:p>
      <w:pPr>
        <w:spacing w:after="0" w:line="119"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ordinary shares is increased by a share capitalization payable in Class A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by a sub-division of ordinary shares or other similar event, then, on the effective date of such share capitalization, sub-division or similar event, the number of Class A ordinary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455"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w:t>
      </w:r>
    </w:p>
    <w:p>
      <w:pPr>
        <w:spacing w:after="0" w:line="3" w:lineRule="exact"/>
        <w:rPr>
          <w:sz w:val="20"/>
          <w:szCs w:val="20"/>
          <w:color w:val="auto"/>
        </w:rPr>
      </w:pPr>
    </w:p>
    <w:p>
      <w:pPr>
        <w:ind w:right="160" w:firstLine="8"/>
        <w:spacing w:after="0" w:line="248" w:lineRule="auto"/>
        <w:tabs>
          <w:tab w:leader="none" w:pos="35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trading day period ending on the trading day prior to the first date on which the Class A ordinary shares trade on the applicable exchange or in the applicable market, regular way, without the right to receive such rights.</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2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If the number of outstanding Class A ordinary shares is decreased by a consolidation, combination, reverse share sub-division or reclassification of Class A ordinary shares or other similar event, then, on the effective date of such consolidation, combination, reverse share sub-division, reclassification or similar event, the number of Class A ordinary shares issuable on exercise of each warrant will be decreased in proportion to such decrease in outstanding Class A ordinary shares.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if (x) we issue additional Class A ordinary shares or equity-linked securities for capital raising purposes in connection with the closing of our initial business combination at a Newly Issued Price of less than $9.20 per Class A ordinary share,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of our Class A ordinary shares is below $9.20 per share, then the exercise price of the warrants will be adjusted (to the nearest cent) to be equal to 115% of the higher of the Market Value and the Newly Issued Price, the $18.00 per share redemption trigger prices described above under “Description of Securities—Warrants— 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above under “Description of Securities—Warrants— Public Warrants—Redemption of warrants when the price per Class A ordinary share equals or exceeds $10.00” will be adjusted (to the nearest cent) to be equal to the higher of the Market Value and the Newly Issued Price.</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3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w:t>
      </w:r>
    </w:p>
    <w:p>
      <w:pPr>
        <w:spacing w:after="0" w:line="1" w:lineRule="exact"/>
        <w:rPr>
          <w:sz w:val="20"/>
          <w:szCs w:val="20"/>
          <w:color w:val="auto"/>
        </w:rPr>
      </w:pPr>
    </w:p>
    <w:p>
      <w:pPr>
        <w:ind w:right="40" w:firstLine="8"/>
        <w:spacing w:after="0" w:line="234" w:lineRule="auto"/>
        <w:tabs>
          <w:tab w:leader="none" w:pos="199"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curing any ambiguity or to correct any defective provision or mistake, including to conform the provisions of the warrant agreement to the description of the terms of the warrants and the warrant agreement set forth in this prospectus, (ii) adjusting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approval by the holders of at least 50% of the then-outstanding public warrants is required to make any change that adversely affects the interests of the registered holders of public warrants, and, solely with respect to any amendment to the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private placement warrants (including the Class A ordinary shares issuable upon exercise of such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members of our sponsor or their permitted transferees, except as described above under “</w:t>
      </w:r>
      <w:r>
        <w:rPr>
          <w:rFonts w:ascii="Arial" w:cs="Arial" w:eastAsia="Arial" w:hAnsi="Arial"/>
          <w:sz w:val="17"/>
          <w:szCs w:val="17"/>
          <w:i w:val="1"/>
          <w:iCs w:val="1"/>
          <w:color w:val="auto"/>
        </w:rPr>
        <w:t>—Warrants—Public Warrants—Redemption of warrants when the price per Class A ordinary share</w:t>
      </w:r>
      <w:r>
        <w:rPr>
          <w:rFonts w:ascii="Arial" w:cs="Arial" w:eastAsia="Arial" w:hAnsi="Arial"/>
          <w:sz w:val="17"/>
          <w:szCs w:val="17"/>
          <w:color w:val="auto"/>
        </w:rPr>
        <w:t xml:space="preserve"> </w:t>
      </w:r>
      <w:r>
        <w:rPr>
          <w:rFonts w:ascii="Arial" w:cs="Arial" w:eastAsia="Arial" w:hAnsi="Arial"/>
          <w:sz w:val="17"/>
          <w:szCs w:val="17"/>
          <w:i w:val="1"/>
          <w:iCs w:val="1"/>
          <w:color w:val="auto"/>
        </w:rPr>
        <w:t>equals or exceeds $10.00</w:t>
      </w:r>
      <w:r>
        <w:rPr>
          <w:rFonts w:ascii="Arial" w:cs="Arial" w:eastAsia="Arial" w:hAnsi="Arial"/>
          <w:sz w:val="17"/>
          <w:szCs w:val="17"/>
          <w:color w:val="auto"/>
        </w:rPr>
        <w:t>”. The sponsor or its permitted transferees, have the option to exercise the private placement warrants on a cashless</w:t>
      </w:r>
      <w:r>
        <w:rPr>
          <w:rFonts w:ascii="Arial" w:cs="Arial" w:eastAsia="Arial" w:hAnsi="Arial"/>
          <w:sz w:val="17"/>
          <w:szCs w:val="17"/>
          <w:i w:val="1"/>
          <w:iCs w:val="1"/>
          <w:color w:val="auto"/>
        </w:rPr>
        <w:t xml:space="preserve"> </w:t>
      </w:r>
      <w:r>
        <w:rPr>
          <w:rFonts w:ascii="Arial" w:cs="Arial" w:eastAsia="Arial" w:hAnsi="Arial"/>
          <w:sz w:val="17"/>
          <w:szCs w:val="17"/>
          <w:color w:val="auto"/>
        </w:rPr>
        <w:t>basis. Except as described below, the private placement warrants have terms and provisions that are identical to those of the warrants being sold as part of the units in this offering.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Except as described above under “</w:t>
      </w:r>
      <w:r>
        <w:rPr>
          <w:rFonts w:ascii="Arial" w:cs="Arial" w:eastAsia="Arial" w:hAnsi="Arial"/>
          <w:sz w:val="17"/>
          <w:szCs w:val="17"/>
          <w:i w:val="1"/>
          <w:iCs w:val="1"/>
          <w:color w:val="auto"/>
        </w:rPr>
        <w:t>—Warrants—Public Warrants—Redemption of warrants when the price per Class A ordinary share equals or</w:t>
      </w:r>
      <w:r>
        <w:rPr>
          <w:rFonts w:ascii="Arial" w:cs="Arial" w:eastAsia="Arial" w:hAnsi="Arial"/>
          <w:sz w:val="17"/>
          <w:szCs w:val="17"/>
          <w:color w:val="auto"/>
        </w:rPr>
        <w:t xml:space="preserve"> </w:t>
      </w:r>
      <w:r>
        <w:rPr>
          <w:rFonts w:ascii="Arial" w:cs="Arial" w:eastAsia="Arial" w:hAnsi="Arial"/>
          <w:sz w:val="17"/>
          <w:szCs w:val="17"/>
          <w:i w:val="1"/>
          <w:iCs w:val="1"/>
          <w:color w:val="auto"/>
        </w:rPr>
        <w:t>exceeds $10.00,</w:t>
      </w:r>
      <w:r>
        <w:rPr>
          <w:rFonts w:ascii="Arial" w:cs="Arial" w:eastAsia="Arial" w:hAnsi="Arial"/>
          <w:sz w:val="17"/>
          <w:szCs w:val="17"/>
          <w:color w:val="auto"/>
        </w:rPr>
        <w:t>” if holders of the private placement warrants elect to exercise them on a cashless basis, they would pay the exercise price by</w:t>
      </w:r>
      <w:r>
        <w:rPr>
          <w:rFonts w:ascii="Arial" w:cs="Arial" w:eastAsia="Arial" w:hAnsi="Arial"/>
          <w:sz w:val="17"/>
          <w:szCs w:val="17"/>
          <w:i w:val="1"/>
          <w:iCs w:val="1"/>
          <w:color w:val="auto"/>
        </w:rPr>
        <w:t xml:space="preserve"> </w:t>
      </w:r>
      <w:r>
        <w:rPr>
          <w:rFonts w:ascii="Arial" w:cs="Arial" w:eastAsia="Arial" w:hAnsi="Arial"/>
          <w:sz w:val="17"/>
          <w:szCs w:val="17"/>
          <w:color w:val="auto"/>
        </w:rPr>
        <w:t>surrendering his, her or its warrants for that number of Class A ordinary shares equal to the quotient obtained by dividing (x) the product of the number of Class A ordinary shares underlying the warrants, multiplied by the excess of the “</w:t>
      </w:r>
      <w:r>
        <w:rPr>
          <w:rFonts w:ascii="Arial" w:cs="Arial" w:eastAsia="Arial" w:hAnsi="Arial"/>
          <w:sz w:val="17"/>
          <w:szCs w:val="17"/>
          <w:b w:val="1"/>
          <w:bCs w:val="1"/>
          <w:color w:val="auto"/>
        </w:rPr>
        <w:t>fair market value</w:t>
      </w:r>
      <w:r>
        <w:rPr>
          <w:rFonts w:ascii="Arial" w:cs="Arial" w:eastAsia="Arial" w:hAnsi="Arial"/>
          <w:sz w:val="17"/>
          <w:szCs w:val="17"/>
          <w:color w:val="auto"/>
        </w:rPr>
        <w:t>” of our Class A ordinary shares (defined below) over the exercise price of the warrants by (y) the fair market value. The “</w:t>
      </w:r>
      <w:r>
        <w:rPr>
          <w:rFonts w:ascii="Arial" w:cs="Arial" w:eastAsia="Arial" w:hAnsi="Arial"/>
          <w:sz w:val="17"/>
          <w:szCs w:val="17"/>
          <w:b w:val="1"/>
          <w:bCs w:val="1"/>
          <w:color w:val="auto"/>
        </w:rPr>
        <w:t>fair market value</w:t>
      </w:r>
      <w:r>
        <w:rPr>
          <w:rFonts w:ascii="Arial" w:cs="Arial" w:eastAsia="Arial" w:hAnsi="Arial"/>
          <w:sz w:val="17"/>
          <w:szCs w:val="17"/>
          <w:color w:val="auto"/>
        </w:rPr>
        <w:t>” will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3"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or a share repurchase or redemption or other appropriate mechanism, as applicable, with respect to our founder shares immediately prior to the consummation of the offering in such amount as to maintain the number of founder shares at 20.0% of our issued and outstanding ordinary shares upon the consummation of this offering. Further, if we incur any indebtedness, our ability to declare dividends may be limited by restrictive covenants we may agree to in connection therewith.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6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60" w:lineRule="exact"/>
        <w:rPr>
          <w:sz w:val="20"/>
          <w:szCs w:val="20"/>
          <w:color w:val="auto"/>
        </w:rPr>
      </w:pPr>
    </w:p>
    <w:p>
      <w:pPr>
        <w:ind w:right="540"/>
        <w:spacing w:after="0" w:line="246" w:lineRule="auto"/>
        <w:rPr>
          <w:sz w:val="20"/>
          <w:szCs w:val="20"/>
          <w:color w:val="auto"/>
        </w:rPr>
      </w:pPr>
      <w:r>
        <w:rPr>
          <w:rFonts w:ascii="Arial" w:cs="Arial" w:eastAsia="Arial" w:hAnsi="Arial"/>
          <w:sz w:val="17"/>
          <w:szCs w:val="17"/>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In certain circumstances, the Companies Law allows for mergers or consolidations between two Cayman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companies, or between a Cayman Islands exempted company and a company incorporated in another jurisdiction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is facilitated by the laws of that other jurisdiction).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20"/>
          </w:cols>
          <w:pgMar w:left="320" w:top="455" w:right="3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 xml:space="preserve">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value of the voting shares voted at a general meeting) of the shareholders of each company; or</w:t>
      </w:r>
    </w:p>
    <w:p>
      <w:pPr>
        <w:ind w:right="20" w:firstLine="8"/>
        <w:spacing w:after="0" w:line="236" w:lineRule="auto"/>
        <w:tabs>
          <w:tab w:leader="none" w:pos="256"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(iv) that no scheme, order, compromise or other similar arrangement has been entered into or made in any jurisdiction whereby the rights of creditors of the foreign company are and continue to be suspended or restricted.</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w:t>
      </w:r>
    </w:p>
    <w:p>
      <w:pPr>
        <w:spacing w:after="0" w:line="1" w:lineRule="exact"/>
        <w:rPr>
          <w:sz w:val="20"/>
          <w:szCs w:val="20"/>
          <w:color w:val="auto"/>
        </w:rPr>
      </w:pPr>
    </w:p>
    <w:p>
      <w:pPr>
        <w:ind w:right="20" w:firstLine="8"/>
        <w:spacing w:after="0" w:line="234" w:lineRule="auto"/>
        <w:tabs>
          <w:tab w:leader="none" w:pos="256"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00"/>
          </w:cols>
          <w:pgMar w:left="320" w:top="455" w:right="3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62" w:lineRule="exact"/>
        <w:rPr>
          <w:sz w:val="20"/>
          <w:szCs w:val="20"/>
          <w:color w:val="auto"/>
        </w:rPr>
      </w:pPr>
    </w:p>
    <w:p>
      <w:pPr>
        <w:ind w:left="880" w:right="120" w:hanging="427"/>
        <w:spacing w:after="0" w:line="257" w:lineRule="auto"/>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we are not proposing to act illegally or beyond the scope of our corporate authority and the statutory provisions as to majority vote have been complied with;</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shareholders have been fairly represented at the meeting in question;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arrangement is such as a businessman would reasonably approve; and</w:t>
      </w:r>
    </w:p>
    <w:p>
      <w:pPr>
        <w:spacing w:after="0" w:line="34" w:lineRule="exact"/>
        <w:rPr>
          <w:rFonts w:ascii="MS PGothic" w:cs="MS PGothic" w:eastAsia="MS PGothic" w:hAnsi="MS PGothic"/>
          <w:sz w:val="13"/>
          <w:szCs w:val="13"/>
          <w:color w:val="auto"/>
        </w:rPr>
      </w:pPr>
    </w:p>
    <w:p>
      <w:pPr>
        <w:ind w:left="880" w:right="360" w:hanging="427"/>
        <w:spacing w:after="0" w:line="273" w:lineRule="auto"/>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arrangement is not one that would more properly be sanctioned under some other provision of the Companies Law or that would amount to a “fraud on the minority.”</w:t>
      </w:r>
    </w:p>
    <w:p>
      <w:pPr>
        <w:spacing w:after="0" w:line="94"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Squeeze-out Provisions. </w:t>
      </w:r>
      <w:r>
        <w:rPr>
          <w:rFonts w:ascii="Arial" w:cs="Arial" w:eastAsia="Arial" w:hAnsi="Arial"/>
          <w:sz w:val="17"/>
          <w:szCs w:val="17"/>
          <w:color w:val="auto"/>
        </w:rPr>
        <w:t>When a takeover offer is made and accepted by holders of 90% of the shares to whom the offer relates is made within four</w:t>
      </w:r>
      <w:r>
        <w:rPr>
          <w:rFonts w:ascii="Arial" w:cs="Arial" w:eastAsia="Arial" w:hAnsi="Arial"/>
          <w:sz w:val="17"/>
          <w:szCs w:val="17"/>
          <w:i w:val="1"/>
          <w:iCs w:val="1"/>
          <w:color w:val="auto"/>
        </w:rPr>
        <w:t xml:space="preserve"> </w:t>
      </w:r>
      <w:r>
        <w:rPr>
          <w:rFonts w:ascii="Arial" w:cs="Arial" w:eastAsia="Arial" w:hAnsi="Arial"/>
          <w:sz w:val="17"/>
          <w:szCs w:val="17"/>
          <w:color w:val="auto"/>
        </w:rPr>
        <w:t>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111"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auto"/>
        </w:rPr>
        <w:t xml:space="preserve">Shareholders’ Suits. </w:t>
      </w:r>
      <w:r>
        <w:rPr>
          <w:rFonts w:ascii="Arial" w:cs="Arial" w:eastAsia="Arial" w:hAnsi="Arial"/>
          <w:sz w:val="17"/>
          <w:szCs w:val="17"/>
          <w:color w:val="auto"/>
        </w:rPr>
        <w:t>Maples and Calder, our Cayman Islands legal counsel, is not aware of any reported class action having been brought in a</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64" w:lineRule="exact"/>
        <w:rPr>
          <w:sz w:val="20"/>
          <w:szCs w:val="20"/>
          <w:color w:val="auto"/>
        </w:rPr>
      </w:pPr>
    </w:p>
    <w:p>
      <w:pPr>
        <w:ind w:left="5480" w:right="3900" w:hanging="5027"/>
        <w:spacing w:after="0" w:line="455" w:lineRule="auto"/>
        <w:tabs>
          <w:tab w:leader="none" w:pos="877"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 xml:space="preserve">a company is acting, or proposing to act, illegally or beyond the scope of its authority; </w:t>
      </w:r>
      <w:r>
        <w:rPr>
          <w:rFonts w:ascii="Arial" w:cs="Arial" w:eastAsia="Arial" w:hAnsi="Arial"/>
          <w:sz w:val="16"/>
          <w:szCs w:val="16"/>
          <w:color w:val="auto"/>
        </w:rPr>
        <w:t>132</w:t>
      </w:r>
    </w:p>
    <w:p>
      <w:pPr>
        <w:sectPr>
          <w:pgSz w:w="11900" w:h="16838" w:orient="portrait"/>
          <w:cols w:equalWidth="0" w:num="1">
            <w:col w:w="11220"/>
          </w:cols>
          <w:pgMar w:left="320" w:top="455"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60" w:hanging="427"/>
        <w:spacing w:after="0" w:line="257" w:lineRule="auto"/>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those who control the company are perpetrating a “fraud on the minority.”</w:t>
      </w:r>
    </w:p>
    <w:p>
      <w:pPr>
        <w:spacing w:after="0" w:line="154"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A shareholder may have a direct right of action against us where the individual rights of that shareholder have been infringed or are about to be infringed.</w:t>
      </w:r>
    </w:p>
    <w:p>
      <w:pPr>
        <w:spacing w:after="0" w:line="9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 compared to the United States and provides less</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to investors. Additionally, Cayman Islands companies may not have standing to sue before the Federal courts of the United States.</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have been advised by Maples and Calder,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 (meaning our public shareholders have no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w:t>
      </w:r>
    </w:p>
    <w:p>
      <w:pPr>
        <w:spacing w:after="0" w:line="162" w:lineRule="exact"/>
        <w:rPr>
          <w:sz w:val="20"/>
          <w:szCs w:val="20"/>
          <w:color w:val="auto"/>
        </w:rPr>
      </w:pPr>
    </w:p>
    <w:p>
      <w:pPr>
        <w:ind w:left="880" w:right="440" w:hanging="427"/>
        <w:spacing w:after="0" w:line="257"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company’s register of members is not open to inspection;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does not have to hold an annual general meeting;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may issue negotiable or bearer shares or shares with no par value;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may obtain an undertaking against the imposition of any future taxation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(such undertakings are usually given for 20 years in the first instance);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by way of continuation in another jurisdiction and be deregistered in the Cayman Islands;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limited duration company;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 exempted company may register as a segregated portfolio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7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Business Combination Article of our amended and restated memorandum and articles of association contains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either (i) at least two-thirds (or any higher threshold specified in a company’s articles of association) of a company’s shareholders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(i.e., the lowest threshold permissible under Cayman Islands law), or by a unanimous written resolution of all of our shareholders.</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initial shareholders,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157" w:lineRule="exact"/>
        <w:rPr>
          <w:sz w:val="20"/>
          <w:szCs w:val="20"/>
          <w:color w:val="auto"/>
        </w:rPr>
      </w:pPr>
    </w:p>
    <w:p>
      <w:pPr>
        <w:ind w:left="880" w:right="140" w:hanging="427"/>
        <w:spacing w:after="0" w:line="237"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5"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on our initial business combination;</w:t>
      </w:r>
    </w:p>
    <w:p>
      <w:pPr>
        <w:spacing w:after="0" w:line="1" w:lineRule="exact"/>
        <w:rPr>
          <w:rFonts w:ascii="MS PGothic" w:cs="MS PGothic" w:eastAsia="MS PGothic" w:hAnsi="MS PGothic"/>
          <w:sz w:val="13"/>
          <w:szCs w:val="13"/>
          <w:color w:val="auto"/>
        </w:rPr>
      </w:pPr>
    </w:p>
    <w:p>
      <w:pPr>
        <w:ind w:left="880" w:right="140" w:hanging="427"/>
        <w:spacing w:after="0" w:line="244"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Although we do not intend to enter into a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1" w:lineRule="exact"/>
        <w:rPr>
          <w:rFonts w:ascii="MS PGothic" w:cs="MS PGothic" w:eastAsia="MS PGothic" w:hAnsi="MS PGothic"/>
          <w:sz w:val="13"/>
          <w:szCs w:val="13"/>
          <w:color w:val="auto"/>
        </w:rPr>
      </w:pPr>
    </w:p>
    <w:p>
      <w:pPr>
        <w:ind w:left="880" w:right="80" w:hanging="427"/>
        <w:spacing w:after="0" w:line="241"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4" w:lineRule="exact"/>
        <w:rPr>
          <w:rFonts w:ascii="MS PGothic" w:cs="MS PGothic" w:eastAsia="MS PGothic" w:hAnsi="MS PGothic"/>
          <w:sz w:val="13"/>
          <w:szCs w:val="13"/>
          <w:color w:val="auto"/>
        </w:rPr>
      </w:pPr>
    </w:p>
    <w:p>
      <w:pPr>
        <w:ind w:left="880" w:right="80" w:hanging="427"/>
        <w:spacing w:after="0" w:line="238"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material provisions relating to shareholders’ rights or pre-initial business combination activity, we will provide our public shareholders with the opportunity to redeem all or a portion of their Class A ordinary shares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and on the conditions described herein;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154"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In addition, our amended and restated memorandum and articles of association provide we will not redeem our public shares in an amount that would cause our net tangible assets to be less than $5,000,001. We may, however, raise funds through the issuance of equity-linked securities or through loans, advances or other indebtedness in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00"/>
          </w:cols>
          <w:pgMar w:left="320" w:top="455" w:right="3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connection with our initial business combination, including pursuant to forward purchase agreements or backstop arrangements we may enter into following consummation of this offering, in order to, among other reasons, satisfy such net tangible assets requirement.</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1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w:t>
      </w:r>
      <w:r>
        <w:rPr>
          <w:rFonts w:ascii="Arial" w:cs="Arial" w:eastAsia="Arial" w:hAnsi="Arial"/>
          <w:sz w:val="17"/>
          <w:szCs w:val="17"/>
          <w:b w:val="1"/>
          <w:bCs w:val="1"/>
          <w:color w:val="auto"/>
        </w:rPr>
        <w:t>Regulations</w:t>
      </w:r>
      <w:r>
        <w:rPr>
          <w:rFonts w:ascii="Arial" w:cs="Arial" w:eastAsia="Arial" w:hAnsi="Arial"/>
          <w:sz w:val="17"/>
          <w:szCs w:val="17"/>
          <w:color w:val="auto"/>
        </w:rPr>
        <w:t>”). Depending on the circumstances of each application, a detailed verification of identity might not be required where:</w:t>
      </w:r>
    </w:p>
    <w:p>
      <w:pPr>
        <w:spacing w:after="0" w:line="157" w:lineRule="exact"/>
        <w:rPr>
          <w:sz w:val="20"/>
          <w:szCs w:val="20"/>
          <w:color w:val="auto"/>
        </w:rPr>
      </w:pPr>
    </w:p>
    <w:p>
      <w:pPr>
        <w:ind w:left="900" w:right="800" w:hanging="447"/>
        <w:spacing w:after="0" w:line="257"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1" w:lineRule="exact"/>
        <w:rPr>
          <w:rFonts w:ascii="Arial" w:cs="Arial" w:eastAsia="Arial" w:hAnsi="Arial"/>
          <w:sz w:val="17"/>
          <w:szCs w:val="17"/>
          <w:color w:val="auto"/>
        </w:rPr>
      </w:pPr>
    </w:p>
    <w:p>
      <w:pPr>
        <w:ind w:left="900" w:right="20" w:hanging="447"/>
        <w:spacing w:after="0" w:line="25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subscriber is regulated by a recognized regulatory authority and is based or incorporated in, or formed under the law of, a recognized jurisdiction; or</w:t>
      </w:r>
    </w:p>
    <w:p>
      <w:pPr>
        <w:spacing w:after="0" w:line="1" w:lineRule="exact"/>
        <w:rPr>
          <w:rFonts w:ascii="Arial" w:cs="Arial" w:eastAsia="Arial" w:hAnsi="Arial"/>
          <w:sz w:val="17"/>
          <w:szCs w:val="17"/>
          <w:color w:val="auto"/>
        </w:rPr>
      </w:pPr>
    </w:p>
    <w:p>
      <w:pPr>
        <w:ind w:left="900" w:right="160" w:hanging="447"/>
        <w:spacing w:after="0" w:line="252"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12"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1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Data Protection</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 have certain duties under the Data Protection Law, 2017 of the Cayman Islands (the “</w:t>
      </w:r>
      <w:r>
        <w:rPr>
          <w:rFonts w:ascii="Arial" w:cs="Arial" w:eastAsia="Arial" w:hAnsi="Arial"/>
          <w:sz w:val="17"/>
          <w:szCs w:val="17"/>
          <w:b w:val="1"/>
          <w:bCs w:val="1"/>
          <w:color w:val="auto"/>
        </w:rPr>
        <w:t>DPL</w:t>
      </w:r>
      <w:r>
        <w:rPr>
          <w:rFonts w:ascii="Arial" w:cs="Arial" w:eastAsia="Arial" w:hAnsi="Arial"/>
          <w:sz w:val="17"/>
          <w:szCs w:val="17"/>
          <w:color w:val="auto"/>
        </w:rPr>
        <w:t>”) based on internationally accepted principles of data privacy.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Notice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60"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This privacy notice puts our shareholders on notice that through your investment in the company you will provide us with certain personal information which constitutes personal data within the meaning of the DPL (“</w:t>
      </w:r>
      <w:r>
        <w:rPr>
          <w:rFonts w:ascii="Arial" w:cs="Arial" w:eastAsia="Arial" w:hAnsi="Arial"/>
          <w:sz w:val="17"/>
          <w:szCs w:val="17"/>
          <w:b w:val="1"/>
          <w:bCs w:val="1"/>
          <w:color w:val="auto"/>
        </w:rPr>
        <w:t>personal data</w:t>
      </w:r>
      <w:r>
        <w:rPr>
          <w:rFonts w:ascii="Arial" w:cs="Arial" w:eastAsia="Arial" w:hAnsi="Arial"/>
          <w:sz w:val="17"/>
          <w:szCs w:val="17"/>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discussion, the “</w:t>
      </w:r>
      <w:r>
        <w:rPr>
          <w:rFonts w:ascii="Arial" w:cs="Arial" w:eastAsia="Arial" w:hAnsi="Arial"/>
          <w:sz w:val="17"/>
          <w:szCs w:val="17"/>
          <w:b w:val="1"/>
          <w:bCs w:val="1"/>
          <w:color w:val="auto"/>
        </w:rPr>
        <w:t>company</w:t>
      </w:r>
      <w:r>
        <w:rPr>
          <w:rFonts w:ascii="Arial" w:cs="Arial" w:eastAsia="Arial" w:hAnsi="Arial"/>
          <w:sz w:val="17"/>
          <w:szCs w:val="17"/>
          <w:color w:val="auto"/>
        </w:rPr>
        <w:t>” refers to us and our affiliates and/or delegates, except where the context requires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Data</w:t>
      </w:r>
    </w:p>
    <w:p>
      <w:pPr>
        <w:spacing w:after="0" w:line="73"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this Affects</w:t>
      </w:r>
    </w:p>
    <w:p>
      <w:pPr>
        <w:spacing w:after="0" w:line="6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May Use Your Personal Data</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company, as the data controller, may collect, store and use personal data for lawful purposes, including, in particular:</w:t>
      </w:r>
    </w:p>
    <w:p>
      <w:pPr>
        <w:spacing w:after="0" w:line="196" w:lineRule="exact"/>
        <w:rPr>
          <w:sz w:val="20"/>
          <w:szCs w:val="20"/>
          <w:color w:val="auto"/>
        </w:rPr>
      </w:pPr>
    </w:p>
    <w:p>
      <w:pPr>
        <w:ind w:left="900" w:hanging="447"/>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where this is necessary for the performance of our rights and obligations under any purchase agreements;</w:t>
      </w:r>
    </w:p>
    <w:p>
      <w:pPr>
        <w:spacing w:after="0" w:line="35" w:lineRule="exact"/>
        <w:rPr>
          <w:rFonts w:ascii="Arial" w:cs="Arial" w:eastAsia="Arial" w:hAnsi="Arial"/>
          <w:sz w:val="17"/>
          <w:szCs w:val="17"/>
          <w:color w:val="auto"/>
        </w:rPr>
      </w:pPr>
    </w:p>
    <w:p>
      <w:pPr>
        <w:ind w:left="900" w:right="420" w:hanging="447"/>
        <w:spacing w:after="0" w:line="256"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1" w:lineRule="exact"/>
        <w:rPr>
          <w:rFonts w:ascii="Arial" w:cs="Arial" w:eastAsia="Arial" w:hAnsi="Arial"/>
          <w:sz w:val="17"/>
          <w:szCs w:val="17"/>
          <w:color w:val="auto"/>
        </w:rPr>
      </w:pPr>
    </w:p>
    <w:p>
      <w:pPr>
        <w:ind w:left="900" w:right="120" w:hanging="447"/>
        <w:spacing w:after="0" w:line="273"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where this is necessary for the purposes of our legitimate interests and such interests are not overridden by your interests, fundamental rights or freedoms.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455"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Should we wish to use personal data for other specific purposes (including, if applicable, any purpose that requires your consent), we will contact you.</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May Transfer Your Personal Data</w:t>
      </w:r>
    </w:p>
    <w:p>
      <w:pPr>
        <w:spacing w:after="0" w:line="73"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11"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We anticipates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Data Protection Measures We Take</w:t>
      </w:r>
    </w:p>
    <w:p>
      <w:pPr>
        <w:spacing w:after="0" w:line="6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Any transfer of personal data by us or our duly authorized affiliates and/or delegates outside of the Cayman Islands shall be in accordance with the requirements of the DPL.</w:t>
      </w:r>
    </w:p>
    <w:p>
      <w:pPr>
        <w:spacing w:after="0" w:line="92"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shall notify you of any personal data breach that is reasonably likely to result in a risk to your interests, fundamental rights or freedoms or those data subjects to whom the relevant personal data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amended and restated memorandum and articles of association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Immediately after this offering we will have 20,000,000 (or 23,000,000 if the underwriters’ over-allotment option is exercised in full) ordinary shares outstanding. Of these shares, the Class A ordinary shares sold in this offering (20,000,000 Class A ordinary shares if the underwriters’ over-allotment option is not exercised and 23,000,000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(5,000,000 founder shares if the underwriters’ over-allotment option is not exercised and 5,750,000 founder shares if the underwriters’ over-allotment option is exercised in full) and all of the outstanding private placement warrants (6,000,000 warrants if the underwriters’ over-allotment option is not exercised and 6,600,000 warrants if the underwriters’ over-allotment option is exercised in full) will be restricted securities under Rule 144, in that they were issued in private transactions not involving a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 xml:space="preserve">Pursuant to Rule 144, a person who has beneficially owned restricted shares or warrants for at least six months would be entitled to sell their securities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51" w:lineRule="exact"/>
        <w:rPr>
          <w:sz w:val="20"/>
          <w:szCs w:val="20"/>
          <w:color w:val="auto"/>
        </w:rPr>
      </w:pPr>
    </w:p>
    <w:p>
      <w:pPr>
        <w:ind w:left="880" w:right="80" w:hanging="427"/>
        <w:spacing w:after="0" w:line="257"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1% of the total number of ordinary shares then outstanding, which will equal 200,000 shares immediately after this offering (or 230,000 if the underwriters exercise in full their over-allotment option); or</w:t>
      </w:r>
    </w:p>
    <w:p>
      <w:pPr>
        <w:spacing w:after="0" w:line="1" w:lineRule="exact"/>
        <w:rPr>
          <w:rFonts w:ascii="MS PGothic" w:cs="MS PGothic" w:eastAsia="MS PGothic" w:hAnsi="MS PGothic"/>
          <w:sz w:val="13"/>
          <w:szCs w:val="13"/>
          <w:color w:val="auto"/>
        </w:rPr>
      </w:pPr>
    </w:p>
    <w:p>
      <w:pPr>
        <w:ind w:left="880" w:hanging="427"/>
        <w:spacing w:after="0" w:line="273"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average weekly reported trading volume of the Class A ordinary shares during the four calendar weeks preceding the filing of a notice on Form 144 with respect to the sale.</w:t>
      </w:r>
    </w:p>
    <w:p>
      <w:pPr>
        <w:spacing w:after="0" w:line="9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Sales by our affiliates under Rule 144 are also limited by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51" w:lineRule="exact"/>
        <w:rPr>
          <w:sz w:val="20"/>
          <w:szCs w:val="20"/>
          <w:color w:val="auto"/>
        </w:rPr>
      </w:pPr>
    </w:p>
    <w:p>
      <w:pPr>
        <w:ind w:left="880" w:hanging="427"/>
        <w:spacing w:after="0"/>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the issuer of the securities that was formerly a shell company has ceased to be a shell company;</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the issuer of the securities is subject to the reporting requirements of Section 13 or 15(d) of the Exchange Act;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the issuer of the securities has filed all Exchange Act reports and material required to be filed, as applicable, during the preceding</w:t>
      </w:r>
    </w:p>
    <w:p>
      <w:pPr>
        <w:spacing w:after="0" w:line="14" w:lineRule="exact"/>
        <w:rPr>
          <w:rFonts w:ascii="MS PGothic" w:cs="MS PGothic" w:eastAsia="MS PGothic" w:hAnsi="MS PGothic"/>
          <w:sz w:val="13"/>
          <w:szCs w:val="13"/>
          <w:color w:val="auto"/>
        </w:rPr>
      </w:pPr>
    </w:p>
    <w:p>
      <w:pPr>
        <w:ind w:left="880" w:right="26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12 months (or such shorter period that the issuer was required to file such reports and materials), other than Current Reports on Form 8-K; and</w:t>
      </w:r>
    </w:p>
    <w:p>
      <w:pPr>
        <w:ind w:left="880" w:right="100" w:hanging="427"/>
        <w:spacing w:after="0" w:line="273"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As a result, our initial shareholders will be able to sell their founder shares and private placement warrants, as applicable, pursuant to Rule 144 without registration one year after we have completed our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Class A ordinary shares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13,850,000 Class A ordinary shares and 8,100,000 warrants. The number of Class A ordinary shares includes (i) 5,750,000 Class A ordinary shares to be issued upon conversion of the founder shares, (ii) 6,600,000 Class A ordinary shares underlying the private placement warrants and (iii) 1,500,000 Class A ordinary shares underlying the private placement warrants issued upon conversion of working capital loans. The number of warrants includes 6,600,000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6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“VIHAU” commencing on or promptly after the date of this prospectus. We cannot guarantee that our securities will be approved for listing on Nasdaq. Once the securities comprising the units begin separate trading, we expect that the Class A ordinary shares and warrants will be listed on Nasdaq under the symbols “VIH” and “VIHAW,”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TAXATION</w:t>
      </w:r>
    </w:p>
    <w:p>
      <w:pPr>
        <w:spacing w:after="0" w:line="31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The following summary of certain Cayman Islands and United States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Prospective investors should consult their advisors on the possible tax consequences of investing in our securities under the laws of their country of citizenship, residence or domicile.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7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corporation or capital gains tax and no estate duty, inheritance tax or gift tax.</w:t>
      </w:r>
    </w:p>
    <w:p>
      <w:pPr>
        <w:spacing w:after="0" w:line="121"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No stamp duty is payable in respect of the issue of the warrants. An instrument of transfer in respect of a warrant is stampable if executed in or brought into the Cayman Islands.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 stamp duty is payable in respect of the issue of our Class A ordinary shares or on an instrument of transfer in respect of such shares.</w:t>
      </w:r>
    </w:p>
    <w:p>
      <w:pPr>
        <w:spacing w:after="0" w:line="1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Concessions Law (2018 Revision)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Undertaking as to Tax Concessions</w:t>
      </w:r>
    </w:p>
    <w:p>
      <w:pPr>
        <w:spacing w:after="0" w:line="15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In accordance with the provision of Section 6 of The Tax Concessions Law (2018 Revision), the Financial Secretary undertakes with VPC Impact Acquisition Holdings (“the Company”):</w:t>
      </w:r>
    </w:p>
    <w:p>
      <w:pPr>
        <w:spacing w:after="0" w:line="133" w:lineRule="exact"/>
        <w:rPr>
          <w:sz w:val="20"/>
          <w:szCs w:val="20"/>
          <w:color w:val="auto"/>
        </w:rPr>
      </w:pPr>
    </w:p>
    <w:p>
      <w:pPr>
        <w:ind w:left="460" w:right="260" w:hanging="452"/>
        <w:spacing w:after="0" w:line="257"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no law which is hereafter enacted in the Cayman Islands imposing any tax to be levied on profits, income, gains or appreciations shall apply to the Company or its operations; and</w:t>
      </w:r>
    </w:p>
    <w:p>
      <w:pPr>
        <w:spacing w:after="0" w:line="1" w:lineRule="exact"/>
        <w:rPr>
          <w:rFonts w:ascii="Arial" w:cs="Arial" w:eastAsia="Arial" w:hAnsi="Arial"/>
          <w:sz w:val="17"/>
          <w:szCs w:val="17"/>
          <w:color w:val="auto"/>
        </w:rPr>
      </w:pPr>
    </w:p>
    <w:p>
      <w:pPr>
        <w:ind w:left="460" w:right="40" w:hanging="452"/>
        <w:spacing w:after="0" w:line="256"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addition, that no tax to be levied on profits, income, gains or appreciations or which is in the nature of estate duty or inheritance tax shall be payable:</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2.1    On or in respect of the shares, debentures or other obligations of the Company; or</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2.2    by way of the withholding in whole or part, of any relevant payment as defined in the Tax Concessions Law (2018 Revision).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These concessions shall be for a period of twenty years from the date hereof.</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80"/>
          </w:cols>
          <w:pgMar w:left="320" w:top="455" w:right="3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following discussion summarizes certain United States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actual holders of Class A ordinary shares and warrants also should apply to holders of units (as the deemed owners of the underlying Class A ordinary shares and warrants that constitute the units).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w:t>
      </w:r>
    </w:p>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the acquisition, ownership and disposition of a unit by a prospective investor in light of its particular circumstances, including but not limited to, the alternative minimum tax, the Medicare tax on net investment income and the different consequences that may apply to investors that are subject to special rules under U.S. federal income tax laws, including but not limited to:</w:t>
      </w:r>
    </w:p>
    <w:p>
      <w:pPr>
        <w:spacing w:after="0" w:line="157" w:lineRule="exact"/>
        <w:rPr>
          <w:sz w:val="20"/>
          <w:szCs w:val="20"/>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financial institutions or financial services entities;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broker-dealers;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taxpayers that are subject to the mark-to-market tax accounting rules;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tax-exempt entities;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governments or agencies or instrumentalities thereof;</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real estate investment trusts;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expatriates or former long-term residents of the United States;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persons that actually or constructively own five percent or more (by vote or value) of our shares;</w:t>
      </w:r>
    </w:p>
    <w:p>
      <w:pPr>
        <w:spacing w:after="0" w:line="34" w:lineRule="exact"/>
        <w:rPr>
          <w:rFonts w:ascii="MS PGothic" w:cs="MS PGothic" w:eastAsia="MS PGothic" w:hAnsi="MS PGothic"/>
          <w:sz w:val="13"/>
          <w:szCs w:val="13"/>
          <w:color w:val="auto"/>
        </w:rPr>
      </w:pPr>
    </w:p>
    <w:p>
      <w:pPr>
        <w:ind w:left="880" w:right="340" w:hanging="427"/>
        <w:spacing w:after="0" w:line="256"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persons that acquired our securities pursuant to an exercise of employee share options, in connection with employee share incentive plans or otherwise as compensation;</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persons that hold our securities as part of a straddle, constructive sale, hedge, conversion or other integrated or similar transaction;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U.S. Holders (as defined below) whose functional currency is not the U.S. dollar;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14" w:lineRule="exact"/>
        <w:rPr>
          <w:rFonts w:ascii="MS PGothic" w:cs="MS PGothic" w:eastAsia="MS PGothic" w:hAnsi="MS PGothic"/>
          <w:sz w:val="13"/>
          <w:szCs w:val="13"/>
          <w:color w:val="auto"/>
        </w:rPr>
      </w:pPr>
    </w:p>
    <w:p>
      <w:pPr>
        <w:ind w:left="88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 and</w:t>
      </w:r>
    </w:p>
    <w:p>
      <w:pPr>
        <w:spacing w:after="0" w:line="13" w:lineRule="exact"/>
        <w:rPr>
          <w:rFonts w:ascii="MS PGothic" w:cs="MS PGothic" w:eastAsia="MS PGothic" w:hAnsi="MS PGothic"/>
          <w:sz w:val="13"/>
          <w:szCs w:val="13"/>
          <w:color w:val="auto"/>
        </w:rPr>
      </w:pPr>
    </w:p>
    <w:p>
      <w:pPr>
        <w:ind w:left="880" w:right="160" w:hanging="427"/>
        <w:spacing w:after="0" w:line="273"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partnerships (or entities or arrangements classified as partnerships or other pass-through entities for U.S. federal income tax purposes) and any beneficial owners of such partnerships</w:t>
      </w:r>
    </w:p>
    <w:p>
      <w:pPr>
        <w:spacing w:after="0" w:line="94"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which may result in United States federal income tax consequences different from those discussed below. Furthermore, this discussion does not address any aspect of United States federal non-income tax laws, such as gift or estate tax laws, or state, local or non-United States tax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We have not sought, and do not expect to seek, a ruling from the United States Internal Revenue Service (“</w:t>
      </w:r>
      <w:r>
        <w:rPr>
          <w:rFonts w:ascii="Arial" w:cs="Arial" w:eastAsia="Arial" w:hAnsi="Arial"/>
          <w:sz w:val="17"/>
          <w:szCs w:val="17"/>
          <w:b w:val="1"/>
          <w:bCs w:val="1"/>
          <w:color w:val="auto"/>
        </w:rPr>
        <w:t>IRS</w:t>
      </w:r>
      <w:r>
        <w:rPr>
          <w:rFonts w:ascii="Arial" w:cs="Arial" w:eastAsia="Arial" w:hAnsi="Arial"/>
          <w:sz w:val="17"/>
          <w:szCs w:val="17"/>
          <w:color w:val="auto"/>
        </w:rPr>
        <w:t>”)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1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you are urged to consult your own tax advisor regarding the tax consequences of the acquisition, ownership and disposition of our securities.</w:t>
      </w:r>
    </w:p>
    <w:p>
      <w:pPr>
        <w:spacing w:after="0" w:line="12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NON-UNITED STATES TAX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No statutory, administrative or judicial authority directly addresses the treatment of a unit or any instrument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and the Company intends to treat the acquisition of a unit in such manner. By purchasing a unit, you will agree to adopt such treatment for United States federal income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the one-half of one warrant should be the shareholder’s initial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one-half of one warrant based on their respective fair market values (as determined by each such unit holder based on all the relevant facts and circumstances) at the time of disposition. The separation of the Class A ordinary share and the one-half of one warrant constituting a unit and the combination of two halves of warrants into a single warrant should not be a taxable event for United States federal income tax purposes.</w:t>
      </w:r>
    </w:p>
    <w:p>
      <w:pPr>
        <w:spacing w:after="0" w:line="12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foregoing treatment of the units,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will be respected for United States federal income tax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40"/>
          </w:cols>
          <w:pgMar w:left="320" w:top="455" w:right="3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Holders</w:t>
      </w:r>
    </w:p>
    <w:p>
      <w:pPr>
        <w:spacing w:after="0" w:line="4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This section applies to you if you are a “U.S. Holder.” A U.S. Holder is a beneficial owner of our units, Class A ordinary shares or warrants who or that is, for United States federal tax purposes:</w:t>
      </w:r>
    </w:p>
    <w:p>
      <w:pPr>
        <w:spacing w:after="0" w:line="144" w:lineRule="exact"/>
        <w:rPr>
          <w:sz w:val="20"/>
          <w:szCs w:val="20"/>
          <w:color w:val="auto"/>
        </w:rPr>
      </w:pPr>
    </w:p>
    <w:p>
      <w:pPr>
        <w:ind w:left="880" w:hanging="427"/>
        <w:spacing w:after="0"/>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880" w:right="240" w:hanging="427"/>
        <w:spacing w:after="0" w:line="256"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for United States federal income tax purposes) organized in or under the laws of the United States, any state thereof or the District of Columbia;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United States federal income tax regardless of its source; or</w:t>
      </w:r>
    </w:p>
    <w:p>
      <w:pPr>
        <w:spacing w:after="0" w:line="34" w:lineRule="exact"/>
        <w:rPr>
          <w:rFonts w:ascii="MS PGothic" w:cs="MS PGothic" w:eastAsia="MS PGothic" w:hAnsi="MS PGothic"/>
          <w:sz w:val="13"/>
          <w:szCs w:val="13"/>
          <w:color w:val="auto"/>
        </w:rPr>
      </w:pPr>
    </w:p>
    <w:p>
      <w:pPr>
        <w:jc w:val="both"/>
        <w:ind w:left="880" w:right="220" w:hanging="427"/>
        <w:spacing w:after="0" w:line="252"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5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Subject to the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rules discussed below, a U.S. Holder generally will be required to include in gross income, in accordance with such U.S. Holder’s method of accounting for U.S. federal income tax purposes, as dividends the amount of any distribution of cash or other property (other than certain distributions of the Company’s shares or rights to acquire the Company’s shares) paid on our Class A ordinary shares to the extent the distribution is paid out of our current or accumulated earnings and profits (as determined under United States federal income tax principles). Distributions in excess of such earnings and profits generally will be applied against and reduce the</w:t>
      </w:r>
    </w:p>
    <w:p>
      <w:pPr>
        <w:spacing w:after="0" w:line="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U.S. Holder’s basis in its Class A ordinary shares (but not below zero) and, to the extent in excess of such basis, will be treated as gain from the sale or exchange of such Class A ordinary shares (the treatment of which is described under “—Gain or Loss on Sale, Taxable Exchange or Other Taxable Disposition of Class A Ordinary Shares and Warrants” below).</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Dividends paid by us will be taxable to a corporate U.S. Holder at regular rates and will not be eligible for the dividends-received deduction generally allowed to domestic corporations in respect of dividends received from other domestic corporations. With respect to non-corporate U.S. Holders, dividends generally will be taxed at the lower applicable long-term capital gains rate (see “—</w:t>
      </w:r>
      <w:r>
        <w:rPr>
          <w:rFonts w:ascii="Arial" w:cs="Arial" w:eastAsia="Arial" w:hAnsi="Arial"/>
          <w:sz w:val="17"/>
          <w:szCs w:val="17"/>
          <w:i w:val="1"/>
          <w:iCs w:val="1"/>
          <w:color w:val="auto"/>
        </w:rPr>
        <w:t>Gain or Loss on Sale, Taxable Exchange or Other</w:t>
      </w:r>
      <w:r>
        <w:rPr>
          <w:rFonts w:ascii="Arial" w:cs="Arial" w:eastAsia="Arial" w:hAnsi="Arial"/>
          <w:sz w:val="17"/>
          <w:szCs w:val="17"/>
          <w:color w:val="auto"/>
        </w:rPr>
        <w:t xml:space="preserve"> </w:t>
      </w:r>
      <w:r>
        <w:rPr>
          <w:rFonts w:ascii="Arial" w:cs="Arial" w:eastAsia="Arial" w:hAnsi="Arial"/>
          <w:sz w:val="17"/>
          <w:szCs w:val="17"/>
          <w:i w:val="1"/>
          <w:iCs w:val="1"/>
          <w:color w:val="auto"/>
        </w:rPr>
        <w:t>Taxable Disposition of Class A Ordinary Shares and Warrants</w:t>
      </w:r>
      <w:r>
        <w:rPr>
          <w:rFonts w:ascii="Arial" w:cs="Arial" w:eastAsia="Arial" w:hAnsi="Arial"/>
          <w:sz w:val="17"/>
          <w:szCs w:val="17"/>
          <w:color w:val="auto"/>
        </w:rPr>
        <w:t>” below) only if our Class A ordinary shares are readily tradable on an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market in the United States, we are not a PFIC at the time the dividend was paid or in the previous year, and certain other requirements are met. U.S. Holders should consult their tax advisors regarding the availability of such lower rate for any dividends paid with respect to our Class A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or Loss on Sale, Taxable Exchange or Other Taxable Disposition of Class A Ordinary Shares and Warrants</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Subject to the PFIC rules discussed below, a U.S. Holder generally will recognize capital gain or loss on the sale or other taxable disposition of our Class A ordinary shares or warrants (including a redemption of our Class A ordinary shares (as described below) or warrants that are treated as a taxable disposition, including pursuant to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Long-term capital gain realized by a non-corporate U.S. Holder may be taxed at reduced rates of taxation. It is unclear, however, whether certain redemption rights described in this prospectus may suspend the running of the applicable holding period of the Class A ordinary shares for this purpose. If the running of the holding period for the Class A ordinary shares is suspended, then non-corporate U.S. Holders may not be able to satisfy the one-year holding period requirement for long-term capital gain treatment, in which case any gain on a sale or other taxable disposition of the Class A ordinary shares would be subject to short-term capital gain treatment and would be taxed at regular ordinary income tax rates. The deduction of capital losses is subject to certain limitations.</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amount of gain or loss recognized by a U.S. Holder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455" w:right="3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based upon the then relative fair market values of the Class A ordinary shares and the warrants constituting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“—Allocation of Purchase Price and Characterization of a Unit”) reduced, in the case of a Class A ordinary share, by any prior distributions treated as a return of capital. See “</w:t>
      </w:r>
      <w:r>
        <w:rPr>
          <w:rFonts w:ascii="Arial" w:cs="Arial" w:eastAsia="Arial" w:hAnsi="Arial"/>
          <w:sz w:val="17"/>
          <w:szCs w:val="17"/>
          <w:i w:val="1"/>
          <w:iCs w:val="1"/>
          <w:color w:val="auto"/>
        </w:rPr>
        <w:t>Exercise or Lapse of a Warrant</w:t>
      </w:r>
      <w:r>
        <w:rPr>
          <w:rFonts w:ascii="Arial" w:cs="Arial" w:eastAsia="Arial" w:hAnsi="Arial"/>
          <w:sz w:val="17"/>
          <w:szCs w:val="17"/>
          <w:color w:val="auto"/>
        </w:rPr>
        <w:t>” below for a discussion regarding a U.S. Holder’s basis in the Class A ordinary share acquired pursuant to the exercise of a warrant.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Class A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the section of this prospectus entitled “Description of Securities—Ordinary Shares” or if we purchase a U.S. Holder’s Class A ordinary shares in an open market transaction (such open market purchase of Class A ordinary shares by us is referred to as a “redemption” for the remainder of this discussion), the treatment of the transaction for United States federal income tax purposes will depend on whether the redemption qualifies as a sale of the Class A ordinary shares under Section 302 of the Code. If the redemption qualifies as a sale of Class A ordinary shares, the U.S. Holder will be treated as described under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“—Taxation of Distributions.” Whether a redemption qualifies for sale treatment will depend largely on the total number of our shares treated as held by the U.S. Holder (including any shares constructively owned by the U.S. Holder described in the following paragraph, including as a result of owning warrants) relative to all of our shares outstanding both before and after such redemption. A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In determining whether any of the foregoing tests are satisfied, a U.S. Holder takes into account not only our shares actually owned by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generally would include Class A ordinary shares which could be acquired by such U.S. Holder pursuant to the exercise of the warrants. In order to meet the substantially disproportionate test, the percentage of our issued and outstanding voting shares actually and constructively owned by the U.S. Holder immediately following the redemption of Class A ordinary shares must, among other requirements, be less than 80% of the percentage of our issued and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(including any shares constructively owned by the U.S. Holder as a result of owning our warrants).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 of any Class A ordinary shares.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If none of the foregoing tests are satisfied, then the redemption of any Class A ordinary shares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holders who actually or constructively own five percent (or, if our Class A ordinary shares are not then publicly traded, one percent) or more of our shares (by vote or value) may be subject to special reporting requirements with respect to a redemption of Class A ordinary shares, and such holders are urged to consult with their own tax advisors with respect to their reporting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Lapse or Redemption of a Warrant</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received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should equal the U.S. Holder’s tax basis in the warrants exercised therefor. If the cashless exercise was not a realization event, it is unclear whether a U.S. Holder’s holding period for the Class A ordinary shares received would be treated as commencing on the date of exercise of the warrant or the day following the date of exercise of the warrant; in either case, the holding period will not include the period during which the U.S. Holder held the warrant. If the cashless exercise were treated as a recapitalization, the holding period of the Class A ordinary shares received would include the holding period of the warrants.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U.S. Holder may be deemed to have surrendered a number of warrants equal to the number of Class A ordinary shares having a value equal to the exercise price for the total number of warrants to be exercised. Subject to the PFIC rules discussed below, the U.S. Holder would recognize capital gain or loss in an amount equal to the difference between the fair market value of the Class A ordinary shares received in respect of the warrants deemed surrendered and the U.S. Holder’s tax basis in the warrants deemed surrendered. In this case, a U.S. Holder’s tax basis in the Class A ordinary shares received would equal the sum of the fair market value of the Class A ordinary shares received in respect of the warrants deemed surrendered and the U.S. Holder’s tax basis in the warrants exercised. It is unclear whether a U.S. Holder’s holding period for the Class A ordinary shares would commence on the date of exercise of the warrant or the day following the date of exercise of the warrant; in either case, the holding period will not include the period during which the U.S. Holder held the warrant.</w:t>
      </w:r>
    </w:p>
    <w:p>
      <w:pPr>
        <w:spacing w:after="0" w:line="121"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Due to the absence of authority on the United States federal income tax treatment of a cashless exercise, including when a U.S. Holder’s holding period would commence with respect to the Class A ordinary share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Subject to the PFIC rules described below, if we redeem warrants for cash pursuant to the redemption provisions described in the section of this prospectus entitled “Description of Securities—Warrants—Public Warrants” or if we</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60"/>
          </w:cols>
          <w:pgMar w:left="320" w:top="455" w:right="4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Constructive Distributions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entitled “Description of Securities—Warrants—Public Warrants.” An adjustment which has the effect of preventing dilution generally is not taxable. The U.S. Holders of the warrants would, however, be treated as receiving a constructive distribution from us if, for example, the adjustment increases such U.S. Holders’ proportionate interest in our assets or earnings and profits (e.g., through an increase in the number of Class A ordinary shares that would be obtained upon exercise or through a decrease in the exercise price of the warrant), which adjustment may be made as a result of a distribution of cash or other property to the holders of our Class A ordinary shares. Such constructive distribution to a U.S. Holder of warrants would be treated as if such U.S. Holder had received a cash distribution from us generally equal to the fair market value of such increased interest (taxed as described above under “—</w:t>
      </w:r>
      <w:r>
        <w:rPr>
          <w:rFonts w:ascii="Arial" w:cs="Arial" w:eastAsia="Arial" w:hAnsi="Arial"/>
          <w:sz w:val="17"/>
          <w:szCs w:val="17"/>
          <w:b w:val="1"/>
          <w:bCs w:val="1"/>
          <w:color w:val="auto"/>
        </w:rPr>
        <w:t>Taxation of</w:t>
      </w:r>
      <w:r>
        <w:rPr>
          <w:rFonts w:ascii="Arial" w:cs="Arial" w:eastAsia="Arial" w:hAnsi="Arial"/>
          <w:sz w:val="17"/>
          <w:szCs w:val="17"/>
          <w:color w:val="auto"/>
        </w:rPr>
        <w:t xml:space="preserve"> </w:t>
      </w:r>
      <w:r>
        <w:rPr>
          <w:rFonts w:ascii="Arial" w:cs="Arial" w:eastAsia="Arial" w:hAnsi="Arial"/>
          <w:sz w:val="17"/>
          <w:szCs w:val="17"/>
          <w:b w:val="1"/>
          <w:bCs w:val="1"/>
          <w:color w:val="auto"/>
        </w:rPr>
        <w:t>Distributions</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6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 foreign (i.e., non-U.S.) corporation will be classified as a PFIC for United States federal income tax purposes if either (i) at least 75% of its gross income in a taxable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The applicability of the startup exception to us is uncertain and will not be known until after the close of our current taxable year and, perhaps, until after the end of our two taxable years following our startup year.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will not be determinable until after the end of such taxable year (and, in the case of the startup exception to our current taxable year, perhaps until after the end of our two taxable years following our startup year). Accordingly, there can be no assurance with respect to our status as a PFIC for our current taxable year or any future taxable year. In addition, our U.S. counsel expresses no opinion with respect to our PFIC status for our current or future taxable years.</w:t>
      </w:r>
    </w:p>
    <w:p>
      <w:pPr>
        <w:spacing w:after="0" w:line="13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generally will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mark-to-market election or a qualified electing fund (“</w:t>
      </w:r>
      <w:r>
        <w:rPr>
          <w:rFonts w:ascii="Arial" w:cs="Arial" w:eastAsia="Arial" w:hAnsi="Arial"/>
          <w:sz w:val="17"/>
          <w:szCs w:val="17"/>
          <w:b w:val="1"/>
          <w:bCs w:val="1"/>
          <w:color w:val="auto"/>
        </w:rPr>
        <w:t>QEF</w:t>
      </w:r>
      <w:r>
        <w:rPr>
          <w:rFonts w:ascii="Arial" w:cs="Arial" w:eastAsia="Arial" w:hAnsi="Arial"/>
          <w:sz w:val="17"/>
          <w:szCs w:val="17"/>
          <w:color w:val="auto"/>
        </w:rPr>
        <w: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(which may include gain realized by reason of transfers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Class A ordinary shares or warrants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these rules:</w:t>
      </w:r>
    </w:p>
    <w:p>
      <w:pPr>
        <w:spacing w:after="0" w:line="196" w:lineRule="exact"/>
        <w:rPr>
          <w:sz w:val="20"/>
          <w:szCs w:val="20"/>
          <w:color w:val="auto"/>
        </w:rPr>
      </w:pPr>
    </w:p>
    <w:p>
      <w:pPr>
        <w:ind w:left="880" w:right="560" w:hanging="427"/>
        <w:spacing w:after="0" w:line="257"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the U.S. Holder’s gain or excess distribution will be allocated ratably over the U.S. Holder’s holding period for the Class A ordinary shares or warrants;</w:t>
      </w:r>
    </w:p>
    <w:p>
      <w:pPr>
        <w:spacing w:after="0" w:line="1" w:lineRule="exact"/>
        <w:rPr>
          <w:rFonts w:ascii="MS PGothic" w:cs="MS PGothic" w:eastAsia="MS PGothic" w:hAnsi="MS PGothic"/>
          <w:sz w:val="13"/>
          <w:szCs w:val="13"/>
          <w:color w:val="auto"/>
        </w:rPr>
      </w:pPr>
    </w:p>
    <w:p>
      <w:pPr>
        <w:ind w:left="880" w:right="160" w:hanging="427"/>
        <w:spacing w:after="0" w:line="248"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the amount allocated to other taxable years (or portions thereof) of the U.S. Holder and included in its holding period will be taxed at the highest tax rate in effect for that year and applicable to the U.S. Holder without regard to the U.S. Holder’s other items of income and loss for such year; and</w:t>
      </w:r>
    </w:p>
    <w:p>
      <w:pPr>
        <w:spacing w:after="0" w:line="1" w:lineRule="exact"/>
        <w:rPr>
          <w:rFonts w:ascii="MS PGothic" w:cs="MS PGothic" w:eastAsia="MS PGothic" w:hAnsi="MS PGothic"/>
          <w:sz w:val="13"/>
          <w:szCs w:val="13"/>
          <w:color w:val="auto"/>
        </w:rPr>
      </w:pPr>
    </w:p>
    <w:p>
      <w:pPr>
        <w:ind w:left="880" w:right="200" w:hanging="427"/>
        <w:spacing w:after="0" w:line="273" w:lineRule="auto"/>
        <w:tabs>
          <w:tab w:leader="none" w:pos="8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an additional amount equal to the interest charge generally applicable to underpayments of tax will be imposed on the U.S. Holder with respect to the tax attributable to each such other taxable year of the U.S. Holder.</w:t>
      </w:r>
    </w:p>
    <w:p>
      <w:pPr>
        <w:spacing w:after="0" w:line="9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 xml:space="preserve">In general, if we are determined to be a PFIC, a U.S. Holder may be able to avoid the PFIC tax consequences described above in respect to our Class A ordinary shares by making a timely and valid QEF election (if eligible to do so)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It is not entirely clear how various aspects of the PFIC rules apply to the warrants. However, 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our Class A ordinary shares), the QEF election will apply to the newly acquired Class A ordinary shares. Notwithstanding such QEF election, the rules relating to “excess distributions” discussed above,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 U.S. Holders are urged to consult their tax advisors as to the application of the rules governing purging elections to their particular circumstances.</w:t>
      </w:r>
    </w:p>
    <w:p>
      <w:pPr>
        <w:spacing w:after="0" w:line="13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 xml:space="preserve">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interest charge will be imposed under the PFIC rules. As discussed above, if we are a PFIC for any taxable year, a U.S. Holder of our Class A ordinary shares that has made a QEF election will be currently taxed on its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share of our earnings and profits, whether or not distributed for such year. A subsequent distribution of such earnings and profits that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Class A ordinary shares in us and for which we are determined to be a PFIC, such U.S. Holder generally will not be subject to the PFIC rules described above in respect to its Class A ordinary shares. Instead, in general, the U.S. Holder will include as ordinary income in each taxable year the excess, if any, of the fair market value of its Class A ordinary shares at the end of its taxable year over its adjusted basis in its Class A ordinary shares. These amounts of ordinary income would not be eligible for the favorable tax rates applicable to qualified dividend income or long-term capital gains. The U.S. Holder also will recognize an ordinary loss in respect of the excess, if any, of its adjusted basis in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mark-to-market election is available only for stock that is regularly traded on a national securities exchange that is registered with the Securities and Exchange Commission, including Nasdaq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Class A ordinary shares ceased to qualify as “marketable stock” for purposes of the PFIC rules or the IRS consented to the revocation of the election. U.S. Holders are urged to consult their own tax advisors regarding the availability and tax consequences of a mark-to-market election in respect to our Class A ordinary shares under their particular circumstances.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Upon written request, we will endeavor to cause any lower-tier PFIC to provide to a U.S. Holder the information that may be required to make or maintain a QEF election with respect to the lower-tier PFIC. There can be no assurance</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that we will have timely knowledge of the status of any such lower-tier PFIC. In addition, we may not hold a controlling interest in any such lower-tier PFIC and thus there can be no assurance we will be able to cause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11"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The rules dealing with PFICs and with the QEF, purging, and mark-to-market elections are very complex and are affected by various factors in addition to those described above. Accordingly, U.S. Holders of our Class A ordinary shares and warrants should consult their own tax advisors concerning the application of the PFIC rules to our Class A ordinary shares and warrants under their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United States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the Class A ordinary shares and warrants if they are not held in an account maintained with a U.S. financial institution. Persons who are required to report specified foreign financial assets and fail to do so may be subject to substantial penalties, and the period of limitations on assessment and collection of United States federal income taxes may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Non-U.S. 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or warrants that is for United States federal income tax purposes:</w:t>
      </w:r>
    </w:p>
    <w:p>
      <w:pPr>
        <w:spacing w:after="0" w:line="174" w:lineRule="exact"/>
        <w:rPr>
          <w:sz w:val="20"/>
          <w:szCs w:val="20"/>
          <w:color w:val="auto"/>
        </w:rPr>
      </w:pPr>
    </w:p>
    <w:p>
      <w:pPr>
        <w:ind w:left="880" w:hanging="427"/>
        <w:spacing w:after="0"/>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foreign corporation;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an estate or trust that is not a U.S. Holder;</w:t>
      </w:r>
    </w:p>
    <w:p>
      <w:pPr>
        <w:spacing w:after="0" w:line="154"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the disposition of our units, Class A ordinary shares or warrants. If you are such an individual, you should consult your tax advisor regarding the United States federal income tax consequences of the acquisition, ownership and disposition of our securities.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Dividends (including, as described under “—U.S. Holders—Possible Constructive Distributions” above,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123"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United States federal income tax treatment of a Non-U.S. Holder’s receipt of any Class A ordinary share upon the exercise, or the lapse, of a warrant held by a Non-U.S. Holder generally will correspond to the United States federal income tax treatment of the receipt of a Class A ordinary share on exercise, or lapse, of a warrant by a U.S. Holder, as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characterization for United States federal income tax purposes of the redemption of the Non-U.S. Holder’s warrants generally will correspond to the United States federal income tax treatment of such a redemption of a U.S. Holder’s warrants, as described under “—U.S. Holders—Exercise, Lapse or Redemption of a Warrant” above, and the consequences of the redemption to the Non-U.S. Holder will be as described in the paragraphs above under the heading “—Non-U.S. Holders” based on such characterization.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2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holder’s United States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Jefferies LLC is acting as sole-book running manager of this offering and as representatives of the underwriters named below. Subject to the terms and conditions of the underwriting agreement dated [</w:t>
      </w:r>
      <w:r>
        <w:rPr>
          <w:rFonts w:ascii="Times New Roman" w:cs="Times New Roman" w:eastAsia="Times New Roman" w:hAnsi="Times New Roman"/>
          <w:sz w:val="17"/>
          <w:szCs w:val="17"/>
          <w:color w:val="auto"/>
        </w:rPr>
        <w:t>●</w:t>
      </w:r>
      <w:r>
        <w:rPr>
          <w:rFonts w:ascii="Arial" w:cs="Arial" w:eastAsia="Arial" w:hAnsi="Arial"/>
          <w:sz w:val="17"/>
          <w:szCs w:val="17"/>
          <w:color w:val="auto"/>
        </w:rPr>
        <w:t>], 2020, each underwriter named below has severally agreed to purchase, and we have agreed to sell to such underwriter, the number of units set forth opposite the underwriter’s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876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UNITS</w:t>
            </w:r>
          </w:p>
        </w:tc>
      </w:tr>
      <w:tr>
        <w:trPr>
          <w:trHeight w:val="163"/>
        </w:trPr>
        <w:tc>
          <w:tcPr>
            <w:tcW w:w="10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87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80" w:type="dxa"/>
            <w:vAlign w:val="bottom"/>
          </w:tcPr>
          <w:p>
            <w:pPr>
              <w:spacing w:after="0" w:line="189" w:lineRule="exact"/>
              <w:rPr>
                <w:sz w:val="20"/>
                <w:szCs w:val="20"/>
                <w:color w:val="auto"/>
              </w:rPr>
            </w:pPr>
            <w:r>
              <w:rPr>
                <w:rFonts w:ascii="Arial" w:cs="Arial" w:eastAsia="Arial" w:hAnsi="Arial"/>
                <w:sz w:val="17"/>
                <w:szCs w:val="17"/>
                <w:color w:val="auto"/>
              </w:rPr>
              <w:t>Total</w:t>
            </w:r>
          </w:p>
        </w:tc>
        <w:tc>
          <w:tcPr>
            <w:tcW w:w="101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20,000,000</w:t>
            </w:r>
          </w:p>
        </w:tc>
        <w:tc>
          <w:tcPr>
            <w:tcW w:w="6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 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w:t>
      </w:r>
    </w:p>
    <w:p>
      <w:pPr>
        <w:spacing w:after="0" w:line="16" w:lineRule="exact"/>
        <w:rPr>
          <w:sz w:val="20"/>
          <w:szCs w:val="20"/>
          <w:color w:val="auto"/>
        </w:rPr>
      </w:pPr>
    </w:p>
    <w:p>
      <w:pPr>
        <w:spacing w:after="0"/>
        <w:tabs>
          <w:tab w:leader="none" w:pos="9460" w:val="left"/>
        </w:tabs>
        <w:rPr>
          <w:sz w:val="20"/>
          <w:szCs w:val="20"/>
          <w:color w:val="auto"/>
        </w:rPr>
      </w:pPr>
      <w:r>
        <w:rPr>
          <w:rFonts w:ascii="Arial" w:cs="Arial" w:eastAsia="Arial" w:hAnsi="Arial"/>
          <w:sz w:val="17"/>
          <w:szCs w:val="17"/>
          <w:color w:val="auto"/>
        </w:rPr>
        <w:t>prospectus and to certain dealers, which may include the underwriters, at that price less a concession not in excess of $</w:t>
      </w:r>
      <w:r>
        <w:rPr>
          <w:sz w:val="20"/>
          <w:szCs w:val="20"/>
          <w:color w:val="auto"/>
        </w:rPr>
        <w:tab/>
      </w:r>
      <w:r>
        <w:rPr>
          <w:rFonts w:ascii="Arial" w:cs="Arial" w:eastAsia="Arial" w:hAnsi="Arial"/>
          <w:sz w:val="17"/>
          <w:szCs w:val="17"/>
          <w:color w:val="auto"/>
        </w:rPr>
        <w:t>per unit.</w:t>
      </w:r>
    </w:p>
    <w:p>
      <w:pPr>
        <w:spacing w:after="0" w:line="134" w:lineRule="exact"/>
        <w:rPr>
          <w:sz w:val="20"/>
          <w:szCs w:val="20"/>
          <w:color w:val="auto"/>
        </w:rPr>
      </w:pPr>
    </w:p>
    <w:p>
      <w:pPr>
        <w:spacing w:after="0"/>
        <w:tabs>
          <w:tab w:leader="none" w:pos="8820" w:val="left"/>
        </w:tabs>
        <w:rPr>
          <w:sz w:val="20"/>
          <w:szCs w:val="20"/>
          <w:color w:val="auto"/>
        </w:rPr>
      </w:pPr>
      <w:r>
        <w:rPr>
          <w:rFonts w:ascii="Arial" w:cs="Arial" w:eastAsia="Arial" w:hAnsi="Arial"/>
          <w:sz w:val="17"/>
          <w:szCs w:val="17"/>
          <w:color w:val="auto"/>
        </w:rPr>
        <w:t>The underwriters may allow, and certain dealers may reallow, a discount from the concession not in excess of $</w:t>
      </w:r>
      <w:r>
        <w:rPr>
          <w:sz w:val="20"/>
          <w:szCs w:val="20"/>
          <w:color w:val="auto"/>
        </w:rPr>
        <w:tab/>
      </w:r>
      <w:r>
        <w:rPr>
          <w:rFonts w:ascii="Arial" w:cs="Arial" w:eastAsia="Arial" w:hAnsi="Arial"/>
          <w:sz w:val="17"/>
          <w:szCs w:val="17"/>
          <w:color w:val="auto"/>
        </w:rPr>
        <w:t>per unit to certain brokers and</w:t>
      </w:r>
    </w:p>
    <w:p>
      <w:pPr>
        <w:spacing w:after="0" w:line="16"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14"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3"/>
          </w:tcPr>
          <w:p>
            <w:pPr>
              <w:ind w:left="62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24"/>
                <w:szCs w:val="24"/>
                <w:b w:val="1"/>
                <w:bCs w:val="1"/>
                <w:color w:val="auto"/>
                <w:vertAlign w:val="superscript"/>
              </w:rPr>
              <w:t>(1)</w:t>
            </w:r>
          </w:p>
        </w:tc>
        <w:tc>
          <w:tcPr>
            <w:tcW w:w="5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60" w:type="dxa"/>
            <w:vAlign w:val="bottom"/>
            <w:gridSpan w:val="4"/>
          </w:tcPr>
          <w:p>
            <w:pPr>
              <w:ind w:left="9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4"/>
                <w:szCs w:val="24"/>
                <w:b w:val="1"/>
                <w:bCs w:val="1"/>
                <w:color w:val="auto"/>
                <w:vertAlign w:val="superscript"/>
              </w:rPr>
              <w:t>(2)</w:t>
            </w:r>
          </w:p>
        </w:tc>
      </w:tr>
      <w:tr>
        <w:trPr>
          <w:trHeight w:val="140"/>
        </w:trPr>
        <w:tc>
          <w:tcPr>
            <w:tcW w:w="4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580"/>
              <w:spacing w:after="0" w:line="141" w:lineRule="exact"/>
              <w:rPr>
                <w:sz w:val="20"/>
                <w:szCs w:val="20"/>
                <w:color w:val="auto"/>
              </w:rPr>
            </w:pPr>
            <w:r>
              <w:rPr>
                <w:rFonts w:ascii="Arial" w:cs="Arial" w:eastAsia="Arial" w:hAnsi="Arial"/>
                <w:sz w:val="14"/>
                <w:szCs w:val="14"/>
                <w:b w:val="1"/>
                <w:bCs w:val="1"/>
                <w:color w:val="auto"/>
              </w:rPr>
              <w:t>WITHOUT</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Borders>
              <w:top w:val="single" w:sz="8" w:color="auto"/>
            </w:tcBorders>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rPr>
              <w:t>WITHOUT</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OVER-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WITH OVER-</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WITH OVER-</w:t>
            </w:r>
          </w:p>
        </w:tc>
      </w:tr>
      <w:tr>
        <w:trPr>
          <w:trHeight w:val="177"/>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ALLOTMENT</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ALLOTMENT</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ALLOTMENT</w:t>
            </w:r>
          </w:p>
        </w:tc>
      </w:tr>
      <w:tr>
        <w:trPr>
          <w:trHeight w:val="183"/>
        </w:trPr>
        <w:tc>
          <w:tcPr>
            <w:tcW w:w="4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Underwriting Discounts and Commissions paid by us</w:t>
            </w:r>
          </w:p>
        </w:tc>
        <w:tc>
          <w:tcPr>
            <w:tcW w:w="1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0.55</w:t>
            </w:r>
          </w:p>
        </w:tc>
        <w:tc>
          <w:tcPr>
            <w:tcW w:w="4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$11,000,000</w:t>
            </w:r>
          </w:p>
        </w:tc>
        <w:tc>
          <w:tcPr>
            <w:tcW w:w="4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$12,650,000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4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83"/>
        </w:trPr>
        <w:tc>
          <w:tcPr>
            <w:tcW w:w="474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 related fees and expenses of the underwriters’ legal counsel, not to exceed $25,000.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60"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intend to apply to have our units listed on Nasdaq under the symbol “VIHAU.” Once the securities comprising the units begin separate trading, we expect that the Class A ordinary shares and warrants will be listed on Nasdaq under the symbols “VIH” and “VIHAW,” respectively. The units will automatically separate into their component parts and will not be traded following the completion of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1,875,000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Agreements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Class A ordinary shares or any other securities convertible into, or exercisable, or exchangeable for, Class A ordinary shares; provided, however, that we may (1) issue and sell the private placement units, (2) issue and sell the additional units to cover our underwriters’ over allotment option (if any), (3) register with the SEC pursuant to an agreement to be entered into concurrently with the issuance and sale of the securities in this offering, the resale of the founder shares and the private placement units and the securities underlying the foregoing or the warrants and Class A ordinary shares issuable upon exercise of the warrants, and (4) issue securities in connection with an initial business combination. Jefferies LLC in its sole discretion may release any of the securities subject to these lock up agreements at any time without notice.</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00"/>
          </w:cols>
          <w:pgMar w:left="320" w:top="455" w:right="3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adjusted for share splits, share capitalizations, reorganizations, recapitalizations and the like) for any 20 trading days within any 30 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Shareholders—Transfers of Founder Shares and Private Placement Units”). Any permitted transferees will be subject to the same restrictions and other agreements of our our sponsor and our management team with respect to any founder shares, private placement units, private placement shares, private placement warrants and Class A ordinary shares issued upon conversion or exercise thereof. We refer to such transfer restrictions throughout this prospectus as the lock up.</w:t>
      </w:r>
    </w:p>
    <w:p>
      <w:pPr>
        <w:spacing w:after="0" w:line="122"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private placement units (including the private placement shares, private placement warrants and Class A ordinary shares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Transfers of Founder Shares and Private Placement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21"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1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 prospectus in electronic format may be made available by e 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granted Jefferies LLC a right of first refusal to provide certain advisory services and participate in future financings. Otherwise, 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2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Prospective Investors in the Cayman Islands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No offer or invitation, whether directly or indirectly, may be made to the public in the Cayman Islands to subscribe for our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Member State</w:t>
      </w:r>
      <w:r>
        <w:rPr>
          <w:rFonts w:ascii="Arial" w:cs="Arial" w:eastAsia="Arial" w:hAnsi="Arial"/>
          <w:sz w:val="17"/>
          <w:szCs w:val="17"/>
          <w:color w:val="auto"/>
        </w:rPr>
        <w:t>”), no Shares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6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Arial" w:cs="Arial" w:eastAsia="Arial" w:hAnsi="Arial"/>
          <w:sz w:val="17"/>
          <w:szCs w:val="17"/>
          <w:color w:val="auto"/>
        </w:rPr>
      </w:pPr>
    </w:p>
    <w:p>
      <w:pPr>
        <w:ind w:left="460" w:right="60" w:hanging="452"/>
        <w:spacing w:after="0" w:line="273"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Representatives for any such offer;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no such offer of units referred to in the bullet points above shall require us or any underwriter to publish a prospectus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Article 3 of the Prospectus Directive or supplement a prospectus pursuant to Article 16 of the Prospectus Directive.</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23"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Furthermore, the units are not intended to be offered, sold or otherwise made available to and should not be offered, sold or otherwise made available by any person to any retail investor in the European Economic Area (the “</w:t>
      </w:r>
      <w:r>
        <w:rPr>
          <w:rFonts w:ascii="Arial" w:cs="Arial" w:eastAsia="Arial" w:hAnsi="Arial"/>
          <w:sz w:val="17"/>
          <w:szCs w:val="17"/>
          <w:b w:val="1"/>
          <w:bCs w:val="1"/>
          <w:color w:val="auto"/>
        </w:rPr>
        <w:t>EEA</w:t>
      </w:r>
      <w:r>
        <w:rPr>
          <w:rFonts w:ascii="Arial" w:cs="Arial" w:eastAsia="Arial" w:hAnsi="Arial"/>
          <w:sz w:val="17"/>
          <w:szCs w:val="17"/>
          <w:color w:val="auto"/>
        </w:rPr>
        <w:t>”). For these purposes, a retail investor means a person who is one (or more) of: (i) a retail client as defined in point (11) of Article 4(1) of Directive 2014/65/EU (as amended, “</w:t>
      </w:r>
      <w:r>
        <w:rPr>
          <w:rFonts w:ascii="Arial" w:cs="Arial" w:eastAsia="Arial" w:hAnsi="Arial"/>
          <w:sz w:val="17"/>
          <w:szCs w:val="17"/>
          <w:b w:val="1"/>
          <w:bCs w:val="1"/>
          <w:color w:val="auto"/>
        </w:rPr>
        <w:t>MiFID II</w:t>
      </w:r>
      <w:r>
        <w:rPr>
          <w:rFonts w:ascii="Arial" w:cs="Arial" w:eastAsia="Arial" w:hAnsi="Arial"/>
          <w:sz w:val="17"/>
          <w:szCs w:val="17"/>
          <w:color w:val="auto"/>
        </w:rPr>
        <w:t>”); (ii) a customer within the meaning of Directive 2002/92/EC, as amended, where that customer would not qualify as a professional client as defined in point (10) of Article 4(1) of MiFID II or (iii) not a qualified investor as defined in Directive 2003/71/EC (as amended, including by Directive 2010/73/EU, the “</w:t>
      </w:r>
      <w:r>
        <w:rPr>
          <w:rFonts w:ascii="Arial" w:cs="Arial" w:eastAsia="Arial" w:hAnsi="Arial"/>
          <w:sz w:val="17"/>
          <w:szCs w:val="17"/>
          <w:b w:val="1"/>
          <w:bCs w:val="1"/>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color w:val="auto"/>
        </w:rPr>
        <w:t>Directive</w:t>
      </w:r>
      <w:r>
        <w:rPr>
          <w:rFonts w:ascii="Arial" w:cs="Arial" w:eastAsia="Arial" w:hAnsi="Arial"/>
          <w:sz w:val="17"/>
          <w:szCs w:val="17"/>
          <w:color w:val="auto"/>
        </w:rPr>
        <w:t>”). Consequently, no key information document required by Regulation (EU) No 1286/2014 (as amended, the “</w:t>
      </w:r>
      <w:r>
        <w:rPr>
          <w:rFonts w:ascii="Arial" w:cs="Arial" w:eastAsia="Arial" w:hAnsi="Arial"/>
          <w:sz w:val="17"/>
          <w:szCs w:val="17"/>
          <w:b w:val="1"/>
          <w:bCs w:val="1"/>
          <w:color w:val="auto"/>
        </w:rPr>
        <w:t>PRIIPs Regulation</w:t>
      </w:r>
      <w:r>
        <w:rPr>
          <w:rFonts w:ascii="Arial" w:cs="Arial" w:eastAsia="Arial" w:hAnsi="Arial"/>
          <w:sz w:val="17"/>
          <w:szCs w:val="17"/>
          <w:color w:val="auto"/>
        </w:rPr>
        <w:t>”) for</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or selling the units or otherwise making them available to retail investors in the EEA has been prepared and therefore offering or selling the units or otherwise making them available to any retail investor in the EEA may be unlawful under the PRIIPs Regulation. This prospectus has been prepared on the basis that any offer of units in any member state of the EEA will be made pursuant to an exemption under the Prospectus Directive from the requirement to publish a prospectus for offers of units. This prospectus is not a prospectus for the purposes of the Prospectus Directive.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w:t>
      </w:r>
      <w:r>
        <w:rPr>
          <w:rFonts w:ascii="Arial" w:cs="Arial" w:eastAsia="Arial" w:hAnsi="Arial"/>
          <w:sz w:val="17"/>
          <w:szCs w:val="17"/>
          <w:b w:val="1"/>
          <w:bCs w:val="1"/>
          <w:color w:val="auto"/>
        </w:rPr>
        <w:t>Order</w:t>
      </w:r>
      <w:r>
        <w:rPr>
          <w:rFonts w:ascii="Arial" w:cs="Arial" w:eastAsia="Arial" w:hAnsi="Arial"/>
          <w:sz w:val="17"/>
          <w:szCs w:val="17"/>
          <w:color w:val="auto"/>
        </w:rPr>
        <w:t>”) or (ii) high net worth entities, and other persons to whom it may lawfully be communicated, falling within Article 49(2)(a) to (d) of the Order (each such person being referred to as a “</w:t>
      </w:r>
      <w:r>
        <w:rPr>
          <w:rFonts w:ascii="Arial" w:cs="Arial" w:eastAsia="Arial" w:hAnsi="Arial"/>
          <w:sz w:val="17"/>
          <w:szCs w:val="17"/>
          <w:b w:val="1"/>
          <w:bCs w:val="1"/>
          <w:color w:val="auto"/>
        </w:rPr>
        <w:t>relevant person</w:t>
      </w:r>
      <w:r>
        <w:rPr>
          <w:rFonts w:ascii="Arial" w:cs="Arial" w:eastAsia="Arial" w:hAnsi="Arial"/>
          <w:sz w:val="17"/>
          <w:szCs w:val="17"/>
          <w:color w:val="auto"/>
        </w:rPr>
        <w:t>”).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60"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20"/>
          </w:cols>
          <w:pgMar w:left="320" w:top="455" w:right="3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have not been offered or sold and will not be offered or sold, directly or indirectly, to the public in France. Neither this prospectus nor any other offering material relating to the units has been or will be:</w:t>
      </w:r>
    </w:p>
    <w:p>
      <w:pPr>
        <w:spacing w:after="0" w:line="133" w:lineRule="exact"/>
        <w:rPr>
          <w:sz w:val="20"/>
          <w:szCs w:val="20"/>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released, issued, distributed or caused to be released, issued or distributed to the public in France; or</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used in connection with any offer for subscription or sale of the units to the public in France.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Such offers, sales and distributions will be made in France only:</w:t>
      </w:r>
    </w:p>
    <w:p>
      <w:pPr>
        <w:spacing w:after="0" w:line="196" w:lineRule="exact"/>
        <w:rPr>
          <w:sz w:val="20"/>
          <w:szCs w:val="20"/>
          <w:color w:val="auto"/>
        </w:rPr>
      </w:pPr>
    </w:p>
    <w:p>
      <w:pPr>
        <w:ind w:left="880" w:right="180" w:hanging="427"/>
        <w:spacing w:after="0" w:line="249"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to investment services providers authorized to engage in portfolio management on behalf of third parties; or</w:t>
      </w:r>
    </w:p>
    <w:p>
      <w:pPr>
        <w:spacing w:after="0" w:line="34" w:lineRule="exact"/>
        <w:rPr>
          <w:rFonts w:ascii="MS PGothic" w:cs="MS PGothic" w:eastAsia="MS PGothic" w:hAnsi="MS PGothic"/>
          <w:sz w:val="13"/>
          <w:szCs w:val="13"/>
          <w:color w:val="auto"/>
        </w:rPr>
      </w:pPr>
    </w:p>
    <w:p>
      <w:pPr>
        <w:jc w:val="both"/>
        <w:ind w:left="880" w:right="180" w:hanging="427"/>
        <w:spacing w:after="0" w:line="252"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units may be resold directly or indirectly, only in compliance with articles L.411-1, L.411-2, L.412-1 and L.621-8 through L.621-8-3 of the French Code monétaire et financier.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7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6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Where the units are subscribed or purchased under Section 275 of the SFA by a relevant person which is</w:t>
      </w:r>
    </w:p>
    <w:p>
      <w:pPr>
        <w:spacing w:after="0" w:line="196" w:lineRule="exact"/>
        <w:rPr>
          <w:sz w:val="20"/>
          <w:szCs w:val="20"/>
          <w:color w:val="auto"/>
        </w:rPr>
      </w:pPr>
    </w:p>
    <w:p>
      <w:pPr>
        <w:ind w:left="880" w:hanging="427"/>
        <w:spacing w:after="0" w:line="257" w:lineRule="auto"/>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880" w:right="100" w:hanging="427"/>
        <w:spacing w:after="0" w:line="245" w:lineRule="auto"/>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0"/>
          </w:cols>
          <w:pgMar w:left="320" w:top="455"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line="242" w:lineRule="auto"/>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b w:val="1"/>
          <w:bCs w:val="1"/>
          <w:color w:val="auto"/>
        </w:rPr>
        <w:t>Notification under Section 309B of the Securities and Futures Act, Chapter 289 of Singapore</w:t>
      </w:r>
      <w:r>
        <w:rPr>
          <w:rFonts w:ascii="Arial" w:cs="Arial" w:eastAsia="Arial" w:hAnsi="Arial"/>
          <w:sz w:val="17"/>
          <w:szCs w:val="17"/>
          <w:color w:val="auto"/>
        </w:rPr>
        <w:t>: The units are prescribed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6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00"/>
          </w:cols>
          <w:pgMar w:left="320" w:top="455" w:right="3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White &amp; Case LLP, New York, New York, is acting as counsel in connection with the registration of our securities under the Securities Act, and as such, will pass upon the validity of the securities offered in this prospectus with respect to units and warrants. Maples and Calder, Cayman Islands, will pass upon the validity of the securities offered in this prospectus with respect to the ordinary shares and matters of Cayman Islands law. In connection with this offering, Kirkland &amp; Ellis LLP, New York, New York, is acting as counsel to the underwriters.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financial statements of VPC Impact Acquisition Holdings, as of August 3, 2020 and for the period from July 31, 2020 (inception) through August 3,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20"/>
          </w:cols>
          <w:pgMar w:left="320" w:top="455"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7"/>
          <w:szCs w:val="17"/>
          <w:i w:val="1"/>
          <w:iCs w:val="1"/>
          <w:color w:val="auto"/>
        </w:rPr>
        <w:t>www.sec.gov.</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040"/>
          </w:cols>
          <w:pgMar w:left="320" w:top="455" w:right="5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760" w:type="dxa"/>
            <w:vAlign w:val="bottom"/>
            <w:gridSpan w:val="2"/>
            <w:vMerge w:val="restart"/>
          </w:tcPr>
          <w:p>
            <w:pPr>
              <w:spacing w:after="0"/>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Report of Independent Registered Public Accounting Firm</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154"/>
        </w:trPr>
        <w:tc>
          <w:tcPr>
            <w:tcW w:w="10760" w:type="dxa"/>
            <w:vAlign w:val="bottom"/>
            <w:gridSpan w:val="2"/>
            <w:vMerge w:val="continue"/>
          </w:tcPr>
          <w:p>
            <w:pPr>
              <w:spacing w:after="0"/>
              <w:rPr>
                <w:sz w:val="13"/>
                <w:szCs w:val="13"/>
                <w:color w:val="auto"/>
              </w:rPr>
            </w:pPr>
          </w:p>
        </w:tc>
        <w:tc>
          <w:tcPr>
            <w:tcW w:w="4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sz w:val="20"/>
                <w:szCs w:val="20"/>
                <w:color w:val="auto"/>
              </w:rPr>
            </w:pPr>
            <w:r>
              <w:rPr>
                <w:rFonts w:ascii="Arial" w:cs="Arial" w:eastAsia="Arial" w:hAnsi="Arial"/>
                <w:sz w:val="17"/>
                <w:szCs w:val="17"/>
                <w:color w:val="auto"/>
              </w:rPr>
              <w:t>Financial Statements:</w:t>
            </w:r>
          </w:p>
        </w:tc>
        <w:tc>
          <w:tcPr>
            <w:tcW w:w="7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Balance Sheet as of August 3, 2020</w:t>
              </w:r>
            </w:hyperlink>
          </w:p>
        </w:tc>
        <w:tc>
          <w:tcPr>
            <w:tcW w:w="7020" w:type="dxa"/>
            <w:vAlign w:val="bottom"/>
          </w:tcPr>
          <w:p>
            <w:pPr>
              <w:spacing w:after="0"/>
              <w:rPr>
                <w:sz w:val="16"/>
                <w:szCs w:val="16"/>
                <w:color w:val="auto"/>
              </w:rPr>
            </w:pP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Statement of Operations for the period from July</w:t>
              </w:r>
            </w:hyperlink>
          </w:p>
        </w:tc>
        <w:tc>
          <w:tcPr>
            <w:tcW w:w="702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9"/>
        </w:trPr>
        <w:tc>
          <w:tcPr>
            <w:tcW w:w="10760" w:type="dxa"/>
            <w:vAlign w:val="bottom"/>
            <w:gridSpan w:val="2"/>
          </w:tcPr>
          <w:p>
            <w:pPr>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Statement of Changes in Shareholder’s Equity for the period from July 31, 2020 (inception) through August 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9"/>
        </w:trPr>
        <w:tc>
          <w:tcPr>
            <w:tcW w:w="3740" w:type="dxa"/>
            <w:vAlign w:val="bottom"/>
          </w:tcPr>
          <w:p>
            <w:pPr>
              <w:spacing w:after="0" w:line="189" w:lineRule="exact"/>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Statement of Cash Flows for the period from July</w:t>
              </w:r>
            </w:hyperlink>
          </w:p>
        </w:tc>
        <w:tc>
          <w:tcPr>
            <w:tcW w:w="7020" w:type="dxa"/>
            <w:vAlign w:val="bottom"/>
          </w:tcPr>
          <w:p>
            <w:pPr>
              <w:ind w:left="60"/>
              <w:spacing w:after="0" w:line="189" w:lineRule="exact"/>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31, 2020 (inception) through August3, 2020</w:t>
              </w:r>
            </w:hyperlink>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31"/>
        </w:trPr>
        <w:tc>
          <w:tcPr>
            <w:tcW w:w="3740" w:type="dxa"/>
            <w:vAlign w:val="bottom"/>
          </w:tcPr>
          <w:p>
            <w:pPr>
              <w:spacing w:after="0"/>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Notes to Financial Statements</w:t>
              </w:r>
            </w:hyperlink>
          </w:p>
        </w:tc>
        <w:tc>
          <w:tcPr>
            <w:tcW w:w="702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35"/>
        </w:trPr>
        <w:tc>
          <w:tcPr>
            <w:tcW w:w="3740" w:type="dxa"/>
            <w:vAlign w:val="bottom"/>
          </w:tcPr>
          <w:p>
            <w:pPr>
              <w:spacing w:after="0"/>
              <w:rPr>
                <w:sz w:val="24"/>
                <w:szCs w:val="24"/>
                <w:color w:val="auto"/>
              </w:rPr>
            </w:pPr>
          </w:p>
        </w:tc>
        <w:tc>
          <w:tcPr>
            <w:tcW w:w="7020" w:type="dxa"/>
            <w:vAlign w:val="bottom"/>
          </w:tcPr>
          <w:p>
            <w:pPr>
              <w:ind w:left="1760"/>
              <w:spacing w:after="0"/>
              <w:rPr>
                <w:sz w:val="20"/>
                <w:szCs w:val="20"/>
                <w:color w:val="auto"/>
              </w:rPr>
            </w:pPr>
            <w:r>
              <w:rPr>
                <w:rFonts w:ascii="Arial" w:cs="Arial" w:eastAsia="Arial" w:hAnsi="Arial"/>
                <w:sz w:val="16"/>
                <w:szCs w:val="16"/>
                <w:color w:val="auto"/>
              </w:rPr>
              <w:t>F-1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VPC Impact Acquisition 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7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audited the accompanying balance sheet of VPC Impact Acquisition Holdings (the “Company”) as of August 03, 2020, and the related statements of operations, changes in shareholder’s equity and cash flows for the period from July 31, 2020 (inception) through August 03, 2020, and the related notes (collectively referred to as the “financial statements”). In our opinion, the financial statements present fairly, in all material respects, the financial position of the Company as of August 03, 2020, and the results of its operations and its cash flows for the period from July 31, 2020 (inception) through August 03,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 WithumSmith+Brown, PC</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August 7,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VPC IMPACT ACQUISITION HOLDINGS</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900" w:type="dxa"/>
            <w:vAlign w:val="bottom"/>
          </w:tcPr>
          <w:p>
            <w:pPr>
              <w:jc w:val="center"/>
              <w:ind w:left="1254"/>
              <w:spacing w:after="0"/>
              <w:rPr>
                <w:sz w:val="20"/>
                <w:szCs w:val="20"/>
                <w:color w:val="auto"/>
              </w:rPr>
            </w:pPr>
            <w:r>
              <w:rPr>
                <w:rFonts w:ascii="Arial" w:cs="Arial" w:eastAsia="Arial" w:hAnsi="Arial"/>
                <w:sz w:val="18"/>
                <w:szCs w:val="18"/>
                <w:b w:val="1"/>
                <w:bCs w:val="1"/>
                <w:color w:val="auto"/>
                <w:w w:val="99"/>
              </w:rPr>
              <w:t>BALANCE SHEET</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9900" w:type="dxa"/>
            <w:vAlign w:val="bottom"/>
          </w:tcPr>
          <w:p>
            <w:pPr>
              <w:jc w:val="center"/>
              <w:ind w:left="1254"/>
              <w:spacing w:after="0"/>
              <w:rPr>
                <w:sz w:val="20"/>
                <w:szCs w:val="20"/>
                <w:color w:val="auto"/>
              </w:rPr>
            </w:pPr>
            <w:r>
              <w:rPr>
                <w:rFonts w:ascii="Arial" w:cs="Arial" w:eastAsia="Arial" w:hAnsi="Arial"/>
                <w:sz w:val="17"/>
                <w:szCs w:val="17"/>
                <w:color w:val="auto"/>
                <w:w w:val="99"/>
              </w:rPr>
              <w:t>AUGUST 3, 2020</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Deferred offering costs</w:t>
            </w:r>
          </w:p>
        </w:tc>
        <w:tc>
          <w:tcPr>
            <w:tcW w:w="5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9"/>
              </w:rPr>
              <w:t>$ 78,394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Accrued offering costs</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$ 60,000</w:t>
            </w:r>
          </w:p>
        </w:tc>
        <w:tc>
          <w:tcPr>
            <w:tcW w:w="0" w:type="dxa"/>
            <w:vAlign w:val="bottom"/>
          </w:tcPr>
          <w:p>
            <w:pPr>
              <w:spacing w:after="0"/>
              <w:rPr>
                <w:sz w:val="1"/>
                <w:szCs w:val="1"/>
                <w:color w:val="auto"/>
              </w:rPr>
            </w:pPr>
          </w:p>
        </w:tc>
      </w:tr>
      <w:tr>
        <w:trPr>
          <w:trHeight w:val="196"/>
        </w:trPr>
        <w:tc>
          <w:tcPr>
            <w:tcW w:w="99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Commitments and Contingencies</w:t>
            </w: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90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Preference shares, $0.0001 par value; 1,000,000 shares authorized; none issued and outstanding</w:t>
            </w:r>
          </w:p>
        </w:tc>
        <w:tc>
          <w:tcPr>
            <w:tcW w:w="5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Class A ordinary shares, $0.0001 par value; 200,000,000 shares authorized; no shares issued and outstanding</w:t>
            </w:r>
          </w:p>
        </w:tc>
        <w:tc>
          <w:tcPr>
            <w:tcW w:w="54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 xml:space="preserve">Class B ordinary shares, $0.0001 par value; 20,000,000 shares authorized; 5,750,000 shares issued and outstanding </w:t>
            </w:r>
            <w:r>
              <w:rPr>
                <w:rFonts w:ascii="Arial" w:cs="Arial" w:eastAsia="Arial" w:hAnsi="Arial"/>
                <w:sz w:val="14"/>
                <w:szCs w:val="14"/>
                <w:color w:val="auto"/>
              </w:rPr>
              <w:t>(1)</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9"/>
        </w:trPr>
        <w:tc>
          <w:tcPr>
            <w:tcW w:w="990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3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24,425</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3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203"/>
        </w:trPr>
        <w:tc>
          <w:tcPr>
            <w:tcW w:w="9900" w:type="dxa"/>
            <w:vAlign w:val="bottom"/>
          </w:tcPr>
          <w:p>
            <w:pPr>
              <w:ind w:left="260"/>
              <w:spacing w:after="0"/>
              <w:rPr>
                <w:sz w:val="20"/>
                <w:szCs w:val="20"/>
                <w:color w:val="auto"/>
              </w:rPr>
            </w:pPr>
            <w:r>
              <w:rPr>
                <w:rFonts w:ascii="Arial" w:cs="Arial" w:eastAsia="Arial" w:hAnsi="Arial"/>
                <w:sz w:val="17"/>
                <w:szCs w:val="17"/>
                <w:b w:val="1"/>
                <w:bCs w:val="1"/>
                <w:color w:val="auto"/>
              </w:rPr>
              <w:t>Total Shareholder’s Equity</w:t>
            </w:r>
          </w:p>
        </w:tc>
        <w:tc>
          <w:tcPr>
            <w:tcW w:w="5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 AND SHAREHOLDER’S EQUITY</w:t>
            </w:r>
          </w:p>
        </w:tc>
        <w:tc>
          <w:tcPr>
            <w:tcW w:w="13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$ 78,394</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60" w:type="dxa"/>
            <w:vAlign w:val="bottom"/>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6,606</w:t>
            </w:r>
          </w:p>
        </w:tc>
        <w:tc>
          <w:tcPr>
            <w:tcW w:w="0" w:type="dxa"/>
            <w:vAlign w:val="bottom"/>
          </w:tcPr>
          <w:p>
            <w:pPr>
              <w:spacing w:after="0"/>
              <w:rPr>
                <w:sz w:val="1"/>
                <w:szCs w:val="1"/>
                <w:color w:val="auto"/>
              </w:rPr>
            </w:pPr>
          </w:p>
        </w:tc>
      </w:tr>
      <w:tr>
        <w:trPr>
          <w:trHeight w:val="196"/>
        </w:trPr>
        <w:tc>
          <w:tcPr>
            <w:tcW w:w="10260" w:type="dxa"/>
            <w:vAlign w:val="bottom"/>
          </w:tcPr>
          <w:p>
            <w:pPr>
              <w:ind w:left="260"/>
              <w:spacing w:after="0"/>
              <w:rPr>
                <w:sz w:val="20"/>
                <w:szCs w:val="20"/>
                <w:color w:val="auto"/>
              </w:rPr>
            </w:pPr>
            <w:r>
              <w:rPr>
                <w:rFonts w:ascii="Arial" w:cs="Arial" w:eastAsia="Arial" w:hAnsi="Arial"/>
                <w:sz w:val="17"/>
                <w:szCs w:val="17"/>
                <w:b w:val="1"/>
                <w:bCs w:val="1"/>
                <w:color w:val="auto"/>
              </w:rPr>
              <w:t>Net loss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100" w:type="dxa"/>
            <w:vAlign w:val="bottom"/>
          </w:tcPr>
          <w:p>
            <w:pPr>
              <w:jc w:val="right"/>
              <w:ind w:right="23"/>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 average shares outstanding, basic and diluted </w:t>
            </w: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3"/>
              <w:spacing w:after="0" w:line="183" w:lineRule="exact"/>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7"/>
                <w:szCs w:val="17"/>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6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(0.00)</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00" w:hanging="297"/>
        <w:spacing w:after="0" w:line="195" w:lineRule="auto"/>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Excludes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480" w:type="dxa"/>
            <w:vAlign w:val="bottom"/>
            <w:gridSpan w:val="4"/>
          </w:tcPr>
          <w:p>
            <w:pPr>
              <w:ind w:left="620"/>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TOTAL</w:t>
            </w:r>
          </w:p>
        </w:tc>
      </w:tr>
      <w:tr>
        <w:trPr>
          <w:trHeight w:val="175"/>
        </w:trPr>
        <w:tc>
          <w:tcPr>
            <w:tcW w:w="4660" w:type="dxa"/>
            <w:vAlign w:val="bottom"/>
          </w:tcPr>
          <w:p>
            <w:pPr>
              <w:spacing w:after="0"/>
              <w:rPr>
                <w:sz w:val="15"/>
                <w:szCs w:val="15"/>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5"/>
                <w:szCs w:val="15"/>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PAID-IN</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SHAREHOLDER’S</w:t>
            </w:r>
          </w:p>
        </w:tc>
      </w:tr>
      <w:tr>
        <w:trPr>
          <w:trHeight w:val="156"/>
        </w:trPr>
        <w:tc>
          <w:tcPr>
            <w:tcW w:w="46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560"/>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1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EQUITY</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Balance—July 31, 2020 (inception)</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w w:val="89"/>
              </w:rPr>
              <w:t>$</w:t>
            </w:r>
          </w:p>
        </w:tc>
        <w:tc>
          <w:tcPr>
            <w:tcW w:w="7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89"/>
        </w:trPr>
        <w:tc>
          <w:tcPr>
            <w:tcW w:w="4660" w:type="dxa"/>
            <w:vAlign w:val="bottom"/>
          </w:tcPr>
          <w:p>
            <w:pPr>
              <w:ind w:left="260"/>
              <w:spacing w:after="0" w:line="189" w:lineRule="exact"/>
              <w:rPr>
                <w:sz w:val="20"/>
                <w:szCs w:val="20"/>
                <w:color w:val="auto"/>
              </w:rPr>
            </w:pPr>
            <w:r>
              <w:rPr>
                <w:rFonts w:ascii="Arial" w:cs="Arial" w:eastAsia="Arial" w:hAnsi="Arial"/>
                <w:sz w:val="17"/>
                <w:szCs w:val="17"/>
                <w:color w:val="auto"/>
              </w:rPr>
              <w:t xml:space="preserve">Issuance of Class B ordinary shares to Sponsor </w:t>
            </w:r>
            <w:r>
              <w:rPr>
                <w:rFonts w:ascii="Arial" w:cs="Arial" w:eastAsia="Arial" w:hAnsi="Arial"/>
                <w:sz w:val="14"/>
                <w:szCs w:val="14"/>
                <w:color w:val="auto"/>
              </w:rPr>
              <w:t>(1)</w:t>
            </w: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5,750,000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575</w:t>
            </w: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24,425</w:t>
            </w:r>
          </w:p>
        </w:tc>
        <w:tc>
          <w:tcPr>
            <w:tcW w:w="200" w:type="dxa"/>
            <w:vAlign w:val="bottom"/>
          </w:tcPr>
          <w:p>
            <w:pPr>
              <w:spacing w:after="0"/>
              <w:rPr>
                <w:sz w:val="16"/>
                <w:szCs w:val="16"/>
                <w:color w:val="auto"/>
              </w:rPr>
            </w:pP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46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loss</w:t>
            </w: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(6,606)</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96"/>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Balance—August 3,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5,750,000</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575</w:t>
            </w: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24,425</w:t>
            </w: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18,394</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440" w:right="160" w:hanging="297"/>
        <w:spacing w:after="0" w:line="195"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Includes an aggregate of up to 750,000 Class B ordinary shares that are subject to forfeiture depending on the extent to which the underwriters’ over-allotment option is exercised (see Note 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PERIOD FROM JULY 31, 2020 (INCEPTION) THROUGH 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(6,606)</w:t>
            </w: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Payment of formation costs through issuance of Class B ordinary shares</w:t>
            </w:r>
          </w:p>
        </w:tc>
        <w:tc>
          <w:tcPr>
            <w:tcW w:w="1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6,606</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b w:val="1"/>
                <w:bCs w:val="1"/>
                <w:color w:val="auto"/>
              </w:rPr>
              <w:t>Net cash used in operating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b w:val="1"/>
                <w:bCs w:val="1"/>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Net Change in Cash</w:t>
            </w:r>
          </w:p>
        </w:tc>
        <w:tc>
          <w:tcPr>
            <w:tcW w:w="1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Cash—Beginning of period</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9440" w:type="dxa"/>
            <w:vAlign w:val="bottom"/>
          </w:tcPr>
          <w:p>
            <w:pPr>
              <w:spacing w:after="0"/>
              <w:rPr>
                <w:sz w:val="20"/>
                <w:szCs w:val="20"/>
                <w:color w:val="auto"/>
              </w:rPr>
            </w:pPr>
            <w:r>
              <w:rPr>
                <w:rFonts w:ascii="Arial" w:cs="Arial" w:eastAsia="Arial" w:hAnsi="Arial"/>
                <w:sz w:val="17"/>
                <w:szCs w:val="17"/>
                <w:b w:val="1"/>
                <w:bCs w:val="1"/>
                <w:color w:val="auto"/>
              </w:rPr>
              <w:t>Cash—End of period</w:t>
            </w:r>
          </w:p>
        </w:tc>
        <w:tc>
          <w:tcPr>
            <w:tcW w:w="10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Non-cash investing and financing activities: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Deferred offering costs included in accrued offering costs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60,000</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9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offering costs paid by Sponsor in exchange for the issuance of Class B ordinary shares</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18,394</w:t>
            </w:r>
          </w:p>
        </w:tc>
      </w:tr>
      <w:tr>
        <w:trPr>
          <w:trHeight w:val="20"/>
        </w:trPr>
        <w:tc>
          <w:tcPr>
            <w:tcW w:w="9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8"/>
        </w:trPr>
        <w:tc>
          <w:tcPr>
            <w:tcW w:w="9440" w:type="dxa"/>
            <w:vAlign w:val="bottom"/>
          </w:tcPr>
          <w:p>
            <w:pPr>
              <w:ind w:left="280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5"/>
        </w:trPr>
        <w:tc>
          <w:tcPr>
            <w:tcW w:w="9440" w:type="dxa"/>
            <w:vAlign w:val="bottom"/>
          </w:tcPr>
          <w:p>
            <w:pPr>
              <w:ind w:left="5500"/>
              <w:spacing w:after="0"/>
              <w:rPr>
                <w:sz w:val="20"/>
                <w:szCs w:val="20"/>
                <w:color w:val="auto"/>
              </w:rPr>
            </w:pPr>
            <w:r>
              <w:rPr>
                <w:rFonts w:ascii="Arial" w:cs="Arial" w:eastAsia="Arial" w:hAnsi="Arial"/>
                <w:sz w:val="16"/>
                <w:szCs w:val="16"/>
                <w:color w:val="auto"/>
              </w:rPr>
              <w:t>F-6</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Plan of Business Operations</w:t>
      </w:r>
    </w:p>
    <w:p>
      <w:pPr>
        <w:spacing w:after="0" w:line="10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As of August 3, 2020, the Company had not commenced any operations. All activity for the period from July 31, 2020 (inception) through August 3,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20,000,000 units (the “Units” and, with respect to the Class A ordinary shares included in the Units being offered, the “Public Shares”) at $10.00 per Unit (or 23,000,000 Units if the underwriters’ over-allotment option is exercised in full), which is discussed in Note 3, and the sale of 6,000,000 warrants (or 6,600,000 warrants if the underwriters’ over-allotment option is exercised in full) (the “Private Placement Warrants”) at a price of $1.00 per Private Placement Warrant in a private placement to VPC Impact Acquisition Holdings Sponsor, LLC (the “Sponsor”), that will close simultaneously with the Proposed Public Offering.</w:t>
      </w:r>
    </w:p>
    <w:p>
      <w:pPr>
        <w:spacing w:after="0" w:line="12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(as defined below)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investing solely in U.S. Treasuries and meeting certain conditions under Rule 2a-7 of the Investment Company Act, as determined by the Company, until the earliest of: (i) the completion of a Business Combination and (ii) the distribution of the funds in the Trust Account to the Company’s shareholders, as described below.</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anticipated to be $10.00 per Public Share), including interest (which interest shall be net of taxes payable), divided by the number of then issued and outstanding public shares, subject to certain limitations as described in the prospectus. The per-share amount to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 The Class A ordinary shares will be recorded at redemption value and classified as temporary equity upon the completion of the Proposed Public Offering, in accordance with Accounting Standards Codification (“ASC”) Topic 480 “Distinguishing Liabilities from Equity.”</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2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will have until 24 months from the closing of the Proposed Public Offering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w:t>
      </w:r>
    </w:p>
    <w:p>
      <w:pPr>
        <w:spacing w:after="0" w:line="3" w:lineRule="exact"/>
        <w:rPr>
          <w:sz w:val="20"/>
          <w:szCs w:val="20"/>
          <w:color w:val="auto"/>
        </w:rPr>
      </w:pPr>
    </w:p>
    <w:p>
      <w:pPr>
        <w:jc w:val="both"/>
        <w:ind w:right="40" w:firstLine="8"/>
        <w:spacing w:after="0" w:line="238" w:lineRule="auto"/>
        <w:tabs>
          <w:tab w:leader="none" w:pos="199" w:val="left"/>
        </w:tabs>
        <w:numPr>
          <w:ilvl w:val="0"/>
          <w:numId w:val="93"/>
        </w:numPr>
        <w:rPr>
          <w:rFonts w:ascii="Arial" w:cs="Arial" w:eastAsia="Arial" w:hAnsi="Arial"/>
          <w:sz w:val="17"/>
          <w:szCs w:val="17"/>
          <w:color w:val="auto"/>
        </w:rPr>
      </w:pPr>
      <w:r>
        <w:rPr>
          <w:rFonts w:ascii="Arial" w:cs="Arial" w:eastAsia="Arial" w:hAnsi="Arial"/>
          <w:sz w:val="17"/>
          <w:szCs w:val="17"/>
          <w:color w:val="auto"/>
        </w:rPr>
        <w:t>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and pursuant to the rules and regulations of the SEC.</w:t>
      </w:r>
    </w:p>
    <w:p>
      <w:pPr>
        <w:spacing w:after="0" w:line="114"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and one year from the date of issuance of these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1"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jc w:val="both"/>
        <w:ind w:right="120"/>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Deferred offering costs consist of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Company accounts for income taxes under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August 3,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23"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Ordinary Share</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Net loss per share is computed by dividing net loss by the weighted average number of ordinary shares issued and outstanding during the period, excluding ordinary shares subject to forfeiture. Weighted average shares were reduced for the effect of an aggregate of 750,000 Class B ordinary shares that are subject to forfeiture depending on the extent to which the underwriters’ over-allotment option is exercised (see Note 7). At August 3,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20"/>
          </w:cols>
          <w:pgMar w:left="320" w:top="455" w:right="3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4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Standards</w:t>
      </w:r>
    </w:p>
    <w:p>
      <w:pPr>
        <w:spacing w:after="0" w:line="4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3—Proposed Public Offering</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Pursuant to the Proposed Public Offering, the Company will offer for sale up to 20,000,000 Units (or 23,000,000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4—Private Placement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Sponsor has committed to purchase an aggregate of 6,000,000 Private Placement Warrants (or 6,600,000 Private Placement Warrants if the underwriters’ over-allotment option is exercised in full) at a price of $1.00 per Private Placement Warrant, for an aggregate purchase price of $6,000,000 (or $6,600,000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subject to adjustment (see Note 7). A portion of the proceeds from the Private Placement Warrants will be added to the proceeds from the Proposed Public Offering to be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August 3, 2020, the Sponsor paid $25,000 to cover certain offering and formation costs of the Company in consideration for 5,750,000 Class B ordinary shares (the “Founder Shares”). In September 2020, our sponsor transferred an aggregate of 60,000 founder shares of to members of our board of directors, resulting in our sponsor holding 5,690,000 founder shares. The Founder Shares include an aggregate of up to 750,000 shares that are subject to forfeiture depending on the extent to which the underwriters’ over-allotment option is exercised, so that the number of Founder Shares will equal, on an as-converted basis, approximately 20% of the Company’s issued and outstanding ordinary shares after the Proposed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Note—Related Party</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On August 3, 2020, the Company issued an unsecured promissory note (the “Promissory Note”) to the Sponsor, pursuant to which the Company may borrow up to an aggregate principal amount of $300,000. The Promissory Note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is non-interest bearing and payable on the earlier of (i) December 31, 2020 and (ii) the completion of the Proposed Public Offering. As of August 3, 2020, there were no borrowings outstanding under the Promissory Note.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w:t>
      </w:r>
    </w:p>
    <w:p>
      <w:pPr>
        <w:spacing w:after="0" w:line="4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Commencing on the date that the Company completes its Proposed Public Offering, the Company will enter into an agreement pursuant to which it will pay the Sponsor up to $10,000 per month for office space, utilities, secretarial and administrative support services. Upon completion of a Business Combination or its liquidation, the Company will cease paying these monthly fees.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Party Loans</w:t>
      </w:r>
    </w:p>
    <w:p>
      <w:pPr>
        <w:spacing w:after="0" w:line="4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August 3, 2020, the Company had no outstanding borrowings under the Working Capital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5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and Shareholders Rights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will be entitled to registration rights requiring the Company to register a sale of any of its securities held by them pursuant to a registration rights agreement to be signed prior to or on the effective date of the Proposed Public Offering.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the expenses incurred in connection with the filing of any such registration statements.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43"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Company will grant the underwriters a 45-day option to purchase up to 3,000,000 additional Units to cover over-allotments at the Proposed Public Offering price, less the underwriting discounts and commissions.</w:t>
      </w:r>
    </w:p>
    <w:p>
      <w:pPr>
        <w:spacing w:after="0" w:line="104"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will be entitled to a cash underwriting discount of $0.20 per Unit, or $4,000,000 in the aggregate (or $4,600,000 if the underwriters’ over-allotment option is exercised in full), payable upon the closing of the Proposed Public Offering. In addition, the underwriters will be entitled to a deferred fee of $0.35 per Unit, or $7,000,000 in the aggregate (or $8,050,000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60"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—The Company is authorized to issue 1,000,000 preference shares with a par value of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At August 3, 2020, there were no preference shares issued or outstanding.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00"/>
          </w:cols>
          <w:pgMar w:left="320" w:top="455"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500"/>
        <w:spacing w:after="0" w:line="253"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August 3, 2020, there were no Class A ordinary shares issued or outstanding.</w:t>
      </w:r>
    </w:p>
    <w:p>
      <w:pPr>
        <w:spacing w:after="0" w:line="11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20,000,000 Class B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Class B ordinary shares are entitled to one vote for each share. At August 3, 2020, there were 5,750,000 Class B ordinary shares issued and outstanding, of which an aggregate of up to 750,000 shares are subject to forfeiture depending on the extent to which the underwriters’ over-allotment option is exercised, so that the number of Class B ordinary shares will equal 20% of the Company’s issued and outstanding ordinary shares after the Proposed Public Offering.</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1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color w:val="auto"/>
        </w:rPr>
        <w:t>—Public Warrants may only be exercised for a whole number of shares. No fractional shares will be issued upon exercise of the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Warrants. The Public Warrants will become exercisable on the later of (a) 30 days after the completion of a Business Combination and (b) one year from the closing of the Proposed Public Offering. The Public Warrants will expire five years from the completion of a Business Combination or earlier upon redemption or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w:t>
      </w:r>
      <w:r>
        <w:rPr>
          <w:rFonts w:ascii="Arial" w:cs="Arial" w:eastAsia="Arial" w:hAnsi="Arial"/>
          <w:sz w:val="14"/>
          <w:szCs w:val="14"/>
          <w:color w:val="auto"/>
        </w:rPr>
        <w:t>th</w:t>
      </w:r>
      <w:r>
        <w:rPr>
          <w:rFonts w:ascii="Arial" w:cs="Arial" w:eastAsia="Arial" w:hAnsi="Arial"/>
          <w:sz w:val="17"/>
          <w:szCs w:val="17"/>
          <w:color w:val="auto"/>
        </w:rPr>
        <w:t>)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 price of $0.01 per warrant;</w:t>
      </w:r>
    </w:p>
    <w:p>
      <w:pPr>
        <w:ind w:left="460"/>
        <w:spacing w:after="0" w:line="228" w:lineRule="auto"/>
        <w:rPr>
          <w:sz w:val="20"/>
          <w:szCs w:val="20"/>
          <w:color w:val="auto"/>
        </w:rPr>
      </w:pPr>
      <w:r>
        <w:rPr>
          <w:rFonts w:ascii="Arial" w:cs="Arial" w:eastAsia="Arial" w:hAnsi="Arial"/>
          <w:sz w:val="18"/>
          <w:szCs w:val="18"/>
          <w:color w:val="auto"/>
        </w:rPr>
        <w:t>upon a minimum of 30 days’ prior written notice of redemption to each warrant holder; and</w:t>
      </w:r>
    </w:p>
    <w:p>
      <w:pPr>
        <w:spacing w:after="0" w:line="1" w:lineRule="exact"/>
        <w:rPr>
          <w:sz w:val="20"/>
          <w:szCs w:val="20"/>
          <w:color w:val="auto"/>
        </w:rPr>
      </w:pPr>
    </w:p>
    <w:p>
      <w:pPr>
        <w:ind w:left="460" w:right="80"/>
        <w:spacing w:after="0" w:line="248" w:lineRule="auto"/>
        <w:rPr>
          <w:sz w:val="20"/>
          <w:szCs w:val="20"/>
          <w:color w:val="auto"/>
        </w:rPr>
      </w:pPr>
      <w:r>
        <w:rPr>
          <w:rFonts w:ascii="Arial" w:cs="Arial" w:eastAsia="Arial" w:hAnsi="Arial"/>
          <w:sz w:val="17"/>
          <w:szCs w:val="17"/>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pacing w:after="0" w:line="114"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Redemption of warrants when the price per Class A ordinary share equals or exceeds $10.00</w:t>
      </w:r>
      <w:r>
        <w:rPr>
          <w:rFonts w:ascii="Arial" w:cs="Arial" w:eastAsia="Arial" w:hAnsi="Arial"/>
          <w:sz w:val="17"/>
          <w:szCs w:val="17"/>
          <w:color w:val="auto"/>
        </w:rPr>
        <w:t>. Once the warrants become exercisable,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may redeem the outstanding warrants (except as described with respect to the Private Placement Warrants):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whole and not in part;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$0.10 per warrant;</w:t>
      </w:r>
    </w:p>
    <w:p>
      <w:pPr>
        <w:ind w:left="460" w:right="40"/>
        <w:spacing w:after="0" w:line="232" w:lineRule="auto"/>
        <w:rPr>
          <w:sz w:val="20"/>
          <w:szCs w:val="20"/>
          <w:color w:val="auto"/>
        </w:rPr>
      </w:pPr>
      <w:r>
        <w:rPr>
          <w:rFonts w:ascii="Arial" w:cs="Arial" w:eastAsia="Arial" w:hAnsi="Arial"/>
          <w:sz w:val="17"/>
          <w:szCs w:val="17"/>
          <w:color w:val="auto"/>
        </w:rPr>
        <w:t>upon a minimum of 30 days’ prior written notice of redemption; provided that holders will be able to exercise their warrants on a cashless basis prior to redemption and receive that number of shares determined based on the redemption date and the fair market value of the Class A ordinary shares;</w:t>
      </w:r>
    </w:p>
    <w:p>
      <w:pPr>
        <w:ind w:left="460" w:right="160"/>
        <w:spacing w:after="0" w:line="232" w:lineRule="auto"/>
        <w:rPr>
          <w:sz w:val="20"/>
          <w:szCs w:val="20"/>
          <w:color w:val="auto"/>
        </w:rPr>
      </w:pPr>
      <w:r>
        <w:rPr>
          <w:rFonts w:ascii="Arial" w:cs="Arial" w:eastAsia="Arial" w:hAnsi="Arial"/>
          <w:sz w:val="17"/>
          <w:szCs w:val="17"/>
          <w:color w:val="auto"/>
        </w:rPr>
        <w:t>if, and only if, the closing price of the Class A ordinary shares equal or exceeds $10.00 per public share (as adjusted) for any 20 trading days within the 30-trading day period ending three trading days before the Company send the notice of redemption of the warrant holders; and</w:t>
      </w:r>
    </w:p>
    <w:p>
      <w:pPr>
        <w:ind w:left="460" w:right="60"/>
        <w:spacing w:after="0" w:line="236" w:lineRule="auto"/>
        <w:rPr>
          <w:sz w:val="20"/>
          <w:szCs w:val="20"/>
          <w:color w:val="auto"/>
        </w:rPr>
      </w:pPr>
      <w:r>
        <w:rPr>
          <w:rFonts w:ascii="Arial" w:cs="Arial" w:eastAsia="Arial" w:hAnsi="Arial"/>
          <w:sz w:val="17"/>
          <w:szCs w:val="17"/>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“Description of Securities— Warrants—Public Warrants—Anti-dilution Adjustments”), the private placement warrants must also be concurrently called for redemption on the same terms as the outstanding public warrants, as described above.</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73" w:lineRule="exact"/>
        <w:rPr>
          <w:sz w:val="20"/>
          <w:szCs w:val="20"/>
          <w:color w:val="auto"/>
        </w:rPr>
      </w:pPr>
    </w:p>
    <w:p>
      <w:pPr>
        <w:jc w:val="both"/>
        <w:ind w:right="400"/>
        <w:spacing w:after="0" w:line="253"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August 7, 2020, the date that the financial statements were available to be issued. Based upon this review, the Company did not identify any subsequent events that would have required adjustment or disclosure in the financial statements.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20"/>
          </w:cols>
          <w:pgMar w:left="320" w:top="455" w:right="359" w:bottom="1440" w:gutter="0" w:footer="0" w:header="0"/>
        </w:sectPr>
      </w:pPr>
    </w:p>
    <w:bookmarkStart w:id="177" w:name="page178"/>
    <w:bookmarkEnd w:id="17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20,000,000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36"/>
          <w:szCs w:val="36"/>
          <w:b w:val="1"/>
          <w:bCs w:val="1"/>
          <w:color w:val="auto"/>
        </w:rPr>
        <w:t>VPC Impact Acquisition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884555</wp:posOffset>
            </wp:positionV>
            <wp:extent cx="22802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02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Until [•], 2020 (25 days after the date of this prospectus), all dealers that buy, sell or trade our units, Class A ordinary shares or public warrants,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20" w:type="dxa"/>
            <w:vAlign w:val="bottom"/>
            <w:shd w:val="clear" w:color="auto" w:fill="CCEEFF"/>
          </w:tcPr>
          <w:p>
            <w:pPr>
              <w:spacing w:after="0"/>
              <w:rPr>
                <w:sz w:val="20"/>
                <w:szCs w:val="20"/>
                <w:color w:val="auto"/>
              </w:rPr>
            </w:pPr>
            <w:r>
              <w:rPr>
                <w:rFonts w:ascii="Arial" w:cs="Arial" w:eastAsia="Arial" w:hAnsi="Arial"/>
                <w:sz w:val="17"/>
                <w:szCs w:val="17"/>
                <w:color w:val="auto"/>
              </w:rPr>
              <w:t>SEC/FINRA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Travel and road show expenses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325,000</w:t>
            </w:r>
          </w:p>
        </w:tc>
      </w:tr>
      <w:tr>
        <w:trPr>
          <w:trHeight w:val="189"/>
        </w:trPr>
        <w:tc>
          <w:tcPr>
            <w:tcW w:w="10220" w:type="dxa"/>
            <w:vAlign w:val="bottom"/>
          </w:tcPr>
          <w:p>
            <w:pPr>
              <w:spacing w:after="0" w:line="189" w:lineRule="exact"/>
              <w:rPr>
                <w:sz w:val="20"/>
                <w:szCs w:val="20"/>
                <w:color w:val="auto"/>
              </w:rPr>
            </w:pPr>
            <w:r>
              <w:rPr>
                <w:rFonts w:ascii="Arial" w:cs="Arial" w:eastAsia="Arial" w:hAnsi="Arial"/>
                <w:sz w:val="17"/>
                <w:szCs w:val="17"/>
                <w:color w:val="auto"/>
              </w:rPr>
              <w:t>Nasdaq listing and filing fees</w:t>
            </w:r>
          </w:p>
        </w:tc>
        <w:tc>
          <w:tcPr>
            <w:tcW w:w="14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55,000</w:t>
            </w: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Directors’ and officers’ liability insurance </w:t>
            </w: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125,000</w:t>
            </w:r>
          </w:p>
        </w:tc>
      </w:tr>
      <w:tr>
        <w:trPr>
          <w:trHeight w:val="196"/>
        </w:trPr>
        <w:tc>
          <w:tcPr>
            <w:tcW w:w="1022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315,000</w:t>
            </w:r>
          </w:p>
        </w:tc>
        <w:tc>
          <w:tcPr>
            <w:tcW w:w="60" w:type="dxa"/>
            <w:vAlign w:val="bottom"/>
          </w:tcPr>
          <w:p>
            <w:pPr>
              <w:spacing w:after="0"/>
              <w:rPr>
                <w:sz w:val="17"/>
                <w:szCs w:val="17"/>
                <w:color w:val="auto"/>
              </w:rPr>
            </w:pPr>
          </w:p>
        </w:tc>
      </w:tr>
      <w:tr>
        <w:trPr>
          <w:trHeight w:val="189"/>
        </w:trPr>
        <w:tc>
          <w:tcPr>
            <w:tcW w:w="10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1,000,000</w:t>
            </w:r>
          </w:p>
        </w:tc>
      </w:tr>
      <w:tr>
        <w:trPr>
          <w:trHeight w:val="20"/>
        </w:trPr>
        <w:tc>
          <w:tcPr>
            <w:tcW w:w="10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ind w:left="440" w:right="20" w:hanging="297"/>
        <w:spacing w:after="0" w:line="195"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This amount represents the approximate amount of annual directors’ and officers’ liability insurance premiums the registrant anticipates paying following the completion of its initial public offering and until it completes an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p>
      <w:pPr>
        <w:spacing w:after="0" w:line="6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 July 31, 2020, VPC Impact Acquisition Holdings Sponsor, LLC, our sponsor, paid $25,000, or approximately $0.004 per share, to cover certain of our offering costs in exchange for 5,750,000 Class B ordinary shares. In September 2020, our sponsor transferred an aggregate of 60,000 Class B ordinary shares to member of our board of directors, resulting in our sponsor holding 5,690,000 Class B ordinary shares.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23,000,000 units if the underwriters’ over-allotment option is exercised in full and therefore that such founder shares would represent 20% of the outstanding shares after this offering. Up to 750,000 of these shares will be surrendered for no consideration depending on the extent to which the underwriters’ over-allotment is exercised.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sponsor has committed to, pursuant to a written agreement, to purchase from us an aggregate of 6,000,000 private placement warrants (or 6,600,000 warrants if the underwriters’ over-allotment option is exercised in full) at $1.00 per warrant (for an aggregate purchase price of $6,000,000 (or $6,600,000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 underwriting discounts or commissions were paid with respect to such sales.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0" w:type="dxa"/>
            <w:vAlign w:val="bottom"/>
            <w:tcBorders>
              <w:bottom w:val="single" w:sz="8" w:color="auto"/>
            </w:tcBorders>
            <w:gridSpan w:val="5"/>
          </w:tcPr>
          <w:p>
            <w:pPr>
              <w:ind w:left="1800"/>
              <w:spacing w:after="0"/>
              <w:rPr>
                <w:sz w:val="20"/>
                <w:szCs w:val="20"/>
                <w:color w:val="auto"/>
              </w:rPr>
            </w:pPr>
            <w:r>
              <w:rPr>
                <w:rFonts w:ascii="Arial" w:cs="Arial" w:eastAsia="Arial" w:hAnsi="Arial"/>
                <w:sz w:val="14"/>
                <w:szCs w:val="14"/>
                <w:b w:val="1"/>
                <w:bCs w:val="1"/>
                <w:color w:val="auto"/>
              </w:rPr>
              <w:t>DESCRIPTION</w:t>
            </w:r>
          </w:p>
        </w:tc>
      </w:tr>
      <w:tr>
        <w:trPr>
          <w:trHeight w:val="314"/>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Memorandum and Articles of Association.*</w:t>
              </w:r>
            </w:hyperlink>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3.2</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17">
              <w:r>
                <w:rPr>
                  <w:rFonts w:ascii="Arial" w:cs="Arial" w:eastAsia="Arial" w:hAnsi="Arial"/>
                  <w:sz w:val="17"/>
                  <w:szCs w:val="17"/>
                  <w:u w:val="single" w:color="auto"/>
                  <w:color w:val="0000EE"/>
                </w:rPr>
                <w:t>Form of Amended and Restated Memorandum and Articles of Association.*</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64">
              <w:r>
                <w:rPr>
                  <w:rFonts w:ascii="Arial" w:cs="Arial" w:eastAsia="Arial" w:hAnsi="Arial"/>
                  <w:sz w:val="17"/>
                  <w:szCs w:val="17"/>
                  <w:u w:val="single" w:color="auto"/>
                  <w:color w:val="0000EE"/>
                </w:rPr>
                <w:t>Specimen Unit Certificate.*</w:t>
              </w:r>
            </w:hyperlink>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67">
              <w:r>
                <w:rPr>
                  <w:rFonts w:ascii="Arial" w:cs="Arial" w:eastAsia="Arial" w:hAnsi="Arial"/>
                  <w:sz w:val="17"/>
                  <w:szCs w:val="17"/>
                  <w:u w:val="single" w:color="auto"/>
                  <w:color w:val="0000EE"/>
                </w:rPr>
                <w:t>Specimen Ordinary Share Certificate.*</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70">
              <w:r>
                <w:rPr>
                  <w:rFonts w:ascii="Arial" w:cs="Arial" w:eastAsia="Arial" w:hAnsi="Arial"/>
                  <w:sz w:val="17"/>
                  <w:szCs w:val="17"/>
                  <w:u w:val="single" w:color="auto"/>
                  <w:color w:val="0000EE"/>
                </w:rPr>
                <w:t>Specimen Warrant Certificate.*</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4.4</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75">
              <w:r>
                <w:rPr>
                  <w:rFonts w:ascii="Arial" w:cs="Arial" w:eastAsia="Arial" w:hAnsi="Arial"/>
                  <w:sz w:val="17"/>
                  <w:szCs w:val="17"/>
                  <w:u w:val="single" w:color="auto"/>
                  <w:color w:val="0000EE"/>
                </w:rPr>
                <w:t>Form of Warrant Agreement between Continental Stock Transfer &amp; Trust Company and the Registrant.*</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297">
              <w:r>
                <w:rPr>
                  <w:rFonts w:ascii="Arial" w:cs="Arial" w:eastAsia="Arial" w:hAnsi="Arial"/>
                  <w:sz w:val="17"/>
                  <w:szCs w:val="17"/>
                  <w:u w:val="single" w:color="auto"/>
                  <w:color w:val="0000EE"/>
                </w:rPr>
                <w:t>Opinion of White &amp; Case LLP.*</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Opinion of Maples and Calder, Cayman Islands legal counsel to the Registrant.*</w:t>
              </w:r>
            </w:hyperlink>
          </w:p>
        </w:tc>
      </w:tr>
      <w:tr>
        <w:trPr>
          <w:trHeight w:val="253"/>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10.1</w:t>
            </w:r>
          </w:p>
        </w:tc>
        <w:tc>
          <w:tcPr>
            <w:tcW w:w="960" w:type="dxa"/>
            <w:vAlign w:val="bottom"/>
          </w:tcPr>
          <w:p>
            <w:pPr>
              <w:spacing w:after="0"/>
              <w:rPr>
                <w:sz w:val="21"/>
                <w:szCs w:val="21"/>
                <w:color w:val="auto"/>
              </w:rPr>
            </w:pPr>
          </w:p>
        </w:tc>
        <w:tc>
          <w:tcPr>
            <w:tcW w:w="9400" w:type="dxa"/>
            <w:vAlign w:val="bottom"/>
            <w:gridSpan w:val="9"/>
          </w:tcPr>
          <w:p>
            <w:pPr>
              <w:spacing w:after="0"/>
              <w:rPr>
                <w:rFonts w:ascii="Arial" w:cs="Arial" w:eastAsia="Arial" w:hAnsi="Arial"/>
                <w:sz w:val="17"/>
                <w:szCs w:val="17"/>
                <w:color w:val="0000EE"/>
              </w:rPr>
            </w:pPr>
            <w:hyperlink w:anchor="page308">
              <w:r>
                <w:rPr>
                  <w:rFonts w:ascii="Arial" w:cs="Arial" w:eastAsia="Arial" w:hAnsi="Arial"/>
                  <w:sz w:val="17"/>
                  <w:szCs w:val="17"/>
                  <w:color w:val="0000EE"/>
                </w:rPr>
                <w:t>Form of Letter Agreement among the Registrant, VPC Impact Acquisition Holdings Sponsor, LLC and each of the officers</w:t>
              </w:r>
            </w:hyperlink>
          </w:p>
        </w:tc>
      </w:tr>
      <w:tr>
        <w:trPr>
          <w:trHeight w:val="169"/>
        </w:trPr>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w w:val="99"/>
              </w:rPr>
            </w:pPr>
            <w:hyperlink w:anchor="page308">
              <w:r>
                <w:rPr>
                  <w:rFonts w:ascii="Arial" w:cs="Arial" w:eastAsia="Arial" w:hAnsi="Arial"/>
                  <w:sz w:val="17"/>
                  <w:szCs w:val="17"/>
                  <w:color w:val="0000EE"/>
                  <w:w w:val="99"/>
                </w:rPr>
                <w:t>and directors of the Registrant.*</w:t>
              </w:r>
            </w:hyperlink>
          </w:p>
        </w:tc>
        <w:tc>
          <w:tcPr>
            <w:tcW w:w="6720" w:type="dxa"/>
            <w:vAlign w:val="bottom"/>
            <w:tcBorders>
              <w:top w:val="single" w:sz="8" w:color="0000EE"/>
            </w:tcBorders>
            <w:gridSpan w:val="4"/>
          </w:tcPr>
          <w:p>
            <w:pPr>
              <w:spacing w:after="0"/>
              <w:rPr>
                <w:sz w:val="14"/>
                <w:szCs w:val="14"/>
                <w:color w:val="auto"/>
              </w:rPr>
            </w:pPr>
          </w:p>
        </w:tc>
        <w:tc>
          <w:tcPr>
            <w:tcW w:w="280" w:type="dxa"/>
            <w:vAlign w:val="bottom"/>
          </w:tcPr>
          <w:p>
            <w:pPr>
              <w:spacing w:after="0"/>
              <w:rPr>
                <w:sz w:val="14"/>
                <w:szCs w:val="14"/>
                <w:color w:val="auto"/>
              </w:rPr>
            </w:pPr>
          </w:p>
        </w:tc>
      </w:tr>
      <w:tr>
        <w:trPr>
          <w:trHeight w:val="277"/>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10.2</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color w:val="0000EE"/>
              </w:rPr>
            </w:pPr>
            <w:hyperlink w:anchor="page315">
              <w:r>
                <w:rPr>
                  <w:rFonts w:ascii="Arial" w:cs="Arial" w:eastAsia="Arial" w:hAnsi="Arial"/>
                  <w:sz w:val="17"/>
                  <w:szCs w:val="17"/>
                  <w:color w:val="0000EE"/>
                </w:rPr>
                <w:t>Form of Investment Management Trust Agreement between Continental Stock Transfer &amp; Trust Company and the</w:t>
              </w:r>
            </w:hyperlink>
          </w:p>
        </w:tc>
      </w:tr>
      <w:tr>
        <w:trPr>
          <w:trHeight w:val="169"/>
        </w:trPr>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560" w:type="dxa"/>
            <w:vAlign w:val="bottom"/>
            <w:tcBorders>
              <w:top w:val="single" w:sz="8" w:color="0000EE"/>
            </w:tcBorders>
            <w:gridSpan w:val="5"/>
          </w:tcPr>
          <w:p>
            <w:pPr>
              <w:spacing w:after="0" w:line="169" w:lineRule="exact"/>
              <w:rPr>
                <w:rFonts w:ascii="Arial" w:cs="Arial" w:eastAsia="Arial" w:hAnsi="Arial"/>
                <w:sz w:val="17"/>
                <w:szCs w:val="17"/>
                <w:color w:val="0000EE"/>
              </w:rPr>
            </w:pPr>
            <w:hyperlink w:anchor="page315">
              <w:r>
                <w:rPr>
                  <w:rFonts w:ascii="Arial" w:cs="Arial" w:eastAsia="Arial" w:hAnsi="Arial"/>
                  <w:sz w:val="17"/>
                  <w:szCs w:val="17"/>
                  <w:color w:val="0000EE"/>
                </w:rPr>
                <w:t>Registrant.*</w:t>
              </w:r>
            </w:hyperlink>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77"/>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10.3</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color w:val="0000EE"/>
              </w:rPr>
            </w:pPr>
            <w:hyperlink w:anchor="page329">
              <w:r>
                <w:rPr>
                  <w:rFonts w:ascii="Arial" w:cs="Arial" w:eastAsia="Arial" w:hAnsi="Arial"/>
                  <w:sz w:val="17"/>
                  <w:szCs w:val="17"/>
                  <w:color w:val="0000EE"/>
                </w:rPr>
                <w:t>Form of Registration Rights Agreement among the Registrant, VPC Impact Acquisition Holdings Sponsor, LLC and the</w:t>
              </w:r>
            </w:hyperlink>
          </w:p>
        </w:tc>
      </w:tr>
      <w:tr>
        <w:trPr>
          <w:trHeight w:val="169"/>
        </w:trPr>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9"/>
              </w:rPr>
            </w:pPr>
            <w:hyperlink w:anchor="page329">
              <w:r>
                <w:rPr>
                  <w:rFonts w:ascii="Arial" w:cs="Arial" w:eastAsia="Arial" w:hAnsi="Arial"/>
                  <w:sz w:val="17"/>
                  <w:szCs w:val="17"/>
                  <w:color w:val="0000EE"/>
                  <w:w w:val="99"/>
                </w:rPr>
                <w:t>Holders signatory thereto.*</w:t>
              </w:r>
            </w:hyperlink>
          </w:p>
        </w:tc>
        <w:tc>
          <w:tcPr>
            <w:tcW w:w="6900" w:type="dxa"/>
            <w:vAlign w:val="bottom"/>
            <w:tcBorders>
              <w:top w:val="single" w:sz="8" w:color="0000EE"/>
            </w:tcBorders>
            <w:gridSpan w:val="3"/>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r>
      <w:tr>
        <w:trPr>
          <w:trHeight w:val="277"/>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10.4</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color w:val="0000EE"/>
              </w:rPr>
            </w:pPr>
            <w:hyperlink w:anchor="page342">
              <w:r>
                <w:rPr>
                  <w:rFonts w:ascii="Arial" w:cs="Arial" w:eastAsia="Arial" w:hAnsi="Arial"/>
                  <w:sz w:val="17"/>
                  <w:szCs w:val="17"/>
                  <w:color w:val="0000EE"/>
                </w:rPr>
                <w:t>Form of Private Placement Warrants Purchase Agreement among the Registrant and VPC Impact Acquisition Holdings</w:t>
              </w:r>
            </w:hyperlink>
          </w:p>
        </w:tc>
      </w:tr>
      <w:tr>
        <w:trPr>
          <w:trHeight w:val="169"/>
        </w:trPr>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7"/>
              </w:rPr>
            </w:pPr>
            <w:hyperlink w:anchor="page342">
              <w:r>
                <w:rPr>
                  <w:rFonts w:ascii="Arial" w:cs="Arial" w:eastAsia="Arial" w:hAnsi="Arial"/>
                  <w:sz w:val="17"/>
                  <w:szCs w:val="17"/>
                  <w:color w:val="0000EE"/>
                  <w:w w:val="97"/>
                </w:rPr>
                <w:t>Sponsor, LLC.*</w:t>
              </w:r>
            </w:hyperlink>
          </w:p>
        </w:tc>
        <w:tc>
          <w:tcPr>
            <w:tcW w:w="7820" w:type="dxa"/>
            <w:vAlign w:val="bottom"/>
            <w:tcBorders>
              <w:top w:val="single" w:sz="8" w:color="0000EE"/>
            </w:tcBorders>
            <w:gridSpan w:val="5"/>
          </w:tcPr>
          <w:p>
            <w:pPr>
              <w:spacing w:after="0"/>
              <w:rPr>
                <w:sz w:val="14"/>
                <w:szCs w:val="14"/>
                <w:color w:val="auto"/>
              </w:rPr>
            </w:pPr>
          </w:p>
        </w:tc>
        <w:tc>
          <w:tcPr>
            <w:tcW w:w="440" w:type="dxa"/>
            <w:vAlign w:val="bottom"/>
            <w:gridSpan w:val="2"/>
          </w:tcPr>
          <w:p>
            <w:pPr>
              <w:spacing w:after="0"/>
              <w:rPr>
                <w:sz w:val="14"/>
                <w:szCs w:val="14"/>
                <w:color w:val="auto"/>
              </w:rPr>
            </w:pPr>
          </w:p>
        </w:tc>
      </w:tr>
      <w:tr>
        <w:trPr>
          <w:trHeight w:val="335"/>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10.5</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348">
              <w:r>
                <w:rPr>
                  <w:rFonts w:ascii="Arial" w:cs="Arial" w:eastAsia="Arial" w:hAnsi="Arial"/>
                  <w:sz w:val="17"/>
                  <w:szCs w:val="17"/>
                  <w:u w:val="single" w:color="auto"/>
                  <w:color w:val="0000EE"/>
                </w:rPr>
                <w:t>Form of Indemnity Agreement.*</w:t>
              </w:r>
            </w:hyperlink>
          </w:p>
        </w:tc>
      </w:tr>
      <w:tr>
        <w:trPr>
          <w:trHeight w:val="311"/>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10.6</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363">
              <w:r>
                <w:rPr>
                  <w:rFonts w:ascii="Arial" w:cs="Arial" w:eastAsia="Arial" w:hAnsi="Arial"/>
                  <w:sz w:val="17"/>
                  <w:szCs w:val="17"/>
                  <w:u w:val="single" w:color="auto"/>
                  <w:color w:val="0000EE"/>
                </w:rPr>
                <w:t>Promissory Note issued to VPC Impact Acquisition Holdings Sponsor, LLC.*</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10.7</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369">
              <w:r>
                <w:rPr>
                  <w:rFonts w:ascii="Arial" w:cs="Arial" w:eastAsia="Arial" w:hAnsi="Arial"/>
                  <w:sz w:val="17"/>
                  <w:szCs w:val="17"/>
                  <w:u w:val="single" w:color="auto"/>
                  <w:color w:val="0000EE"/>
                </w:rPr>
                <w:t>Securities Subscription Agreement between VPC Impact Acquisition Holdings Sponsor, LLC and the Registrant.*</w:t>
              </w:r>
            </w:hyperlink>
          </w:p>
        </w:tc>
      </w:tr>
      <w:tr>
        <w:trPr>
          <w:trHeight w:val="310"/>
        </w:trPr>
        <w:tc>
          <w:tcPr>
            <w:tcW w:w="880" w:type="dxa"/>
            <w:vAlign w:val="bottom"/>
          </w:tcPr>
          <w:p>
            <w:pPr>
              <w:jc w:val="right"/>
              <w:ind w:right="431"/>
              <w:spacing w:after="0"/>
              <w:rPr>
                <w:sz w:val="20"/>
                <w:szCs w:val="20"/>
                <w:color w:val="auto"/>
              </w:rPr>
            </w:pPr>
            <w:r>
              <w:rPr>
                <w:rFonts w:ascii="Arial" w:cs="Arial" w:eastAsia="Arial" w:hAnsi="Arial"/>
                <w:sz w:val="18"/>
                <w:szCs w:val="18"/>
                <w:color w:val="auto"/>
                <w:w w:val="96"/>
              </w:rPr>
              <w:t>10.8</w:t>
            </w:r>
          </w:p>
        </w:tc>
        <w:tc>
          <w:tcPr>
            <w:tcW w:w="960" w:type="dxa"/>
            <w:vAlign w:val="bottom"/>
          </w:tcPr>
          <w:p>
            <w:pPr>
              <w:spacing w:after="0"/>
              <w:rPr>
                <w:sz w:val="24"/>
                <w:szCs w:val="24"/>
                <w:color w:val="auto"/>
              </w:rPr>
            </w:pPr>
          </w:p>
        </w:tc>
        <w:tc>
          <w:tcPr>
            <w:tcW w:w="9400" w:type="dxa"/>
            <w:vAlign w:val="bottom"/>
            <w:gridSpan w:val="9"/>
          </w:tcPr>
          <w:p>
            <w:pPr>
              <w:spacing w:after="0"/>
              <w:rPr>
                <w:rFonts w:ascii="Arial" w:cs="Arial" w:eastAsia="Arial" w:hAnsi="Arial"/>
                <w:sz w:val="17"/>
                <w:szCs w:val="17"/>
                <w:u w:val="single" w:color="auto"/>
                <w:color w:val="0000EE"/>
              </w:rPr>
            </w:pPr>
            <w:hyperlink w:anchor="page380">
              <w:r>
                <w:rPr>
                  <w:rFonts w:ascii="Arial" w:cs="Arial" w:eastAsia="Arial" w:hAnsi="Arial"/>
                  <w:sz w:val="17"/>
                  <w:szCs w:val="17"/>
                  <w:u w:val="single" w:color="auto"/>
                  <w:color w:val="0000EE"/>
                </w:rPr>
                <w:t>Form of Administrative Services Agreement between the Registrant and VPC Impact Acquisition Holdings Sponsor, LLC.*</w:t>
              </w:r>
            </w:hyperlink>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40"/>
          </w:cols>
          <w:pgMar w:left="320" w:top="455" w:right="3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60" w:type="dxa"/>
            <w:vAlign w:val="bottom"/>
          </w:tcPr>
          <w:p>
            <w:pPr>
              <w:spacing w:after="0"/>
              <w:rPr>
                <w:sz w:val="16"/>
                <w:szCs w:val="16"/>
                <w:color w:val="auto"/>
              </w:rPr>
            </w:pPr>
          </w:p>
        </w:tc>
        <w:tc>
          <w:tcPr>
            <w:tcW w:w="9400" w:type="dxa"/>
            <w:vAlign w:val="bottom"/>
            <w:tcBorders>
              <w:bottom w:val="single" w:sz="8" w:color="auto"/>
            </w:tcBorders>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315"/>
        </w:trPr>
        <w:tc>
          <w:tcPr>
            <w:tcW w:w="880" w:type="dxa"/>
            <w:vAlign w:val="bottom"/>
          </w:tcPr>
          <w:p>
            <w:pPr>
              <w:spacing w:after="0"/>
              <w:rPr>
                <w:sz w:val="20"/>
                <w:szCs w:val="20"/>
                <w:color w:val="auto"/>
              </w:rPr>
            </w:pPr>
            <w:r>
              <w:rPr>
                <w:rFonts w:ascii="Arial" w:cs="Arial" w:eastAsia="Arial" w:hAnsi="Arial"/>
                <w:sz w:val="18"/>
                <w:szCs w:val="18"/>
                <w:color w:val="auto"/>
              </w:rPr>
              <w:t>14.1</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82">
              <w:r>
                <w:rPr>
                  <w:rFonts w:ascii="Arial" w:cs="Arial" w:eastAsia="Arial" w:hAnsi="Arial"/>
                  <w:sz w:val="17"/>
                  <w:szCs w:val="17"/>
                  <w:u w:val="single" w:color="auto"/>
                  <w:color w:val="0000EE"/>
                </w:rPr>
                <w:t>Form of Code of Business Conduct and Ethics.*</w:t>
              </w:r>
            </w:hyperlink>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87">
              <w:r>
                <w:rPr>
                  <w:rFonts w:ascii="Arial" w:cs="Arial" w:eastAsia="Arial" w:hAnsi="Arial"/>
                  <w:sz w:val="17"/>
                  <w:szCs w:val="17"/>
                  <w:u w:val="single" w:color="auto"/>
                  <w:color w:val="0000EE"/>
                </w:rPr>
                <w:t>Consent of WithumSmith+Brown, PC.*</w:t>
              </w:r>
            </w:hyperlink>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297">
              <w:r>
                <w:rPr>
                  <w:rFonts w:ascii="Arial" w:cs="Arial" w:eastAsia="Arial" w:hAnsi="Arial"/>
                  <w:sz w:val="17"/>
                  <w:szCs w:val="17"/>
                  <w:u w:val="single" w:color="auto"/>
                  <w:color w:val="0000EE"/>
                </w:rPr>
                <w:t>Consent of White &amp; Case LLP (included on Exhibit 5.1).*</w:t>
              </w:r>
            </w:hyperlink>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23.3</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Consent of Maples and Calder (included on Exhibit 5.2).*</w:t>
              </w:r>
            </w:hyperlink>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Power of Attorney.*</w:t>
              </w:r>
            </w:hyperlink>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88">
              <w:r>
                <w:rPr>
                  <w:rFonts w:ascii="Arial" w:cs="Arial" w:eastAsia="Arial" w:hAnsi="Arial"/>
                  <w:sz w:val="17"/>
                  <w:szCs w:val="17"/>
                  <w:u w:val="single" w:color="auto"/>
                  <w:color w:val="0000EE"/>
                </w:rPr>
                <w:t>Consent of Adrienne Harris*</w:t>
              </w:r>
            </w:hyperlink>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89">
              <w:r>
                <w:rPr>
                  <w:rFonts w:ascii="Arial" w:cs="Arial" w:eastAsia="Arial" w:hAnsi="Arial"/>
                  <w:sz w:val="17"/>
                  <w:szCs w:val="17"/>
                  <w:u w:val="single" w:color="auto"/>
                  <w:color w:val="0000EE"/>
                </w:rPr>
                <w:t>Consent of Kai Schmitz*</w:t>
              </w:r>
            </w:hyperlink>
          </w:p>
        </w:tc>
      </w:tr>
      <w:tr>
        <w:trPr>
          <w:trHeight w:val="311"/>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10360" w:type="dxa"/>
            <w:vAlign w:val="bottom"/>
            <w:gridSpan w:val="2"/>
          </w:tcPr>
          <w:p>
            <w:pPr>
              <w:ind w:left="960"/>
              <w:spacing w:after="0"/>
              <w:rPr>
                <w:rFonts w:ascii="Arial" w:cs="Arial" w:eastAsia="Arial" w:hAnsi="Arial"/>
                <w:sz w:val="17"/>
                <w:szCs w:val="17"/>
                <w:u w:val="single" w:color="auto"/>
                <w:color w:val="0000EE"/>
              </w:rPr>
            </w:pPr>
            <w:hyperlink w:anchor="page390">
              <w:r>
                <w:rPr>
                  <w:rFonts w:ascii="Arial" w:cs="Arial" w:eastAsia="Arial" w:hAnsi="Arial"/>
                  <w:sz w:val="17"/>
                  <w:szCs w:val="17"/>
                  <w:u w:val="single" w:color="auto"/>
                  <w:color w:val="0000EE"/>
                </w:rPr>
                <w:t>Consent of Kurt Summers*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440" w:hanging="324"/>
        <w:spacing w:after="0"/>
        <w:tabs>
          <w:tab w:leader="none" w:pos="4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rFonts w:ascii="Arial" w:cs="Arial" w:eastAsia="Arial" w:hAnsi="Arial"/>
          <w:sz w:val="14"/>
          <w:szCs w:val="14"/>
          <w:color w:val="auto"/>
        </w:rPr>
      </w:pPr>
    </w:p>
    <w:p>
      <w:pPr>
        <w:ind w:left="440" w:hanging="300"/>
        <w:spacing w:after="0"/>
        <w:tabs>
          <w:tab w:leader="none" w:pos="440" w:val="left"/>
        </w:tabs>
        <w:numPr>
          <w:ilvl w:val="1"/>
          <w:numId w:val="9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73" w:lineRule="exact"/>
        <w:rPr>
          <w:sz w:val="20"/>
          <w:szCs w:val="20"/>
          <w:color w:val="auto"/>
        </w:rPr>
      </w:pPr>
    </w:p>
    <w:p>
      <w:pPr>
        <w:ind w:left="460" w:right="140" w:hanging="452"/>
        <w:spacing w:after="0" w:line="257"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 w:lineRule="exact"/>
        <w:rPr>
          <w:rFonts w:ascii="Arial" w:cs="Arial" w:eastAsia="Arial" w:hAnsi="Arial"/>
          <w:sz w:val="17"/>
          <w:szCs w:val="17"/>
          <w:color w:val="auto"/>
        </w:rPr>
      </w:pPr>
    </w:p>
    <w:p>
      <w:pPr>
        <w:ind w:left="460" w:right="20" w:hanging="452"/>
        <w:spacing w:after="0" w:line="238"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34" w:lineRule="exact"/>
        <w:rPr>
          <w:rFonts w:ascii="Arial" w:cs="Arial" w:eastAsia="Arial" w:hAnsi="Arial"/>
          <w:sz w:val="17"/>
          <w:szCs w:val="17"/>
          <w:color w:val="auto"/>
        </w:rPr>
      </w:pPr>
    </w:p>
    <w:p>
      <w:pPr>
        <w:jc w:val="both"/>
        <w:ind w:left="900" w:right="280" w:hanging="447"/>
        <w:spacing w:after="0" w:line="244" w:lineRule="auto"/>
        <w:tabs>
          <w:tab w:leader="none" w:pos="9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 w:lineRule="exact"/>
        <w:rPr>
          <w:rFonts w:ascii="Arial" w:cs="Arial" w:eastAsia="Arial" w:hAnsi="Arial"/>
          <w:sz w:val="17"/>
          <w:szCs w:val="17"/>
          <w:color w:val="auto"/>
        </w:rPr>
      </w:pPr>
    </w:p>
    <w:p>
      <w:pPr>
        <w:ind w:left="900" w:right="420" w:hanging="447"/>
        <w:spacing w:after="0" w:line="248" w:lineRule="auto"/>
        <w:tabs>
          <w:tab w:leader="none" w:pos="9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 w:lineRule="exact"/>
        <w:rPr>
          <w:rFonts w:ascii="Arial" w:cs="Arial" w:eastAsia="Arial" w:hAnsi="Arial"/>
          <w:sz w:val="17"/>
          <w:szCs w:val="17"/>
          <w:color w:val="auto"/>
        </w:rPr>
      </w:pPr>
    </w:p>
    <w:p>
      <w:pPr>
        <w:ind w:left="900" w:right="60" w:hanging="447"/>
        <w:spacing w:after="0" w:line="238" w:lineRule="auto"/>
        <w:tabs>
          <w:tab w:leader="none" w:pos="9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For the purpose of determining liability under the Securities Act of 1933 of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t>
      </w:r>
      <w:r>
        <w:rPr>
          <w:rFonts w:ascii="Arial" w:cs="Arial" w:eastAsia="Arial" w:hAnsi="Arial"/>
          <w:sz w:val="17"/>
          <w:szCs w:val="17"/>
          <w:i w:val="1"/>
          <w:iCs w:val="1"/>
          <w:color w:val="auto"/>
        </w:rPr>
        <w:t>that</w:t>
      </w:r>
      <w:r>
        <w:rPr>
          <w:rFonts w:ascii="Arial" w:cs="Arial" w:eastAsia="Arial" w:hAnsi="Arial"/>
          <w:sz w:val="17"/>
          <w:szCs w:val="17"/>
          <w:color w:val="auto"/>
        </w:rPr>
        <w:t xml:space="preserve">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 w:lineRule="exact"/>
        <w:rPr>
          <w:rFonts w:ascii="Arial" w:cs="Arial" w:eastAsia="Arial" w:hAnsi="Arial"/>
          <w:sz w:val="17"/>
          <w:szCs w:val="17"/>
          <w:color w:val="auto"/>
        </w:rPr>
      </w:pPr>
    </w:p>
    <w:p>
      <w:pPr>
        <w:ind w:left="900" w:right="300" w:hanging="447"/>
        <w:spacing w:after="0" w:line="252" w:lineRule="auto"/>
        <w:tabs>
          <w:tab w:leader="none" w:pos="9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40"/>
          </w:cols>
          <w:pgMar w:left="320" w:top="455"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left="900" w:right="640"/>
        <w:spacing w:after="0" w:line="249" w:lineRule="auto"/>
        <w:rPr>
          <w:sz w:val="20"/>
          <w:szCs w:val="20"/>
          <w:color w:val="auto"/>
        </w:rPr>
      </w:pPr>
      <w:r>
        <w:rPr>
          <w:rFonts w:ascii="Arial" w:cs="Arial" w:eastAsia="Arial" w:hAnsi="Arial"/>
          <w:sz w:val="17"/>
          <w:szCs w:val="17"/>
          <w:color w:val="auto"/>
        </w:rPr>
        <w:t>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ind w:left="900" w:hanging="447"/>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34" w:lineRule="exact"/>
        <w:rPr>
          <w:rFonts w:ascii="Arial" w:cs="Arial" w:eastAsia="Arial" w:hAnsi="Arial"/>
          <w:sz w:val="17"/>
          <w:szCs w:val="17"/>
          <w:color w:val="auto"/>
        </w:rPr>
      </w:pPr>
    </w:p>
    <w:p>
      <w:pPr>
        <w:ind w:left="900" w:right="320" w:hanging="447"/>
        <w:spacing w:after="0" w:line="256"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an undersigned registrant;</w:t>
      </w:r>
    </w:p>
    <w:p>
      <w:pPr>
        <w:spacing w:after="0" w:line="1" w:lineRule="exact"/>
        <w:rPr>
          <w:rFonts w:ascii="Arial" w:cs="Arial" w:eastAsia="Arial" w:hAnsi="Arial"/>
          <w:sz w:val="17"/>
          <w:szCs w:val="17"/>
          <w:color w:val="auto"/>
        </w:rPr>
      </w:pPr>
    </w:p>
    <w:p>
      <w:pPr>
        <w:ind w:left="900" w:hanging="447"/>
        <w:spacing w:after="0" w:line="256"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 w:lineRule="exact"/>
        <w:rPr>
          <w:rFonts w:ascii="Arial" w:cs="Arial" w:eastAsia="Arial" w:hAnsi="Arial"/>
          <w:sz w:val="17"/>
          <w:szCs w:val="17"/>
          <w:color w:val="auto"/>
        </w:rPr>
      </w:pPr>
    </w:p>
    <w:p>
      <w:pPr>
        <w:ind w:left="900" w:hanging="447"/>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200"/>
          </w:cols>
          <w:pgMar w:left="320" w:top="455" w:right="3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Chicago, State of Illinois, on the 16th day of September, 2020.</w:t>
      </w:r>
    </w:p>
    <w:p>
      <w:pPr>
        <w:spacing w:after="0" w:line="131"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VPC Impact Acquisition Holdings</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6403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John Martin</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Executive Officer and Chairman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156"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KNOW ALL MEN BY THESE PRESENTS, that each person whose signature appears below constitutes and appoints each of John Martin, Gordon Watson and Olibia Stamatoglou his or her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3"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gridSpan w:val="2"/>
          </w:tcPr>
          <w:p>
            <w:pPr>
              <w:ind w:left="2160"/>
              <w:spacing w:after="0"/>
              <w:rPr>
                <w:sz w:val="20"/>
                <w:szCs w:val="20"/>
                <w:color w:val="auto"/>
              </w:rPr>
            </w:pPr>
            <w:r>
              <w:rPr>
                <w:rFonts w:ascii="Arial" w:cs="Arial" w:eastAsia="Arial" w:hAnsi="Arial"/>
                <w:sz w:val="14"/>
                <w:szCs w:val="14"/>
                <w:b w:val="1"/>
                <w:bCs w:val="1"/>
                <w:color w:val="auto"/>
                <w:w w:val="96"/>
              </w:rPr>
              <w:t>NAME</w:t>
            </w:r>
          </w:p>
        </w:tc>
        <w:tc>
          <w:tcPr>
            <w:tcW w:w="2140" w:type="dxa"/>
            <w:vAlign w:val="bottom"/>
          </w:tcPr>
          <w:p>
            <w:pPr>
              <w:spacing w:after="0"/>
              <w:rPr>
                <w:sz w:val="15"/>
                <w:szCs w:val="15"/>
                <w:color w:val="auto"/>
              </w:rPr>
            </w:pPr>
          </w:p>
        </w:tc>
        <w:tc>
          <w:tcPr>
            <w:tcW w:w="4040" w:type="dxa"/>
            <w:vAlign w:val="bottom"/>
            <w:gridSpan w:val="3"/>
          </w:tcPr>
          <w:p>
            <w:pPr>
              <w:ind w:left="1980"/>
              <w:spacing w:after="0"/>
              <w:rPr>
                <w:sz w:val="20"/>
                <w:szCs w:val="20"/>
                <w:color w:val="auto"/>
              </w:rPr>
            </w:pPr>
            <w:r>
              <w:rPr>
                <w:rFonts w:ascii="Arial" w:cs="Arial" w:eastAsia="Arial" w:hAnsi="Arial"/>
                <w:sz w:val="14"/>
                <w:szCs w:val="14"/>
                <w:b w:val="1"/>
                <w:bCs w:val="1"/>
                <w:color w:val="auto"/>
              </w:rPr>
              <w:t>POSITION</w:t>
            </w:r>
          </w:p>
        </w:tc>
        <w:tc>
          <w:tcPr>
            <w:tcW w:w="1340" w:type="dxa"/>
            <w:vAlign w:val="bottom"/>
          </w:tcPr>
          <w:p>
            <w:pPr>
              <w:spacing w:after="0"/>
              <w:rPr>
                <w:sz w:val="15"/>
                <w:szCs w:val="15"/>
                <w:color w:val="auto"/>
              </w:rPr>
            </w:pPr>
          </w:p>
        </w:tc>
        <w:tc>
          <w:tcPr>
            <w:tcW w:w="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160" w:type="dxa"/>
            <w:vAlign w:val="bottom"/>
          </w:tcPr>
          <w:p>
            <w:pPr>
              <w:spacing w:after="0"/>
              <w:rPr>
                <w:sz w:val="20"/>
                <w:szCs w:val="20"/>
                <w:color w:val="auto"/>
              </w:rPr>
            </w:pPr>
            <w:r>
              <w:rPr>
                <w:rFonts w:ascii="Arial" w:cs="Arial" w:eastAsia="Arial" w:hAnsi="Arial"/>
                <w:sz w:val="17"/>
                <w:szCs w:val="17"/>
                <w:color w:val="auto"/>
              </w:rPr>
              <w:t>/s/ John Martin</w:t>
            </w: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4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and Chairman</w:t>
            </w:r>
          </w:p>
        </w:tc>
        <w:tc>
          <w:tcPr>
            <w:tcW w:w="2300" w:type="dxa"/>
            <w:vAlign w:val="bottom"/>
            <w:gridSpan w:val="3"/>
          </w:tcPr>
          <w:p>
            <w:pPr>
              <w:jc w:val="center"/>
              <w:ind w:left="675"/>
              <w:spacing w:after="0"/>
              <w:rPr>
                <w:sz w:val="20"/>
                <w:szCs w:val="20"/>
                <w:color w:val="auto"/>
              </w:rPr>
            </w:pPr>
            <w:r>
              <w:rPr>
                <w:rFonts w:ascii="Arial" w:cs="Arial" w:eastAsia="Arial" w:hAnsi="Arial"/>
                <w:sz w:val="17"/>
                <w:szCs w:val="17"/>
                <w:color w:val="auto"/>
                <w:w w:val="99"/>
              </w:rPr>
              <w:t>September 16,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4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executive officer)</w:t>
            </w: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John Martin</w:t>
            </w:r>
          </w:p>
        </w:tc>
        <w:tc>
          <w:tcPr>
            <w:tcW w:w="2140" w:type="dxa"/>
            <w:vAlign w:val="bottom"/>
          </w:tcPr>
          <w:p>
            <w:pPr>
              <w:spacing w:after="0"/>
              <w:rPr>
                <w:sz w:val="20"/>
                <w:szCs w:val="20"/>
                <w:color w:val="auto"/>
              </w:rPr>
            </w:pPr>
          </w:p>
        </w:tc>
        <w:tc>
          <w:tcPr>
            <w:tcW w:w="4040" w:type="dxa"/>
            <w:vAlign w:val="bottom"/>
            <w:gridSpan w:val="3"/>
            <w:vMerge w:val="continue"/>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Gordon Watson</w:t>
            </w:r>
          </w:p>
        </w:tc>
        <w:tc>
          <w:tcPr>
            <w:tcW w:w="2140" w:type="dxa"/>
            <w:vAlign w:val="bottom"/>
            <w:tcBorders>
              <w:bottom w:val="single" w:sz="8" w:color="auto"/>
            </w:tcBorders>
          </w:tcPr>
          <w:p>
            <w:pPr>
              <w:spacing w:after="0"/>
              <w:rPr>
                <w:sz w:val="24"/>
                <w:szCs w:val="24"/>
                <w:color w:val="auto"/>
              </w:rPr>
            </w:pPr>
          </w:p>
        </w:tc>
        <w:tc>
          <w:tcPr>
            <w:tcW w:w="4040" w:type="dxa"/>
            <w:vAlign w:val="bottom"/>
            <w:gridSpan w:val="3"/>
          </w:tcPr>
          <w:p>
            <w:pPr>
              <w:ind w:left="140"/>
              <w:spacing w:after="0"/>
              <w:rPr>
                <w:sz w:val="20"/>
                <w:szCs w:val="20"/>
                <w:color w:val="auto"/>
              </w:rPr>
            </w:pPr>
            <w:r>
              <w:rPr>
                <w:rFonts w:ascii="Arial" w:cs="Arial" w:eastAsia="Arial" w:hAnsi="Arial"/>
                <w:sz w:val="17"/>
                <w:szCs w:val="17"/>
                <w:color w:val="auto"/>
              </w:rPr>
              <w:t>Chief Operating Officer and President</w:t>
            </w:r>
          </w:p>
        </w:tc>
        <w:tc>
          <w:tcPr>
            <w:tcW w:w="2300" w:type="dxa"/>
            <w:vAlign w:val="bottom"/>
            <w:gridSpan w:val="3"/>
          </w:tcPr>
          <w:p>
            <w:pPr>
              <w:jc w:val="center"/>
              <w:ind w:left="675"/>
              <w:spacing w:after="0"/>
              <w:rPr>
                <w:sz w:val="20"/>
                <w:szCs w:val="20"/>
                <w:color w:val="auto"/>
              </w:rPr>
            </w:pPr>
            <w:r>
              <w:rPr>
                <w:rFonts w:ascii="Arial" w:cs="Arial" w:eastAsia="Arial" w:hAnsi="Arial"/>
                <w:sz w:val="17"/>
                <w:szCs w:val="17"/>
                <w:color w:val="auto"/>
                <w:w w:val="99"/>
              </w:rPr>
              <w:t>September 16, 2020</w:t>
            </w:r>
          </w:p>
        </w:tc>
        <w:tc>
          <w:tcPr>
            <w:tcW w:w="0" w:type="dxa"/>
            <w:vAlign w:val="bottom"/>
          </w:tcPr>
          <w:p>
            <w:pPr>
              <w:spacing w:after="0"/>
              <w:rPr>
                <w:sz w:val="1"/>
                <w:szCs w:val="1"/>
                <w:color w:val="auto"/>
              </w:rPr>
            </w:pPr>
          </w:p>
        </w:tc>
      </w:tr>
      <w:tr>
        <w:trPr>
          <w:trHeight w:val="236"/>
        </w:trPr>
        <w:tc>
          <w:tcPr>
            <w:tcW w:w="258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2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580" w:type="dxa"/>
            <w:vAlign w:val="bottom"/>
            <w:gridSpan w:val="2"/>
          </w:tcPr>
          <w:p>
            <w:pPr>
              <w:spacing w:after="0"/>
              <w:rPr>
                <w:sz w:val="20"/>
                <w:szCs w:val="20"/>
                <w:color w:val="auto"/>
              </w:rPr>
            </w:pPr>
            <w:r>
              <w:rPr>
                <w:rFonts w:ascii="Arial" w:cs="Arial" w:eastAsia="Arial" w:hAnsi="Arial"/>
                <w:sz w:val="17"/>
                <w:szCs w:val="17"/>
                <w:color w:val="auto"/>
              </w:rPr>
              <w:t>/s/ Olibia Stamatoglou</w:t>
            </w:r>
          </w:p>
        </w:tc>
        <w:tc>
          <w:tcPr>
            <w:tcW w:w="2140" w:type="dxa"/>
            <w:vAlign w:val="bottom"/>
          </w:tcPr>
          <w:p>
            <w:pPr>
              <w:spacing w:after="0"/>
              <w:rPr>
                <w:sz w:val="24"/>
                <w:szCs w:val="24"/>
                <w:color w:val="auto"/>
              </w:rPr>
            </w:pPr>
          </w:p>
        </w:tc>
        <w:tc>
          <w:tcPr>
            <w:tcW w:w="40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2300" w:type="dxa"/>
            <w:vAlign w:val="bottom"/>
            <w:gridSpan w:val="3"/>
          </w:tcPr>
          <w:p>
            <w:pPr>
              <w:jc w:val="center"/>
              <w:ind w:left="675"/>
              <w:spacing w:after="0"/>
              <w:rPr>
                <w:sz w:val="20"/>
                <w:szCs w:val="20"/>
                <w:color w:val="auto"/>
              </w:rPr>
            </w:pPr>
            <w:r>
              <w:rPr>
                <w:rFonts w:ascii="Arial" w:cs="Arial" w:eastAsia="Arial" w:hAnsi="Arial"/>
                <w:sz w:val="17"/>
                <w:szCs w:val="17"/>
                <w:color w:val="auto"/>
                <w:w w:val="99"/>
              </w:rPr>
              <w:t>September 16, 2020</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4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80" w:type="dxa"/>
            <w:vAlign w:val="bottom"/>
            <w:gridSpan w:val="2"/>
          </w:tcPr>
          <w:p>
            <w:pPr>
              <w:spacing w:after="0"/>
              <w:rPr>
                <w:sz w:val="20"/>
                <w:szCs w:val="20"/>
                <w:color w:val="auto"/>
              </w:rPr>
            </w:pPr>
            <w:r>
              <w:rPr>
                <w:rFonts w:ascii="Arial" w:cs="Arial" w:eastAsia="Arial" w:hAnsi="Arial"/>
                <w:sz w:val="17"/>
                <w:szCs w:val="17"/>
                <w:color w:val="auto"/>
              </w:rPr>
              <w:t>Olibia Stamatoglou</w:t>
            </w:r>
          </w:p>
        </w:tc>
        <w:tc>
          <w:tcPr>
            <w:tcW w:w="2140" w:type="dxa"/>
            <w:vAlign w:val="bottom"/>
          </w:tcPr>
          <w:p>
            <w:pPr>
              <w:spacing w:after="0"/>
              <w:rPr>
                <w:sz w:val="19"/>
                <w:szCs w:val="19"/>
                <w:color w:val="auto"/>
              </w:rPr>
            </w:pPr>
          </w:p>
        </w:tc>
        <w:tc>
          <w:tcPr>
            <w:tcW w:w="4040" w:type="dxa"/>
            <w:vAlign w:val="bottom"/>
            <w:gridSpan w:val="3"/>
            <w:vMerge w:val="continue"/>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Authorized Representative</w:t>
      </w:r>
    </w:p>
    <w:p>
      <w:pPr>
        <w:spacing w:after="0" w:line="75"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Pursuant to the requirements of Section 6(a) of the Securities Act of 1933, the undersigned has signed this registration statement, solely in its capacity as the duly authorized representative of VPC Impact Acquisition Holdings, in the City of New York, State of New York, on the 16th day of September, 2020.</w:t>
      </w:r>
    </w:p>
    <w:p>
      <w:pPr>
        <w:spacing w:after="0" w:line="151" w:lineRule="exact"/>
        <w:rPr>
          <w:sz w:val="20"/>
          <w:szCs w:val="20"/>
          <w:color w:val="auto"/>
        </w:rPr>
      </w:pPr>
    </w:p>
    <w:tbl>
      <w:tblPr>
        <w:tblLayout w:type="fixed"/>
        <w:tblInd w:w="676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Gordon Watson</w:t>
            </w:r>
          </w:p>
        </w:tc>
      </w:tr>
      <w:tr>
        <w:trPr>
          <w:trHeight w:val="168"/>
        </w:trPr>
        <w:tc>
          <w:tcPr>
            <w:tcW w:w="640" w:type="dxa"/>
            <w:vAlign w:val="bottom"/>
          </w:tcPr>
          <w:p>
            <w:pPr>
              <w:spacing w:after="0" w:line="168" w:lineRule="exact"/>
              <w:rPr>
                <w:sz w:val="20"/>
                <w:szCs w:val="20"/>
                <w:color w:val="auto"/>
              </w:rPr>
            </w:pPr>
            <w:r>
              <w:rPr>
                <w:rFonts w:ascii="Arial" w:cs="Arial" w:eastAsia="Arial" w:hAnsi="Arial"/>
                <w:sz w:val="17"/>
                <w:szCs w:val="17"/>
                <w:color w:val="auto"/>
              </w:rPr>
              <w:t>Name:</w:t>
            </w:r>
          </w:p>
        </w:tc>
        <w:tc>
          <w:tcPr>
            <w:tcW w:w="3840" w:type="dxa"/>
            <w:vAlign w:val="bottom"/>
          </w:tcPr>
          <w:p>
            <w:pPr>
              <w:spacing w:after="0" w:line="168" w:lineRule="exact"/>
              <w:rPr>
                <w:sz w:val="20"/>
                <w:szCs w:val="20"/>
                <w:color w:val="auto"/>
              </w:rPr>
            </w:pPr>
            <w:r>
              <w:rPr>
                <w:rFonts w:ascii="Arial" w:cs="Arial" w:eastAsia="Arial" w:hAnsi="Arial"/>
                <w:sz w:val="17"/>
                <w:szCs w:val="17"/>
                <w:color w:val="auto"/>
              </w:rPr>
              <w:t>Gordon Watson</w:t>
            </w:r>
          </w:p>
        </w:tc>
      </w:tr>
      <w:tr>
        <w:trPr>
          <w:trHeight w:val="231"/>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840" w:type="dxa"/>
            <w:vAlign w:val="bottom"/>
          </w:tcPr>
          <w:p>
            <w:pPr>
              <w:spacing w:after="0"/>
              <w:rPr>
                <w:sz w:val="20"/>
                <w:szCs w:val="20"/>
                <w:color w:val="auto"/>
              </w:rPr>
            </w:pPr>
            <w:r>
              <w:rPr>
                <w:rFonts w:ascii="Arial" w:cs="Arial" w:eastAsia="Arial" w:hAnsi="Arial"/>
                <w:sz w:val="17"/>
                <w:szCs w:val="17"/>
                <w:color w:val="auto"/>
              </w:rPr>
              <w:t>Chief Operating Officer and President</w:t>
            </w: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240"/>
          </w:cols>
          <w:pgMar w:left="320" w:top="45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173990</wp:posOffset>
            </wp:positionV>
            <wp:extent cx="934720" cy="1183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472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COMPANIES LAW (2020 REVISION)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MEMORANDUM AND ARTICLES OF ASSOCIATION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C38596992590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0020"/>
          </w:cols>
          <w:pgMar w:left="1440" w:top="117" w:right="4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27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COMPANIES LAW (2020 REVISION)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30" w:lineRule="exact"/>
        <w:rPr>
          <w:sz w:val="20"/>
          <w:szCs w:val="20"/>
          <w:color w:val="auto"/>
        </w:rPr>
      </w:pPr>
    </w:p>
    <w:p>
      <w:pPr>
        <w:ind w:left="544" w:hanging="544"/>
        <w:spacing w:after="0"/>
        <w:tabs>
          <w:tab w:leader="none" w:pos="5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VPC Impact Acquisition Holdings.</w:t>
      </w:r>
    </w:p>
    <w:p>
      <w:pPr>
        <w:spacing w:after="0" w:line="135" w:lineRule="exact"/>
        <w:rPr>
          <w:sz w:val="20"/>
          <w:szCs w:val="20"/>
          <w:color w:val="auto"/>
        </w:rPr>
      </w:pPr>
    </w:p>
    <w:p>
      <w:pPr>
        <w:ind w:left="544" w:right="660" w:hanging="544"/>
        <w:spacing w:after="0" w:line="282" w:lineRule="auto"/>
        <w:tabs>
          <w:tab w:leader="none" w:pos="5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67" w:lineRule="exact"/>
        <w:rPr>
          <w:sz w:val="20"/>
          <w:szCs w:val="20"/>
          <w:color w:val="auto"/>
        </w:rPr>
      </w:pPr>
    </w:p>
    <w:p>
      <w:pPr>
        <w:ind w:left="544" w:right="200" w:hanging="544"/>
        <w:spacing w:after="0" w:line="282" w:lineRule="auto"/>
        <w:tabs>
          <w:tab w:leader="none" w:pos="5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67" w:lineRule="exact"/>
        <w:rPr>
          <w:sz w:val="20"/>
          <w:szCs w:val="20"/>
          <w:color w:val="auto"/>
        </w:rPr>
      </w:pPr>
    </w:p>
    <w:p>
      <w:pPr>
        <w:ind w:left="544" w:hanging="544"/>
        <w:spacing w:after="0"/>
        <w:tabs>
          <w:tab w:leader="none" w:pos="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131" w:lineRule="exact"/>
        <w:rPr>
          <w:sz w:val="20"/>
          <w:szCs w:val="20"/>
          <w:color w:val="auto"/>
        </w:rPr>
      </w:pPr>
    </w:p>
    <w:p>
      <w:pPr>
        <w:ind w:left="544" w:right="60" w:hanging="544"/>
        <w:spacing w:after="0" w:line="282" w:lineRule="auto"/>
        <w:tabs>
          <w:tab w:leader="none" w:pos="5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67" w:lineRule="exact"/>
        <w:rPr>
          <w:sz w:val="20"/>
          <w:szCs w:val="20"/>
          <w:color w:val="auto"/>
        </w:rPr>
      </w:pPr>
    </w:p>
    <w:p>
      <w:pPr>
        <w:ind w:left="544" w:right="200" w:hanging="544"/>
        <w:spacing w:after="0" w:line="282" w:lineRule="auto"/>
        <w:tabs>
          <w:tab w:leader="none" w:pos="5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67" w:lineRule="exact"/>
        <w:rPr>
          <w:sz w:val="20"/>
          <w:szCs w:val="20"/>
          <w:color w:val="auto"/>
        </w:rPr>
      </w:pPr>
    </w:p>
    <w:p>
      <w:pPr>
        <w:ind w:left="544" w:right="720" w:hanging="544"/>
        <w:spacing w:after="0" w:line="282" w:lineRule="auto"/>
        <w:tabs>
          <w:tab w:leader="none" w:pos="5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respective meanings given to them in the Articles of Association of the Company.</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C38596992590</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1440" w:right="439" w:bottom="1440" w:gutter="0" w:footer="0" w:header="0"/>
        </w:sectPr>
      </w:pPr>
    </w:p>
    <w:bookmarkStart w:id="185" w:name="page186"/>
    <w:bookmarkEnd w:id="185"/>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the subscriber to this Memorandum of Association, wish to form a company pursuant to this Memorandum of Association, and we agree to take the number of shares shown opposite our name.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31st day of July 2020</w:t>
      </w:r>
    </w:p>
    <w:p>
      <w:pPr>
        <w:sectPr>
          <w:pgSz w:w="11900" w:h="16838" w:orient="portrait"/>
          <w:cols w:equalWidth="0" w:num="1">
            <w:col w:w="11020"/>
          </w:cols>
          <w:pgMar w:left="440" w:top="729" w:right="4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 and Address of Subscriber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 Taken</w:t>
      </w:r>
    </w:p>
    <w:p>
      <w:pPr>
        <w:spacing w:after="0" w:line="133"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Maples Corporate Services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Times New Roman" w:cs="Times New Roman" w:eastAsia="Times New Roman" w:hAnsi="Times New Roman"/>
          <w:sz w:val="17"/>
          <w:szCs w:val="17"/>
          <w:color w:val="auto"/>
        </w:rPr>
        <w:t>One Class B ordinary share</w:t>
      </w:r>
    </w:p>
    <w:p>
      <w:pPr>
        <w:spacing w:after="0" w:line="1309" w:lineRule="exact"/>
        <w:rPr>
          <w:sz w:val="20"/>
          <w:szCs w:val="20"/>
          <w:color w:val="auto"/>
        </w:rPr>
      </w:pPr>
    </w:p>
    <w:p>
      <w:pPr>
        <w:sectPr>
          <w:pgSz w:w="11900" w:h="16838" w:orient="portrait"/>
          <w:cols w:equalWidth="0" w:num="2">
            <w:col w:w="5020" w:space="720"/>
            <w:col w:w="5280"/>
          </w:cols>
          <w:pgMar w:left="440" w:top="729" w:right="4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Anadra McLaughlin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Marcia Borden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to the above signature</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20"/>
          </w:cols>
          <w:pgMar w:left="440" w:top="729" w:right="439" w:bottom="1440" w:gutter="0" w:footer="0" w:header="0"/>
          <w:type w:val="continuous"/>
        </w:sectPr>
      </w:pP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Auth Code: C38596992590</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type w:val="continuous"/>
        </w:sectPr>
      </w:pPr>
    </w:p>
    <w:bookmarkStart w:id="186" w:name="page187"/>
    <w:bookmarkEnd w:id="186"/>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COMPANIES LAW (2020 REVISION)</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51" w:lineRule="exact"/>
        <w:rPr>
          <w:sz w:val="20"/>
          <w:szCs w:val="20"/>
          <w:color w:val="auto"/>
        </w:rPr>
      </w:pPr>
    </w:p>
    <w:p>
      <w:pPr>
        <w:ind w:left="544" w:hanging="544"/>
        <w:spacing w:after="0"/>
        <w:tabs>
          <w:tab w:leader="none" w:pos="54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1024"/>
          </w:cols>
          <w:pgMar w:left="436" w:top="698" w:right="439" w:bottom="1440" w:gutter="0" w:footer="0" w:header="0"/>
        </w:sectPr>
      </w:pPr>
    </w:p>
    <w:p>
      <w:pPr>
        <w:spacing w:after="0" w:line="6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these articles of association of the Company.</w:t>
      </w:r>
    </w:p>
    <w:p>
      <w:pPr>
        <w:spacing w:after="0" w:line="207"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spacing w:after="0" w:line="6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“Auditor”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person for the time being performing the duties of auditor of the Company (if any).</w:t>
      </w:r>
    </w:p>
    <w:p>
      <w:pPr>
        <w:spacing w:after="0" w:line="200"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spacing w:after="0" w:line="62" w:lineRule="exact"/>
        <w:rPr>
          <w:sz w:val="20"/>
          <w:szCs w:val="20"/>
          <w:color w:val="auto"/>
        </w:rPr>
      </w:pPr>
    </w:p>
    <w:p>
      <w:pPr>
        <w:jc w:val="center"/>
        <w:ind w:left="564"/>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means a merger, amalgamation, share exchange, asset acquisition, share purchase, reorganisation or similar business combination involving the Company, with one or more businesses or entities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which Business Combination: (a) must occur with one or more target businesses that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an aggregate fair market value of at least 80 per cent of the assets held in the Trust Account (excluding the deferred underwriting commissions and taxes payable on the income earned on the Trust Account) at the time of the agreement to enter into such Business Combination; and (b) must not be effectuated with another blank cheque company or a similar company with nominal operations.</w:t>
      </w:r>
    </w:p>
    <w:p>
      <w:pPr>
        <w:spacing w:after="0" w:line="200" w:lineRule="exact"/>
        <w:rPr>
          <w:sz w:val="20"/>
          <w:szCs w:val="20"/>
          <w:color w:val="auto"/>
        </w:rPr>
      </w:pPr>
    </w:p>
    <w:p>
      <w:pPr>
        <w:sectPr>
          <w:pgSz w:w="11900" w:h="16838" w:orient="portrait"/>
          <w:cols w:equalWidth="0" w:num="2">
            <w:col w:w="2464" w:space="620"/>
            <w:col w:w="7940"/>
          </w:cols>
          <w:pgMar w:left="436" w:top="698" w:right="439" w:bottom="1440" w:gutter="0" w:footer="0" w:header="0"/>
          <w:type w:val="continuous"/>
        </w:sectPr>
      </w:pPr>
    </w:p>
    <w:p>
      <w:pPr>
        <w:spacing w:after="0" w:line="2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7"/>
          <w:szCs w:val="17"/>
          <w:b w:val="1"/>
          <w:bCs w:val="1"/>
          <w:color w:val="auto"/>
        </w:rPr>
        <w:t>“Class A Share”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a Class A ordinary share of a par value of US$0.0001 in the share capital of the Company.</w:t>
      </w:r>
    </w:p>
    <w:p>
      <w:pPr>
        <w:spacing w:after="0" w:line="200"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spacing w:after="0" w:line="7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7"/>
          <w:szCs w:val="17"/>
          <w:b w:val="1"/>
          <w:bCs w:val="1"/>
          <w:color w:val="auto"/>
        </w:rPr>
        <w:t>“Class B Share”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Class B ordinary share of a par value of US$0.0001 in the share capital of the Company.</w:t>
      </w:r>
    </w:p>
    <w:p>
      <w:pPr>
        <w:spacing w:after="0" w:line="200"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spacing w:after="0" w:line="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above named company.</w:t>
      </w:r>
    </w:p>
    <w:p>
      <w:pPr>
        <w:spacing w:after="0" w:line="207"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spacing w:after="0" w:line="66"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directors for the time being of the Company.</w:t>
      </w:r>
    </w:p>
    <w:p>
      <w:pPr>
        <w:spacing w:after="0" w:line="156" w:lineRule="exact"/>
        <w:rPr>
          <w:sz w:val="20"/>
          <w:szCs w:val="20"/>
          <w:color w:val="auto"/>
        </w:rPr>
      </w:pPr>
    </w:p>
    <w:p>
      <w:pPr>
        <w:sectPr>
          <w:pgSz w:w="11900" w:h="16838" w:orient="portrait"/>
          <w:cols w:equalWidth="0" w:num="2">
            <w:col w:w="2364" w:space="720"/>
            <w:col w:w="7940"/>
          </w:cols>
          <w:pgMar w:left="436" w:top="698"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Auth Code: K14027295841</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698" w:right="4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any dividend (whether interim or final) resolved to be paid on Shares pursuant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-504825</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Record”</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same meaning as in the Electronic Transactions Law.</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Electronic Transactions Law (2003 Revision) of the Cayman Islands.</w:t>
      </w:r>
    </w:p>
    <w:p>
      <w:pPr>
        <w:spacing w:after="0" w:line="27" w:lineRule="exact"/>
        <w:rPr>
          <w:sz w:val="20"/>
          <w:szCs w:val="20"/>
          <w:color w:val="auto"/>
        </w:rPr>
      </w:pPr>
    </w:p>
    <w:p>
      <w:pPr>
        <w:sectPr>
          <w:pgSz w:w="11900" w:h="16838" w:orient="portrait"/>
          <w:cols w:equalWidth="0" w:num="2">
            <w:col w:w="1900" w:space="500"/>
            <w:col w:w="7940"/>
          </w:cols>
          <w:pgMar w:left="1120" w:top="7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Law”</w:t>
      </w:r>
    </w:p>
    <w:p>
      <w:pPr>
        <w:sectPr>
          <w:pgSz w:w="11900" w:h="16838" w:orient="portrait"/>
          <w:cols w:equalWidth="0" w:num="1">
            <w:col w:w="10340"/>
          </w:cols>
          <w:pgMar w:left="1120" w:top="725"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“Equity-linked Securities”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200" w:lineRule="exact"/>
        <w:rPr>
          <w:sz w:val="20"/>
          <w:szCs w:val="20"/>
          <w:color w:val="auto"/>
        </w:rPr>
      </w:pPr>
    </w:p>
    <w:p>
      <w:pPr>
        <w:sectPr>
          <w:pgSz w:w="11900" w:h="16838" w:orient="portrait"/>
          <w:cols w:equalWidth="0" w:num="2">
            <w:col w:w="2020" w:space="380"/>
            <w:col w:w="7940"/>
          </w:cols>
          <w:pgMar w:left="1120" w:top="725"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Company’s initial public offering of securities.</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same meaning as in the Statute.</w:t>
      </w:r>
    </w:p>
    <w:p>
      <w:pPr>
        <w:spacing w:after="0" w:line="207"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“Memorandum”</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means the memorandum of association of the Company.</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200" w:lineRule="exact"/>
        <w:rPr>
          <w:sz w:val="20"/>
          <w:szCs w:val="20"/>
          <w:color w:val="auto"/>
        </w:rPr>
      </w:pPr>
    </w:p>
    <w:p>
      <w:pPr>
        <w:sectPr>
          <w:pgSz w:w="11900" w:h="16838" w:orient="portrait"/>
          <w:cols w:equalWidth="0" w:num="2">
            <w:col w:w="1760" w:space="640"/>
            <w:col w:w="7940"/>
          </w:cols>
          <w:pgMar w:left="1120" w:top="725" w:right="4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preference share of a par value of US$0.0001 in the share capital of the Company.</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“Register of Members”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 otherwise stated) any branch or duplicate register of Members.</w:t>
      </w:r>
    </w:p>
    <w:p>
      <w:pPr>
        <w:spacing w:after="0" w:line="198" w:lineRule="exact"/>
        <w:rPr>
          <w:sz w:val="20"/>
          <w:szCs w:val="20"/>
          <w:color w:val="auto"/>
        </w:rPr>
      </w:pPr>
    </w:p>
    <w:p>
      <w:pPr>
        <w:sectPr>
          <w:pgSz w:w="11900" w:h="16838" w:orient="portrait"/>
          <w:cols w:equalWidth="0" w:num="2">
            <w:col w:w="1780" w:space="620"/>
            <w:col w:w="7940"/>
          </w:cols>
          <w:pgMar w:left="1120" w:top="7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registered office for the time being of the Company.</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p>
      <w:pPr>
        <w:spacing w:after="0" w:line="200"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 Company.</w:t>
      </w:r>
    </w:p>
    <w:p>
      <w:pPr>
        <w:spacing w:after="0" w:line="198"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same meaning as in the Statute, and includes a unanimous written resolution.</w:t>
      </w:r>
    </w:p>
    <w:p>
      <w:pPr>
        <w:spacing w:after="0" w:line="158" w:lineRule="exact"/>
        <w:rPr>
          <w:sz w:val="20"/>
          <w:szCs w:val="20"/>
          <w:color w:val="auto"/>
        </w:rPr>
      </w:pPr>
    </w:p>
    <w:p>
      <w:pPr>
        <w:sectPr>
          <w:pgSz w:w="11900" w:h="16838" w:orient="portrait"/>
          <w:cols w:equalWidth="0" w:num="2">
            <w:col w:w="1680" w:space="720"/>
            <w:col w:w="7940"/>
          </w:cols>
          <w:pgMar w:left="1120" w:top="725" w:right="43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6"/>
          <w:szCs w:val="16"/>
          <w:color w:val="auto"/>
        </w:rPr>
        <w:t>2</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0340"/>
          </w:cols>
          <w:pgMar w:left="1120" w:top="725" w:right="439" w:bottom="144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“Statute”</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Companies Law (2020 Revision) of the Cayman Islands.</w:t>
            </w:r>
          </w:p>
        </w:tc>
      </w:tr>
      <w:tr>
        <w:trPr>
          <w:trHeight w:val="473"/>
        </w:trPr>
        <w:tc>
          <w:tcPr>
            <w:tcW w:w="38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“Subscriber”</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subscriber to the Memorandum.</w:t>
            </w:r>
          </w:p>
        </w:tc>
      </w:tr>
      <w:tr>
        <w:trPr>
          <w:trHeight w:val="473"/>
        </w:trPr>
        <w:tc>
          <w:tcPr>
            <w:tcW w:w="38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“Treasury Share”</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Share held in the name of the Company as a treasury share in accordance with the Statute.</w:t>
            </w:r>
          </w:p>
        </w:tc>
      </w:tr>
      <w:tr>
        <w:trPr>
          <w:trHeight w:val="454"/>
        </w:trPr>
        <w:tc>
          <w:tcPr>
            <w:tcW w:w="380" w:type="dxa"/>
            <w:vAlign w:val="bottom"/>
          </w:tcPr>
          <w:p>
            <w:pPr>
              <w:spacing w:after="0"/>
              <w:rPr>
                <w:sz w:val="24"/>
                <w:szCs w:val="24"/>
                <w:color w:val="auto"/>
              </w:rPr>
            </w:pPr>
          </w:p>
        </w:tc>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“Trust Account”</w:t>
            </w: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trust account established by the Company upon the consummation of its IPO and into which a</w:t>
            </w: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amount of the net proceeds of the IPO, together with a certain amount of the proceeds of a private</w:t>
            </w:r>
          </w:p>
        </w:tc>
      </w:tr>
      <w:tr>
        <w:trPr>
          <w:trHeight w:val="234"/>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placement of warrants simultaneously with the closing date of the IPO, will be deposited.</w:t>
            </w:r>
          </w:p>
        </w:tc>
      </w:tr>
      <w:tr>
        <w:trPr>
          <w:trHeight w:val="351"/>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1.2</w:t>
            </w: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the Articles:</w:t>
            </w:r>
          </w:p>
        </w:tc>
        <w:tc>
          <w:tcPr>
            <w:tcW w:w="820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words importing the singular number include the plural number and vice versa;</w:t>
            </w: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words importing the masculine gender include the feminine gender;</w:t>
            </w: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words importing persons include corporations as well as any other legal or natural person;</w:t>
            </w:r>
          </w:p>
        </w:tc>
      </w:tr>
      <w:tr>
        <w:trPr>
          <w:trHeight w:val="319"/>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“written” and “in writing” include all modes of representing or reproducing words in visible form, including in the form of an</w:t>
            </w:r>
          </w:p>
        </w:tc>
      </w:tr>
      <w:tr>
        <w:trPr>
          <w:trHeight w:val="234"/>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Electronic Record;</w:t>
            </w:r>
          </w:p>
        </w:tc>
        <w:tc>
          <w:tcPr>
            <w:tcW w:w="8200" w:type="dxa"/>
            <w:vAlign w:val="bottom"/>
          </w:tcPr>
          <w:p>
            <w:pPr>
              <w:spacing w:after="0"/>
              <w:rPr>
                <w:sz w:val="20"/>
                <w:szCs w:val="20"/>
                <w:color w:val="auto"/>
              </w:rPr>
            </w:pP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“shall” shall be construed as imperative and “may” shall be construed as permissive;</w:t>
            </w:r>
          </w:p>
        </w:tc>
      </w:tr>
      <w:tr>
        <w:trPr>
          <w:trHeight w:val="319"/>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w:t>
            </w:r>
          </w:p>
        </w:tc>
      </w:tr>
      <w:tr>
        <w:trPr>
          <w:trHeight w:val="234"/>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replaced;</w:t>
            </w:r>
          </w:p>
        </w:tc>
        <w:tc>
          <w:tcPr>
            <w:tcW w:w="8200" w:type="dxa"/>
            <w:vAlign w:val="bottom"/>
          </w:tcPr>
          <w:p>
            <w:pPr>
              <w:spacing w:after="0"/>
              <w:rPr>
                <w:sz w:val="20"/>
                <w:szCs w:val="20"/>
                <w:color w:val="auto"/>
              </w:rPr>
            </w:pPr>
          </w:p>
        </w:tc>
      </w:tr>
      <w:tr>
        <w:trPr>
          <w:trHeight w:val="319"/>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any phrase introduced by the terms “including”, “include”, “in particular” or any similar expression shall be construed as illustrative and</w:t>
            </w:r>
          </w:p>
        </w:tc>
      </w:tr>
      <w:tr>
        <w:trPr>
          <w:trHeight w:val="234"/>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shall not limit the sense of the words preceding those terms;</w:t>
            </w:r>
          </w:p>
        </w:tc>
      </w:tr>
      <w:tr>
        <w:trPr>
          <w:trHeight w:val="319"/>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w:t>
            </w:r>
          </w:p>
        </w:tc>
      </w:tr>
      <w:tr>
        <w:trPr>
          <w:trHeight w:val="216"/>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modifies the use of the terms “and” or “or” in others. The term “or” shall not be interpreted to be exclusive and the term “and” shall not</w:t>
            </w:r>
          </w:p>
        </w:tc>
      </w:tr>
      <w:tr>
        <w:trPr>
          <w:trHeight w:val="234"/>
        </w:trPr>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 interpreted to require the conjunctive (in each case, unless the context otherwise requires);</w:t>
            </w: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headings are inserted for reference only and shall be ignored in construing the Articles;</w:t>
            </w: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tc>
      </w:tr>
      <w:tr>
        <w:trPr>
          <w:trHeight w:val="360"/>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3</w:t>
            </w:r>
          </w:p>
        </w:tc>
      </w:tr>
    </w:tbl>
    <w:p>
      <w:pPr>
        <w:jc w:val="right"/>
        <w:spacing w:after="0" w:line="216" w:lineRule="auto"/>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189" w:name="page190"/>
    <w:bookmarkEnd w:id="189"/>
    <w:p>
      <w:pPr>
        <w:ind w:left="1184" w:right="240" w:hanging="644"/>
        <w:spacing w:after="0" w:line="282" w:lineRule="auto"/>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requirements as to execution or signature under the Articles including the execution of the Articles themselves can be satisfied in the form of an electronic signature as defined in the Electronic Transactions Law;</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Law shall not apply;</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370" w:lineRule="exact"/>
        <w:rPr>
          <w:sz w:val="20"/>
          <w:szCs w:val="20"/>
          <w:color w:val="auto"/>
        </w:rPr>
      </w:pPr>
    </w:p>
    <w:p>
      <w:pPr>
        <w:ind w:left="544" w:hanging="544"/>
        <w:spacing w:after="0"/>
        <w:tabs>
          <w:tab w:leader="none" w:pos="54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06" w:lineRule="exact"/>
        <w:rPr>
          <w:sz w:val="20"/>
          <w:szCs w:val="20"/>
          <w:color w:val="auto"/>
        </w:rPr>
      </w:pPr>
    </w:p>
    <w:p>
      <w:pPr>
        <w:ind w:left="544" w:hanging="544"/>
        <w:spacing w:after="0"/>
        <w:tabs>
          <w:tab w:leader="none" w:pos="54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of Shares and other Securities</w:t>
      </w:r>
    </w:p>
    <w:p>
      <w:pPr>
        <w:spacing w:after="0" w:line="135" w:lineRule="exact"/>
        <w:rPr>
          <w:sz w:val="20"/>
          <w:szCs w:val="20"/>
          <w:color w:val="auto"/>
        </w:rPr>
      </w:pPr>
    </w:p>
    <w:p>
      <w:pPr>
        <w:jc w:val="center"/>
        <w:ind w:right="196"/>
        <w:spacing w:after="0"/>
        <w:tabs>
          <w:tab w:leader="none" w:pos="3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Subject to the provisions, if any, in the Memorandum (and to any direction that may be given by the Company in general meeting) and without</w:t>
      </w:r>
    </w:p>
    <w:p>
      <w:pPr>
        <w:spacing w:after="0" w:line="27" w:lineRule="exact"/>
        <w:rPr>
          <w:sz w:val="20"/>
          <w:szCs w:val="20"/>
          <w:color w:val="auto"/>
        </w:rPr>
      </w:pPr>
    </w:p>
    <w:p>
      <w:pPr>
        <w:ind w:left="544" w:right="80"/>
        <w:spacing w:after="0" w:line="252" w:lineRule="auto"/>
        <w:rPr>
          <w:sz w:val="20"/>
          <w:szCs w:val="20"/>
          <w:color w:val="auto"/>
        </w:rPr>
      </w:pPr>
      <w:r>
        <w:rPr>
          <w:rFonts w:ascii="Times New Roman" w:cs="Times New Roman" w:eastAsia="Times New Roman" w:hAnsi="Times New Roman"/>
          <w:sz w:val="18"/>
          <w:szCs w:val="18"/>
          <w:color w:val="auto"/>
        </w:rPr>
        <w:t>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95"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1"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10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190" w:name="page191"/>
    <w:bookmarkEnd w:id="19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370" w:lineRule="exact"/>
        <w:rPr>
          <w:sz w:val="20"/>
          <w:szCs w:val="20"/>
          <w:color w:val="auto"/>
        </w:rPr>
      </w:pPr>
    </w:p>
    <w:p>
      <w:pPr>
        <w:ind w:left="544" w:hanging="544"/>
        <w:spacing w:after="0"/>
        <w:tabs>
          <w:tab w:leader="none" w:pos="54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131" w:lineRule="exact"/>
        <w:rPr>
          <w:sz w:val="20"/>
          <w:szCs w:val="20"/>
          <w:color w:val="auto"/>
        </w:rPr>
      </w:pPr>
    </w:p>
    <w:p>
      <w:pPr>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0" w:lineRule="exact"/>
        <w:rPr>
          <w:sz w:val="20"/>
          <w:szCs w:val="20"/>
          <w:color w:val="auto"/>
        </w:rPr>
      </w:pPr>
    </w:p>
    <w:p>
      <w:pPr>
        <w:ind w:left="544" w:hanging="544"/>
        <w:spacing w:after="0"/>
        <w:tabs>
          <w:tab w:leader="none" w:pos="54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35" w:lineRule="exact"/>
        <w:rPr>
          <w:sz w:val="20"/>
          <w:szCs w:val="20"/>
          <w:color w:val="auto"/>
        </w:rPr>
      </w:pPr>
    </w:p>
    <w:p>
      <w:pPr>
        <w:ind w:left="544" w:right="3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85"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85"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8" w:lineRule="exact"/>
        <w:rPr>
          <w:sz w:val="20"/>
          <w:szCs w:val="20"/>
          <w:color w:val="auto"/>
        </w:rPr>
      </w:pPr>
    </w:p>
    <w:p>
      <w:pPr>
        <w:ind w:left="544" w:hanging="544"/>
        <w:spacing w:after="0"/>
        <w:tabs>
          <w:tab w:leader="none" w:pos="54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35"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20"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191" w:name="page192"/>
    <w:bookmarkEnd w:id="191"/>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67" w:lineRule="exact"/>
        <w:rPr>
          <w:sz w:val="20"/>
          <w:szCs w:val="20"/>
          <w:color w:val="auto"/>
        </w:rPr>
      </w:pPr>
    </w:p>
    <w:p>
      <w:pPr>
        <w:jc w:val="both"/>
        <w:ind w:left="544" w:right="2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306" w:lineRule="exact"/>
        <w:rPr>
          <w:sz w:val="20"/>
          <w:szCs w:val="20"/>
          <w:color w:val="auto"/>
        </w:rPr>
      </w:pPr>
    </w:p>
    <w:p>
      <w:pPr>
        <w:ind w:left="544" w:hanging="544"/>
        <w:spacing w:after="0"/>
        <w:tabs>
          <w:tab w:leader="none" w:pos="54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35"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81"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320" w:lineRule="exact"/>
        <w:rPr>
          <w:sz w:val="20"/>
          <w:szCs w:val="20"/>
          <w:color w:val="auto"/>
        </w:rPr>
      </w:pPr>
    </w:p>
    <w:p>
      <w:pPr>
        <w:ind w:left="544" w:hanging="544"/>
        <w:spacing w:after="0"/>
        <w:tabs>
          <w:tab w:leader="none" w:pos="54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135"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81"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370" w:lineRule="exact"/>
        <w:rPr>
          <w:sz w:val="20"/>
          <w:szCs w:val="20"/>
          <w:color w:val="auto"/>
        </w:rPr>
      </w:pPr>
    </w:p>
    <w:p>
      <w:pPr>
        <w:ind w:left="544" w:hanging="544"/>
        <w:spacing w:after="0"/>
        <w:tabs>
          <w:tab w:leader="none" w:pos="54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158" w:lineRule="exact"/>
        <w:rPr>
          <w:sz w:val="20"/>
          <w:szCs w:val="20"/>
          <w:color w:val="auto"/>
        </w:rPr>
      </w:pPr>
    </w:p>
    <w:p>
      <w:pPr>
        <w:ind w:left="5584"/>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192" w:name="page193"/>
    <w:bookmarkEnd w:id="192"/>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135" w:lineRule="exact"/>
        <w:rPr>
          <w:sz w:val="20"/>
          <w:szCs w:val="20"/>
          <w:color w:val="auto"/>
        </w:rPr>
      </w:pPr>
    </w:p>
    <w:p>
      <w:pPr>
        <w:ind w:left="544" w:right="8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00"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1" w:lineRule="exact"/>
        <w:rPr>
          <w:sz w:val="20"/>
          <w:szCs w:val="20"/>
          <w:color w:val="auto"/>
        </w:rPr>
      </w:pPr>
    </w:p>
    <w:p>
      <w:pPr>
        <w:ind w:left="544" w:right="3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320" w:lineRule="exact"/>
        <w:rPr>
          <w:sz w:val="20"/>
          <w:szCs w:val="20"/>
          <w:color w:val="auto"/>
        </w:rPr>
      </w:pPr>
    </w:p>
    <w:p>
      <w:pPr>
        <w:ind w:left="544" w:hanging="544"/>
        <w:spacing w:after="0"/>
        <w:tabs>
          <w:tab w:leader="none" w:pos="54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5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2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0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193" w:name="page194"/>
    <w:bookmarkEnd w:id="19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8"/>
          <w:szCs w:val="18"/>
          <w:b w:val="1"/>
          <w:bCs w:val="1"/>
          <w:color w:val="auto"/>
        </w:rPr>
        <w:t>Lien on Shares</w:t>
      </w:r>
    </w:p>
    <w:p>
      <w:pPr>
        <w:spacing w:after="0" w:line="135" w:lineRule="exact"/>
        <w:rPr>
          <w:sz w:val="20"/>
          <w:szCs w:val="20"/>
          <w:color w:val="auto"/>
        </w:rPr>
      </w:pPr>
    </w:p>
    <w:p>
      <w:pPr>
        <w:ind w:left="540" w:right="6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13.1</w:t>
        <w:tab/>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89"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13.2</w:t>
        <w:tab/>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8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85"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135" w:lineRule="exact"/>
        <w:rPr>
          <w:sz w:val="20"/>
          <w:szCs w:val="20"/>
          <w:color w:val="auto"/>
        </w:rPr>
      </w:pPr>
    </w:p>
    <w:p>
      <w:pPr>
        <w:ind w:left="540" w:right="2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194" w:name="page195"/>
    <w:bookmarkEnd w:id="194"/>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14.4</w:t>
        <w:tab/>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81" w:lineRule="exact"/>
        <w:rPr>
          <w:sz w:val="20"/>
          <w:szCs w:val="20"/>
          <w:color w:val="auto"/>
        </w:rPr>
      </w:pPr>
    </w:p>
    <w:p>
      <w:pPr>
        <w:jc w:val="both"/>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8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14.8</w:t>
        <w:tab/>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If a call or instalment of a call remains unpaid after it has become due and payable the Directors may give to the person from whom it is due not</w:t>
      </w:r>
    </w:p>
    <w:p>
      <w:pPr>
        <w:spacing w:after="0" w:line="27" w:lineRule="exact"/>
        <w:rPr>
          <w:sz w:val="20"/>
          <w:szCs w:val="20"/>
          <w:color w:val="auto"/>
        </w:rPr>
      </w:pPr>
    </w:p>
    <w:p>
      <w:pPr>
        <w:ind w:left="540" w:right="160"/>
        <w:spacing w:after="0" w:line="255" w:lineRule="auto"/>
        <w:rPr>
          <w:sz w:val="20"/>
          <w:szCs w:val="20"/>
          <w:color w:val="auto"/>
        </w:rPr>
      </w:pPr>
      <w:r>
        <w:rPr>
          <w:rFonts w:ascii="Times New Roman" w:cs="Times New Roman" w:eastAsia="Times New Roman" w:hAnsi="Times New Roman"/>
          <w:sz w:val="18"/>
          <w:szCs w:val="18"/>
          <w:color w:val="auto"/>
        </w:rPr>
        <w:t>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91"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1" w:lineRule="exact"/>
        <w:rPr>
          <w:sz w:val="20"/>
          <w:szCs w:val="20"/>
          <w:color w:val="auto"/>
        </w:rPr>
      </w:pPr>
    </w:p>
    <w:p>
      <w:pPr>
        <w:jc w:val="both"/>
        <w:ind w:left="540" w:right="2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85" w:lineRule="exact"/>
        <w:rPr>
          <w:sz w:val="20"/>
          <w:szCs w:val="20"/>
          <w:color w:val="auto"/>
        </w:rPr>
      </w:pPr>
    </w:p>
    <w:p>
      <w:pPr>
        <w:ind w:left="540" w:right="6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15.4</w:t>
        <w:tab/>
        <w:t>A person any of whose Shares have been forfeited shall cease to be a Member in respect of them and shall surrender to the Company for cancellation the certificate for the Shares forfeited and shall</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195" w:name="page196"/>
    <w:bookmarkEnd w:id="195"/>
    <w:p>
      <w:pPr>
        <w:ind w:left="54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81"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15.5</w:t>
        <w:tab/>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89"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15.6</w:t>
        <w:tab/>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jc w:val="both"/>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16.1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1"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16.2</w:t>
        <w:tab/>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93" w:lineRule="exact"/>
        <w:rPr>
          <w:sz w:val="20"/>
          <w:szCs w:val="20"/>
          <w:color w:val="auto"/>
        </w:rPr>
      </w:pPr>
    </w:p>
    <w:p>
      <w:pPr>
        <w:jc w:val="both"/>
        <w:ind w:left="540" w:right="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16.3</w:t>
        <w:tab/>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196" w:name="page197"/>
    <w:bookmarkEnd w:id="196"/>
    <w:p>
      <w:pPr>
        <w:ind w:left="5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Class B Ordinary Share Conversion</w:t>
      </w:r>
    </w:p>
    <w:p>
      <w:pPr>
        <w:spacing w:after="0" w:line="133" w:lineRule="exact"/>
        <w:rPr>
          <w:sz w:val="20"/>
          <w:szCs w:val="20"/>
          <w:color w:val="auto"/>
        </w:rPr>
      </w:pPr>
    </w:p>
    <w:p>
      <w:pPr>
        <w:ind w:left="540" w:right="200" w:hanging="539"/>
        <w:spacing w:after="0" w:line="284" w:lineRule="auto"/>
        <w:tabs>
          <w:tab w:leader="none" w:pos="520" w:val="left"/>
        </w:tabs>
        <w:rPr>
          <w:sz w:val="20"/>
          <w:szCs w:val="20"/>
          <w:color w:val="auto"/>
        </w:rPr>
      </w:pPr>
      <w:r>
        <w:rPr>
          <w:rFonts w:ascii="Times New Roman" w:cs="Times New Roman" w:eastAsia="Times New Roman" w:hAnsi="Times New Roman"/>
          <w:sz w:val="18"/>
          <w:szCs w:val="18"/>
          <w:color w:val="auto"/>
        </w:rPr>
        <w:t>17.1</w:t>
        <w:tab/>
        <w:t xml:space="preserve">The rights attaching to all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 Class A Shares and Class B Shares shall vote together as a single class on all matters with the exception that the holder of a Class B Share shall have the Conversion Rights referred to in this Article.</w:t>
      </w:r>
    </w:p>
    <w:p>
      <w:pPr>
        <w:spacing w:after="0" w:line="62" w:lineRule="exact"/>
        <w:rPr>
          <w:sz w:val="20"/>
          <w:szCs w:val="20"/>
          <w:color w:val="auto"/>
        </w:rPr>
      </w:pPr>
    </w:p>
    <w:p>
      <w:pPr>
        <w:ind w:left="540" w:right="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17.2</w:t>
        <w:tab/>
        <w:t>Class B Shares shall automatically convert into Class A Shares on a one-for-one basis (the “</w:t>
      </w:r>
      <w:r>
        <w:rPr>
          <w:rFonts w:ascii="Times New Roman" w:cs="Times New Roman" w:eastAsia="Times New Roman" w:hAnsi="Times New Roman"/>
          <w:sz w:val="18"/>
          <w:szCs w:val="18"/>
          <w:b w:val="1"/>
          <w:bCs w:val="1"/>
          <w:color w:val="auto"/>
        </w:rPr>
        <w:t>Initial Conversion Ratio</w:t>
      </w:r>
      <w:r>
        <w:rPr>
          <w:rFonts w:ascii="Times New Roman" w:cs="Times New Roman" w:eastAsia="Times New Roman" w:hAnsi="Times New Roman"/>
          <w:sz w:val="18"/>
          <w:szCs w:val="18"/>
          <w:color w:val="auto"/>
        </w:rPr>
        <w:t>”): (a) at any time and from time to time at the option of the holder thereof; and (b) automatically on the day of the closing of a Business Combination.</w:t>
      </w:r>
    </w:p>
    <w:p>
      <w:pPr>
        <w:spacing w:after="0" w:line="64"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17.3</w:t>
        <w:tab/>
        <w:t>Notwithstanding the Initial Conversion Ratio, in the case that additional Class A Shares or any other Equity-linked Securities, are issued or deemed issued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in the aggregate, 20 per cent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w:t>
      </w:r>
    </w:p>
    <w:p>
      <w:pPr>
        <w:spacing w:after="0" w:line="97"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85" w:lineRule="exact"/>
        <w:rPr>
          <w:sz w:val="20"/>
          <w:szCs w:val="20"/>
          <w:color w:val="auto"/>
        </w:rPr>
      </w:pPr>
    </w:p>
    <w:p>
      <w:pPr>
        <w:ind w:left="540" w:right="8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17.5</w:t>
        <w:tab/>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9"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17.6</w:t>
        <w:tab/>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197" w:name="page198"/>
    <w:bookmarkEnd w:id="197"/>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17.7</w:t>
        <w:tab/>
        <w:t>References in this Article to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89"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17.8</w:t>
        <w:tab/>
        <w:t>Notwithstanding anything to the contrary in this Article, in no event may any Class B Share convert into Class A Shares at a ratio that is less than one-for-one.</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131" w:lineRule="exact"/>
        <w:rPr>
          <w:sz w:val="20"/>
          <w:szCs w:val="20"/>
          <w:color w:val="auto"/>
        </w:rPr>
      </w:pPr>
    </w:p>
    <w:p>
      <w:pPr>
        <w:ind w:left="1180" w:right="12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0"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67"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198" w:name="page199"/>
    <w:bookmarkEnd w:id="198"/>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18.3</w:t>
      </w:r>
      <w:r>
        <w:rPr>
          <w:sz w:val="20"/>
          <w:szCs w:val="20"/>
          <w:color w:val="auto"/>
        </w:rPr>
        <w:tab/>
      </w:r>
      <w:r>
        <w:rPr>
          <w:rFonts w:ascii="Times New Roman" w:cs="Times New Roman" w:eastAsia="Times New Roman" w:hAnsi="Times New Roman"/>
          <w:sz w:val="17"/>
          <w:szCs w:val="17"/>
          <w:color w:val="auto"/>
        </w:rPr>
        <w:t>Subject to the provisions of the Statute and the provisions of the Articles as regards the matters to be dealt with by Ordinary Resolution,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 may by Special Resolution:</w:t>
      </w:r>
    </w:p>
    <w:p>
      <w:pPr>
        <w:spacing w:after="0" w:line="112" w:lineRule="exact"/>
        <w:rPr>
          <w:sz w:val="20"/>
          <w:szCs w:val="20"/>
          <w:color w:val="auto"/>
        </w:rPr>
      </w:pPr>
    </w:p>
    <w:p>
      <w:pPr>
        <w:ind w:left="1184" w:hanging="644"/>
        <w:spacing w:after="0"/>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Memorandum with respect to any objects, powers or other matters specified therein;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370" w:lineRule="exact"/>
        <w:rPr>
          <w:sz w:val="20"/>
          <w:szCs w:val="20"/>
          <w:color w:val="auto"/>
        </w:rPr>
      </w:pPr>
    </w:p>
    <w:p>
      <w:pPr>
        <w:ind w:left="544" w:hanging="544"/>
        <w:spacing w:after="0"/>
        <w:tabs>
          <w:tab w:leader="none" w:pos="54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544" w:righ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131" w:lineRule="exact"/>
        <w:rPr>
          <w:sz w:val="20"/>
          <w:szCs w:val="20"/>
          <w:color w:val="auto"/>
        </w:rPr>
      </w:pPr>
    </w:p>
    <w:p>
      <w:pPr>
        <w:ind w:left="544" w:right="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20.2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85" w:lineRule="exact"/>
        <w:rPr>
          <w:sz w:val="20"/>
          <w:szCs w:val="20"/>
          <w:color w:val="auto"/>
        </w:rPr>
      </w:pPr>
    </w:p>
    <w:p>
      <w:pPr>
        <w:ind w:left="544" w:right="5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20.3</w:t>
        <w:tab/>
        <w:t>The Directors may call general meetings, and they shall on a Members’ requisition forthwith proceed to convene an extraordinary general meeting of the Company.</w:t>
      </w:r>
    </w:p>
    <w:p>
      <w:pPr>
        <w:spacing w:after="0" w:line="67"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20.4</w:t>
        <w:tab/>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20.5</w:t>
        <w:tab/>
        <w:t>The Members’ requisition must state the objects of the meeting and must be signed by the requisitionists and deposited at the Registered Office, and may consist of several documents in like form each signed by one or more requisitionists.</w:t>
      </w:r>
    </w:p>
    <w:p>
      <w:pPr>
        <w:spacing w:after="0" w:line="67"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20.6</w:t>
        <w:tab/>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16"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199" w:name="page200"/>
    <w:bookmarkEnd w:id="199"/>
    <w:p>
      <w:pPr>
        <w:ind w:left="540" w:right="1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20.7</w:t>
        <w:tab/>
        <w:t>A general meeting convened as aforesaid by requisitionists shall be convened in the same manner as nearly as possible as that in which general meetings are to be convened by Directors.</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135"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89" w:lineRule="exact"/>
        <w:rPr>
          <w:sz w:val="20"/>
          <w:szCs w:val="20"/>
          <w:color w:val="auto"/>
        </w:rPr>
      </w:pPr>
    </w:p>
    <w:p>
      <w:pPr>
        <w:ind w:left="1180" w:hanging="644"/>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130" w:lineRule="exact"/>
        <w:rPr>
          <w:rFonts w:ascii="Times New Roman" w:cs="Times New Roman" w:eastAsia="Times New Roman" w:hAnsi="Times New Roman"/>
          <w:sz w:val="18"/>
          <w:szCs w:val="18"/>
          <w:color w:val="auto"/>
        </w:rPr>
      </w:pPr>
    </w:p>
    <w:p>
      <w:pPr>
        <w:ind w:left="1180" w:right="620" w:hanging="644"/>
        <w:spacing w:after="0" w:line="282" w:lineRule="auto"/>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67" w:lineRule="exact"/>
        <w:rPr>
          <w:sz w:val="20"/>
          <w:szCs w:val="20"/>
          <w:color w:val="auto"/>
        </w:rPr>
      </w:pPr>
    </w:p>
    <w:p>
      <w:pPr>
        <w:jc w:val="both"/>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21.2</w:t>
        <w:tab/>
        <w:t>The accidental omission to give notice of a general meeting to, or the non receipt of notice of a general meeting by, any person entitled to receive such notice shall not invalidate the proceedings of that general meeting.</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135" w:lineRule="exact"/>
        <w:rPr>
          <w:sz w:val="20"/>
          <w:szCs w:val="20"/>
          <w:color w:val="auto"/>
        </w:rPr>
      </w:pPr>
    </w:p>
    <w:p>
      <w:pPr>
        <w:jc w:val="both"/>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22.1</w:t>
        <w:tab/>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85"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22.2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1"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00" w:name="page201"/>
    <w:bookmarkEnd w:id="200"/>
    <w:p>
      <w:pPr>
        <w:ind w:left="540" w:right="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22.4</w:t>
        <w:tab/>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89"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22.5</w:t>
        <w:tab/>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85" w:lineRule="exact"/>
        <w:rPr>
          <w:sz w:val="20"/>
          <w:szCs w:val="20"/>
          <w:color w:val="auto"/>
        </w:rPr>
      </w:pPr>
    </w:p>
    <w:p>
      <w:pPr>
        <w:ind w:left="540" w:right="7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22.6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67"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22.7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112"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22.9</w:t>
        <w:tab/>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85" w:lineRule="exact"/>
        <w:rPr>
          <w:sz w:val="20"/>
          <w:szCs w:val="20"/>
          <w:color w:val="auto"/>
        </w:rPr>
      </w:pPr>
    </w:p>
    <w:p>
      <w:pPr>
        <w:ind w:left="540" w:right="60" w:hanging="539"/>
        <w:spacing w:after="0" w:line="261" w:lineRule="auto"/>
        <w:rPr>
          <w:sz w:val="20"/>
          <w:szCs w:val="20"/>
          <w:color w:val="auto"/>
        </w:rPr>
      </w:pPr>
      <w:r>
        <w:rPr>
          <w:rFonts w:ascii="Times New Roman" w:cs="Times New Roman" w:eastAsia="Times New Roman" w:hAnsi="Times New Roman"/>
          <w:sz w:val="18"/>
          <w:szCs w:val="18"/>
          <w:color w:val="auto"/>
        </w:rPr>
        <w:t>22.10 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22.11  The demand for a poll may be withdrawn.</w:t>
      </w:r>
    </w:p>
    <w:p>
      <w:pPr>
        <w:spacing w:after="0" w:line="131" w:lineRule="exact"/>
        <w:rPr>
          <w:sz w:val="20"/>
          <w:szCs w:val="20"/>
          <w:color w:val="auto"/>
        </w:rPr>
      </w:pPr>
    </w:p>
    <w:p>
      <w:pPr>
        <w:ind w:left="540" w:right="200" w:hanging="539"/>
        <w:spacing w:after="0" w:line="282" w:lineRule="auto"/>
        <w:rPr>
          <w:sz w:val="20"/>
          <w:szCs w:val="20"/>
          <w:color w:val="auto"/>
        </w:rPr>
      </w:pPr>
      <w:r>
        <w:rPr>
          <w:rFonts w:ascii="Times New Roman" w:cs="Times New Roman" w:eastAsia="Times New Roman" w:hAnsi="Times New Roman"/>
          <w:sz w:val="18"/>
          <w:szCs w:val="18"/>
          <w:color w:val="auto"/>
        </w:rPr>
        <w:t>22.12 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01" w:name="page202"/>
    <w:bookmarkEnd w:id="201"/>
    <w:p>
      <w:pPr>
        <w:jc w:val="both"/>
        <w:ind w:left="540" w:right="80" w:hanging="53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22.14  In the case of an equality of votes, whether on a show of hands or on a poll, the chairman shall be entitled to a second or casting vote.</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23.1</w:t>
        <w:tab/>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81"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23.2</w:t>
        <w:tab/>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81" w:lineRule="exact"/>
        <w:rPr>
          <w:sz w:val="20"/>
          <w:szCs w:val="20"/>
          <w:color w:val="auto"/>
        </w:rPr>
      </w:pPr>
    </w:p>
    <w:p>
      <w:pPr>
        <w:jc w:val="both"/>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23.3</w:t>
        <w:tab/>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81" w:lineRule="exact"/>
        <w:rPr>
          <w:sz w:val="20"/>
          <w:szCs w:val="20"/>
          <w:color w:val="auto"/>
        </w:rPr>
      </w:pPr>
    </w:p>
    <w:p>
      <w:pPr>
        <w:jc w:val="both"/>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23.4</w:t>
        <w:tab/>
        <w:t>No person shall be entitled to vote at any general meeting unless he is registered as a Member on the record date for such meeting nor unless all calls or other monies then payable by him in respect of Shares have been paid.</w:t>
      </w:r>
    </w:p>
    <w:p>
      <w:pPr>
        <w:spacing w:after="0" w:line="67"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1"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23.6</w:t>
        <w:tab/>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85" w:lineRule="exact"/>
        <w:rPr>
          <w:sz w:val="20"/>
          <w:szCs w:val="20"/>
          <w:color w:val="auto"/>
        </w:rPr>
      </w:pPr>
    </w:p>
    <w:p>
      <w:pPr>
        <w:ind w:left="540" w:right="2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23.7</w:t>
        <w:tab/>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02" w:name="page203"/>
    <w:bookmarkEnd w:id="202"/>
    <w:p>
      <w:pPr>
        <w:jc w:val="both"/>
        <w:ind w:left="54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2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jc w:val="both"/>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24.1</w:t>
        <w:tab/>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1" w:lineRule="exact"/>
        <w:rPr>
          <w:sz w:val="20"/>
          <w:szCs w:val="20"/>
          <w:color w:val="auto"/>
        </w:rPr>
      </w:pPr>
    </w:p>
    <w:p>
      <w:pPr>
        <w:jc w:val="both"/>
        <w:ind w:left="544" w:right="40" w:hanging="539"/>
        <w:spacing w:after="0" w:line="272" w:lineRule="auto"/>
        <w:tabs>
          <w:tab w:leader="none" w:pos="524"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4" w:right="180"/>
        <w:spacing w:after="0" w:line="255" w:lineRule="auto"/>
        <w:rPr>
          <w:sz w:val="20"/>
          <w:szCs w:val="20"/>
          <w:color w:val="auto"/>
        </w:rPr>
      </w:pPr>
      <w:r>
        <w:rPr>
          <w:rFonts w:ascii="Times New Roman" w:cs="Times New Roman" w:eastAsia="Times New Roman" w:hAnsi="Times New Roman"/>
          <w:sz w:val="18"/>
          <w:szCs w:val="18"/>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91"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24.3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1" w:lineRule="exact"/>
        <w:rPr>
          <w:sz w:val="20"/>
          <w:szCs w:val="20"/>
          <w:color w:val="auto"/>
        </w:rPr>
      </w:pPr>
    </w:p>
    <w:p>
      <w:pPr>
        <w:ind w:left="544" w:right="6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24.4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81"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24.5</w:t>
        <w:tab/>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24" w:lineRule="exact"/>
        <w:rPr>
          <w:sz w:val="20"/>
          <w:szCs w:val="20"/>
          <w:color w:val="auto"/>
        </w:rPr>
      </w:pPr>
    </w:p>
    <w:p>
      <w:pPr>
        <w:ind w:left="544" w:hanging="544"/>
        <w:spacing w:after="0"/>
        <w:tabs>
          <w:tab w:leader="none" w:pos="54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Members</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12"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203" w:name="page204"/>
    <w:bookmarkEnd w:id="203"/>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544"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21" w:lineRule="exact"/>
        <w:rPr>
          <w:rFonts w:ascii="Times New Roman" w:cs="Times New Roman" w:eastAsia="Times New Roman" w:hAnsi="Times New Roman"/>
          <w:sz w:val="18"/>
          <w:szCs w:val="18"/>
          <w:b w:val="1"/>
          <w:bCs w:val="1"/>
          <w:color w:val="auto"/>
        </w:rPr>
      </w:pPr>
    </w:p>
    <w:p>
      <w:pPr>
        <w:jc w:val="both"/>
        <w:ind w:left="5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w:t>
      </w:r>
    </w:p>
    <w:p>
      <w:pPr>
        <w:spacing w:after="0" w:line="135" w:lineRule="exact"/>
        <w:rPr>
          <w:sz w:val="20"/>
          <w:szCs w:val="20"/>
          <w:color w:val="auto"/>
        </w:rPr>
      </w:pPr>
    </w:p>
    <w:p>
      <w:pPr>
        <w:jc w:val="both"/>
        <w:ind w:left="544" w:right="20" w:hanging="539"/>
        <w:spacing w:after="0" w:line="281" w:lineRule="auto"/>
        <w:tabs>
          <w:tab w:leader="none" w:pos="524" w:val="left"/>
        </w:tabs>
        <w:rPr>
          <w:sz w:val="20"/>
          <w:szCs w:val="20"/>
          <w:color w:val="auto"/>
        </w:rPr>
      </w:pPr>
      <w:r>
        <w:rPr>
          <w:rFonts w:ascii="Times New Roman" w:cs="Times New Roman" w:eastAsia="Times New Roman" w:hAnsi="Times New Roman"/>
          <w:sz w:val="18"/>
          <w:szCs w:val="18"/>
          <w:color w:val="auto"/>
        </w:rPr>
        <w:t>28.1</w:t>
      </w:r>
      <w:r>
        <w:rPr>
          <w:sz w:val="20"/>
          <w:szCs w:val="20"/>
          <w:color w:val="auto"/>
        </w:rPr>
        <w:tab/>
      </w:r>
      <w:r>
        <w:rPr>
          <w:rFonts w:ascii="Times New Roman" w:cs="Times New Roman" w:eastAsia="Times New Roman" w:hAnsi="Times New Roman"/>
          <w:sz w:val="17"/>
          <w:szCs w:val="17"/>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jc w:val="both"/>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28.2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1"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28.3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81"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28.4</w:t>
        <w:tab/>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2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7"/>
          <w:szCs w:val="17"/>
          <w:color w:val="auto"/>
        </w:rPr>
        <w:t>The Company may by Ordinary Resolution appoint any person to be a Director or may by Ordinary Resolution remove any Director.</w:t>
      </w:r>
    </w:p>
    <w:p>
      <w:pPr>
        <w:spacing w:after="0" w:line="15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5" w:right="439" w:bottom="1440" w:gutter="0" w:footer="0" w:header="0"/>
        </w:sectPr>
      </w:pPr>
    </w:p>
    <w:bookmarkStart w:id="204" w:name="page205"/>
    <w:bookmarkEnd w:id="204"/>
    <w:p>
      <w:pPr>
        <w:ind w:left="544" w:right="26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29.2</w:t>
      </w:r>
      <w:r>
        <w:rPr>
          <w:sz w:val="20"/>
          <w:szCs w:val="20"/>
          <w:color w:val="auto"/>
        </w:rPr>
        <w:tab/>
      </w:r>
      <w:r>
        <w:rPr>
          <w:rFonts w:ascii="Times New Roman" w:cs="Times New Roman" w:eastAsia="Times New Roman" w:hAnsi="Times New Roman"/>
          <w:sz w:val="17"/>
          <w:szCs w:val="17"/>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284" w:lineRule="exact"/>
        <w:rPr>
          <w:sz w:val="20"/>
          <w:szCs w:val="20"/>
          <w:color w:val="auto"/>
        </w:rPr>
      </w:pPr>
    </w:p>
    <w:p>
      <w:pPr>
        <w:ind w:left="544" w:hanging="544"/>
        <w:spacing w:after="0"/>
        <w:tabs>
          <w:tab w:leader="none" w:pos="54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130" w:lineRule="exact"/>
        <w:rPr>
          <w:rFonts w:ascii="Times New Roman" w:cs="Times New Roman" w:eastAsia="Times New Roman" w:hAnsi="Times New Roman"/>
          <w:sz w:val="18"/>
          <w:szCs w:val="18"/>
          <w:color w:val="auto"/>
        </w:rPr>
      </w:pPr>
    </w:p>
    <w:p>
      <w:pPr>
        <w:jc w:val="both"/>
        <w:ind w:left="1184" w:right="80" w:hanging="644"/>
        <w:spacing w:after="0" w:line="266" w:lineRule="auto"/>
        <w:tabs>
          <w:tab w:leader="none" w:pos="11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32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135"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31.1</w:t>
        <w:tab/>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85"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31.2</w:t>
        <w:tab/>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81" w:lineRule="exact"/>
        <w:rPr>
          <w:sz w:val="20"/>
          <w:szCs w:val="20"/>
          <w:color w:val="auto"/>
        </w:rPr>
      </w:pPr>
    </w:p>
    <w:p>
      <w:pPr>
        <w:ind w:left="544" w:right="1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31.3</w:t>
        <w:tab/>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12"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205" w:name="page206"/>
    <w:bookmarkEnd w:id="205"/>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93" w:lineRule="exact"/>
        <w:rPr>
          <w:sz w:val="20"/>
          <w:szCs w:val="20"/>
          <w:color w:val="auto"/>
        </w:rPr>
      </w:pPr>
    </w:p>
    <w:p>
      <w:pPr>
        <w:ind w:left="544" w:right="1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31.5</w:t>
        <w:tab/>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89"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31.6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85"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81" w:lineRule="exact"/>
        <w:rPr>
          <w:sz w:val="20"/>
          <w:szCs w:val="20"/>
          <w:color w:val="auto"/>
        </w:rPr>
      </w:pPr>
    </w:p>
    <w:p>
      <w:pPr>
        <w:ind w:left="544" w:right="2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31.8</w:t>
        <w:tab/>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color w:val="auto"/>
        </w:rPr>
        <w:t>A Director but not an alternate Director may be represented at any meetings of the board of Directors by a proxy appointed in writing by him.</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proxy shall count towards the quorum and the vote of the proxy shall for all purposes be deemed to be that of the appointing Director.</w:t>
      </w:r>
    </w:p>
    <w:p>
      <w:pPr>
        <w:spacing w:after="0" w:line="351" w:lineRule="exact"/>
        <w:rPr>
          <w:sz w:val="20"/>
          <w:szCs w:val="20"/>
          <w:color w:val="auto"/>
        </w:rPr>
      </w:pPr>
    </w:p>
    <w:p>
      <w:pPr>
        <w:ind w:left="544" w:hanging="544"/>
        <w:spacing w:after="0"/>
        <w:tabs>
          <w:tab w:leader="none" w:pos="54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116"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206" w:name="page207"/>
    <w:bookmarkEnd w:id="20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33.1</w:t>
        <w:tab/>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67"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33.2</w:t>
        <w:tab/>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67" w:lineRule="exact"/>
        <w:rPr>
          <w:sz w:val="20"/>
          <w:szCs w:val="20"/>
          <w:color w:val="auto"/>
        </w:rPr>
      </w:pPr>
    </w:p>
    <w:p>
      <w:pPr>
        <w:ind w:left="544" w:right="4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33.3</w:t>
        <w:tab/>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85" w:lineRule="exact"/>
        <w:rPr>
          <w:sz w:val="20"/>
          <w:szCs w:val="20"/>
          <w:color w:val="auto"/>
        </w:rPr>
      </w:pPr>
    </w:p>
    <w:p>
      <w:pPr>
        <w:ind w:left="544" w:right="2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33.4</w:t>
        <w:tab/>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97"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33.5</w:t>
        <w:tab/>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324" w:lineRule="exact"/>
        <w:rPr>
          <w:sz w:val="20"/>
          <w:szCs w:val="20"/>
          <w:color w:val="auto"/>
        </w:rPr>
      </w:pPr>
    </w:p>
    <w:p>
      <w:pPr>
        <w:ind w:left="544" w:hanging="544"/>
        <w:spacing w:after="0"/>
        <w:tabs>
          <w:tab w:leader="none" w:pos="54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5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10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5" w:right="439" w:bottom="1440" w:gutter="0" w:footer="0" w:header="0"/>
        </w:sectPr>
      </w:pPr>
    </w:p>
    <w:bookmarkStart w:id="207" w:name="page208"/>
    <w:bookmarkEnd w:id="20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w:t>
      </w:r>
      <w:r>
        <w:rPr>
          <w:sz w:val="20"/>
          <w:szCs w:val="20"/>
          <w:color w:val="auto"/>
        </w:rPr>
        <w:tab/>
      </w:r>
      <w:r>
        <w:rPr>
          <w:rFonts w:ascii="Times New Roman" w:cs="Times New Roman" w:eastAsia="Times New Roman" w:hAnsi="Times New Roman"/>
          <w:sz w:val="18"/>
          <w:szCs w:val="18"/>
          <w:b w:val="1"/>
          <w:bCs w:val="1"/>
          <w:color w:val="auto"/>
        </w:rPr>
        <w:t>Delegation of Directors’ Powers</w:t>
      </w:r>
    </w:p>
    <w:p>
      <w:pPr>
        <w:spacing w:after="0" w:line="135" w:lineRule="exact"/>
        <w:rPr>
          <w:sz w:val="20"/>
          <w:szCs w:val="20"/>
          <w:color w:val="auto"/>
        </w:rPr>
      </w:pPr>
    </w:p>
    <w:p>
      <w:pPr>
        <w:ind w:left="540" w:right="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35.1</w:t>
        <w:tab/>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94" w:lineRule="exact"/>
        <w:rPr>
          <w:sz w:val="20"/>
          <w:szCs w:val="20"/>
          <w:color w:val="auto"/>
        </w:rPr>
      </w:pPr>
    </w:p>
    <w:p>
      <w:pPr>
        <w:ind w:left="540" w:right="6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35.2</w:t>
        <w:tab/>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ind w:left="540" w:right="36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45" w:lineRule="exact"/>
        <w:rPr>
          <w:sz w:val="20"/>
          <w:szCs w:val="20"/>
          <w:color w:val="auto"/>
        </w:rPr>
      </w:pPr>
    </w:p>
    <w:p>
      <w:pPr>
        <w:ind w:left="540" w:right="18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35.4</w:t>
        <w:tab/>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93" w:lineRule="exact"/>
        <w:rPr>
          <w:sz w:val="20"/>
          <w:szCs w:val="20"/>
          <w:color w:val="auto"/>
        </w:rPr>
      </w:pPr>
    </w:p>
    <w:p>
      <w:pPr>
        <w:ind w:left="540" w:right="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35.5</w:t>
        <w:tab/>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208" w:name="page209"/>
    <w:bookmarkEnd w:id="208"/>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w:t>
      </w:r>
      <w:r>
        <w:rPr>
          <w:sz w:val="20"/>
          <w:szCs w:val="20"/>
          <w:color w:val="auto"/>
        </w:rPr>
        <w:tab/>
      </w:r>
      <w:r>
        <w:rPr>
          <w:rFonts w:ascii="Times New Roman" w:cs="Times New Roman" w:eastAsia="Times New Roman" w:hAnsi="Times New Roman"/>
          <w:sz w:val="18"/>
          <w:szCs w:val="18"/>
          <w:b w:val="1"/>
          <w:bCs w:val="1"/>
          <w:color w:val="auto"/>
        </w:rPr>
        <w:t>Alternate Directors</w:t>
      </w:r>
    </w:p>
    <w:p>
      <w:pPr>
        <w:spacing w:after="0" w:line="135"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36.1</w:t>
        <w:tab/>
        <w:t>Any Director (but not an alternate Director) may by writing appoint any other Director, or any other person willing to act, to be an alternate Director and by writing may remove from office an alternate Director so appointed by him.</w:t>
      </w:r>
    </w:p>
    <w:p>
      <w:pPr>
        <w:spacing w:after="0" w:line="67"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36.2</w:t>
        <w:tab/>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36.3</w:t>
      </w:r>
      <w:r>
        <w:rPr>
          <w:sz w:val="20"/>
          <w:szCs w:val="20"/>
          <w:color w:val="auto"/>
        </w:rPr>
        <w:tab/>
      </w:r>
      <w:r>
        <w:rPr>
          <w:rFonts w:ascii="Times New Roman" w:cs="Times New Roman" w:eastAsia="Times New Roman" w:hAnsi="Times New Roman"/>
          <w:sz w:val="17"/>
          <w:szCs w:val="17"/>
          <w:color w:val="auto"/>
        </w:rPr>
        <w:t>An alternate Director shall cease to be an alternate Director if his appointor ceases to be a Director.</w:t>
      </w:r>
    </w:p>
    <w:p>
      <w:pPr>
        <w:spacing w:after="0" w:line="131" w:lineRule="exact"/>
        <w:rPr>
          <w:sz w:val="20"/>
          <w:szCs w:val="20"/>
          <w:color w:val="auto"/>
        </w:rPr>
      </w:pPr>
    </w:p>
    <w:p>
      <w:pPr>
        <w:ind w:left="544" w:right="8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36.4</w:t>
        <w:tab/>
        <w:t>Any appointment or removal of an alternate Director shall be by notice to the Company signed by the Director making or revoking the appointment or in any other manner approved by the Directors.</w:t>
      </w:r>
    </w:p>
    <w:p>
      <w:pPr>
        <w:spacing w:after="0" w:line="67"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36.5</w:t>
        <w:tab/>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306" w:lineRule="exact"/>
        <w:rPr>
          <w:sz w:val="20"/>
          <w:szCs w:val="20"/>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121" w:lineRule="exact"/>
        <w:rPr>
          <w:rFonts w:ascii="Times New Roman" w:cs="Times New Roman" w:eastAsia="Times New Roman" w:hAnsi="Times New Roman"/>
          <w:sz w:val="18"/>
          <w:szCs w:val="18"/>
          <w:b w:val="1"/>
          <w:bCs w:val="1"/>
          <w:color w:val="auto"/>
        </w:rPr>
      </w:pPr>
    </w:p>
    <w:p>
      <w:pPr>
        <w:ind w:left="544"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7"/>
          <w:szCs w:val="17"/>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73" w:lineRule="exact"/>
        <w:rPr>
          <w:sz w:val="20"/>
          <w:szCs w:val="20"/>
          <w:color w:val="auto"/>
        </w:rPr>
      </w:pPr>
    </w:p>
    <w:p>
      <w:pPr>
        <w:ind w:left="544" w:right="5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38.2</w:t>
        <w:tab/>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08"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5" w:right="439" w:bottom="1440" w:gutter="0" w:footer="0" w:header="0"/>
        </w:sectPr>
      </w:pPr>
    </w:p>
    <w:bookmarkStart w:id="209" w:name="page210"/>
    <w:bookmarkEnd w:id="20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39.1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81"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39.2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1" w:lineRule="exact"/>
        <w:rPr>
          <w:sz w:val="20"/>
          <w:szCs w:val="20"/>
          <w:color w:val="auto"/>
        </w:rPr>
      </w:pPr>
    </w:p>
    <w:p>
      <w:pPr>
        <w:ind w:left="540" w:right="2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39.3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135" w:lineRule="exact"/>
        <w:rPr>
          <w:sz w:val="20"/>
          <w:szCs w:val="20"/>
          <w:color w:val="auto"/>
        </w:rPr>
      </w:pPr>
    </w:p>
    <w:p>
      <w:pPr>
        <w:ind w:left="540" w:right="40" w:hanging="539"/>
        <w:spacing w:after="0" w:line="277" w:lineRule="auto"/>
        <w:tabs>
          <w:tab w:leader="none" w:pos="52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7"/>
          <w:szCs w:val="17"/>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73" w:lineRule="exact"/>
        <w:rPr>
          <w:sz w:val="20"/>
          <w:szCs w:val="20"/>
          <w:color w:val="auto"/>
        </w:rPr>
      </w:pPr>
    </w:p>
    <w:p>
      <w:pPr>
        <w:jc w:val="both"/>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40.2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1"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40.3</w:t>
        <w:tab/>
        <w:t>The Directors may deduct from any Dividend or other distribution payable to any Member all sums of money (if any) then payable by him to the Company on account of calls or otherwise.</w:t>
      </w:r>
    </w:p>
    <w:p>
      <w:pPr>
        <w:spacing w:after="0" w:line="67" w:lineRule="exact"/>
        <w:rPr>
          <w:sz w:val="20"/>
          <w:szCs w:val="20"/>
          <w:color w:val="auto"/>
        </w:rPr>
      </w:pPr>
    </w:p>
    <w:p>
      <w:pPr>
        <w:ind w:left="540" w:right="8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40.4</w:t>
        <w:tab/>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210" w:name="page211"/>
    <w:bookmarkEnd w:id="210"/>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40.5</w:t>
        <w:tab/>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67"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40.6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1" w:lineRule="exact"/>
        <w:rPr>
          <w:sz w:val="20"/>
          <w:szCs w:val="20"/>
          <w:color w:val="auto"/>
        </w:rPr>
      </w:pPr>
    </w:p>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40.7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9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40.8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131" w:lineRule="exact"/>
        <w:rPr>
          <w:sz w:val="20"/>
          <w:szCs w:val="20"/>
          <w:color w:val="auto"/>
        </w:rPr>
      </w:pPr>
    </w:p>
    <w:p>
      <w:pPr>
        <w:ind w:left="544" w:right="1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40.9</w:t>
        <w:tab/>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8" w:lineRule="exact"/>
        <w:rPr>
          <w:sz w:val="20"/>
          <w:szCs w:val="20"/>
          <w:color w:val="auto"/>
        </w:rPr>
      </w:pPr>
    </w:p>
    <w:p>
      <w:pPr>
        <w:ind w:left="544" w:hanging="544"/>
        <w:spacing w:after="0"/>
        <w:tabs>
          <w:tab w:leader="none" w:pos="544"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27"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211" w:name="page212"/>
    <w:bookmarkEnd w:id="21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135" w:lineRule="exact"/>
        <w:rPr>
          <w:sz w:val="20"/>
          <w:szCs w:val="20"/>
          <w:color w:val="auto"/>
        </w:rPr>
      </w:pPr>
    </w:p>
    <w:p>
      <w:pPr>
        <w:ind w:left="540" w:right="1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42.1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3" w:lineRule="exact"/>
        <w:rPr>
          <w:sz w:val="20"/>
          <w:szCs w:val="20"/>
          <w:color w:val="auto"/>
        </w:rPr>
      </w:pPr>
    </w:p>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42.2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85"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42.3</w:t>
        <w:tab/>
        <w:t>The Directors may cause to be prepared and to be laid before the Company in general meeting profit and loss accounts, balance sheets, group accounts (if any) and such other reports and accounts as may be required by law.</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43.2</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1" w:lineRule="exact"/>
        <w:rPr>
          <w:sz w:val="20"/>
          <w:szCs w:val="20"/>
          <w:color w:val="auto"/>
        </w:rPr>
      </w:pPr>
    </w:p>
    <w:p>
      <w:pPr>
        <w:ind w:left="540" w:right="1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43.3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jc w:val="both"/>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44.1</w:t>
        <w:tab/>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5" w:right="439" w:bottom="1440" w:gutter="0" w:footer="0" w:header="0"/>
        </w:sectPr>
      </w:pPr>
    </w:p>
    <w:bookmarkStart w:id="212" w:name="page213"/>
    <w:bookmarkEnd w:id="212"/>
    <w:p>
      <w:pPr>
        <w:ind w:left="540" w:right="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44.2</w:t>
        <w:tab/>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94" w:lineRule="exact"/>
        <w:rPr>
          <w:sz w:val="20"/>
          <w:szCs w:val="20"/>
          <w:color w:val="auto"/>
        </w:rPr>
      </w:pPr>
    </w:p>
    <w:p>
      <w:pPr>
        <w:ind w:left="540" w:right="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44.3</w:t>
        <w:tab/>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9" w:lineRule="exact"/>
        <w:rPr>
          <w:sz w:val="20"/>
          <w:szCs w:val="20"/>
          <w:color w:val="auto"/>
        </w:rPr>
      </w:pPr>
    </w:p>
    <w:p>
      <w:pPr>
        <w:ind w:left="540" w:right="2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44.4</w:t>
        <w:tab/>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35"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45.1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67" w:lineRule="exact"/>
        <w:rPr>
          <w:sz w:val="20"/>
          <w:szCs w:val="20"/>
          <w:color w:val="auto"/>
        </w:rPr>
      </w:pPr>
    </w:p>
    <w:p>
      <w:pPr>
        <w:ind w:left="1180" w:right="280" w:hanging="644"/>
        <w:spacing w:after="0" w:line="266" w:lineRule="auto"/>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13" w:name="page214"/>
    <w:bookmarkEnd w:id="213"/>
    <w:p>
      <w:pPr>
        <w:ind w:left="1180" w:right="160" w:hanging="644"/>
        <w:spacing w:after="0" w:line="261" w:lineRule="auto"/>
        <w:tabs>
          <w:tab w:leader="none" w:pos="11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85"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45.2</w:t>
        <w:tab/>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135"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46.1</w:t>
        <w:tab/>
        <w:t>Every Director and officer of the Company (which for the avoidance of doubt, shall not include auditors of the Company), together with every former Director and former officer of the Company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97" w:lineRule="exact"/>
        <w:rPr>
          <w:sz w:val="20"/>
          <w:szCs w:val="20"/>
          <w:color w:val="auto"/>
        </w:rPr>
      </w:pPr>
    </w:p>
    <w:p>
      <w:pPr>
        <w:ind w:left="540" w:right="10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46.2</w:t>
        <w:tab/>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14" w:name="page215"/>
    <w:bookmarkEnd w:id="214"/>
    <w:p>
      <w:pPr>
        <w:jc w:val="both"/>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46.3</w:t>
        <w:tab/>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320" w:lineRule="exact"/>
        <w:rPr>
          <w:sz w:val="20"/>
          <w:szCs w:val="20"/>
          <w:color w:val="auto"/>
        </w:rPr>
      </w:pPr>
    </w:p>
    <w:p>
      <w:pPr>
        <w:ind w:left="544" w:hanging="544"/>
        <w:spacing w:after="0"/>
        <w:tabs>
          <w:tab w:leader="none" w:pos="54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Year</w:t>
      </w:r>
    </w:p>
    <w:p>
      <w:pPr>
        <w:spacing w:after="0" w:line="121" w:lineRule="exact"/>
        <w:rPr>
          <w:rFonts w:ascii="Times New Roman" w:cs="Times New Roman" w:eastAsia="Times New Roman" w:hAnsi="Times New Roman"/>
          <w:sz w:val="18"/>
          <w:szCs w:val="18"/>
          <w:b w:val="1"/>
          <w:bCs w:val="1"/>
          <w:color w:val="auto"/>
        </w:rPr>
      </w:pPr>
    </w:p>
    <w:p>
      <w:pPr>
        <w:ind w:left="544"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544"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94"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4"/>
          </w:cols>
          <w:pgMar w:left="436" w:top="729"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Dated this 31st day of July 2020.</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and Address of Subscriber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Corporate Services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by: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Anadra McLaughlin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Marcia Borden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to the above signature</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Auth Code: K14027295841</w:t>
      </w:r>
    </w:p>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www.verify.gov.ky</w:t>
      </w:r>
    </w:p>
    <w:p>
      <w:pPr>
        <w:sectPr>
          <w:pgSz w:w="11900" w:h="16838" w:orient="portrait"/>
          <w:cols w:equalWidth="0" w:num="1">
            <w:col w:w="11020"/>
          </w:cols>
          <w:pgMar w:left="440" w:top="729" w:right="4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COMPANIES LAW (2020 REVISION)</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(ADOPTED BY SPECIAL RESOLUTION DATED [•] 2020 AND EFFECTIVE ON [•] 2020)</w:t>
      </w:r>
    </w:p>
    <w:p>
      <w:pPr>
        <w:sectPr>
          <w:pgSz w:w="11900" w:h="16838" w:orient="portrait"/>
          <w:cols w:equalWidth="0" w:num="1">
            <w:col w:w="10020"/>
          </w:cols>
          <w:pgMar w:left="1440" w:top="117" w:right="439" w:bottom="1440" w:gutter="0" w:footer="0" w:header="0"/>
        </w:sectPr>
      </w:pPr>
    </w:p>
    <w:bookmarkStart w:id="217" w:name="page218"/>
    <w:bookmarkEnd w:id="217"/>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COMPANIES LAW (2020 REVISION)</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4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 2020 AND EFFECTIVE ON [•] 2020)</w:t>
      </w:r>
    </w:p>
    <w:p>
      <w:pPr>
        <w:spacing w:after="0" w:line="252" w:lineRule="exact"/>
        <w:rPr>
          <w:sz w:val="20"/>
          <w:szCs w:val="20"/>
          <w:color w:val="auto"/>
        </w:rPr>
      </w:pPr>
    </w:p>
    <w:p>
      <w:pPr>
        <w:ind w:left="544" w:hanging="544"/>
        <w:spacing w:after="0"/>
        <w:tabs>
          <w:tab w:leader="none" w:pos="5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VPC Impact Acquisition Holdings</w:t>
      </w:r>
    </w:p>
    <w:p>
      <w:pPr>
        <w:spacing w:after="0" w:line="256" w:lineRule="exact"/>
        <w:rPr>
          <w:sz w:val="20"/>
          <w:szCs w:val="20"/>
          <w:color w:val="auto"/>
        </w:rPr>
      </w:pPr>
    </w:p>
    <w:p>
      <w:pPr>
        <w:ind w:left="544" w:right="600" w:hanging="544"/>
        <w:spacing w:after="0" w:line="282" w:lineRule="auto"/>
        <w:tabs>
          <w:tab w:leader="none" w:pos="54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89" w:lineRule="exact"/>
        <w:rPr>
          <w:sz w:val="20"/>
          <w:szCs w:val="20"/>
          <w:color w:val="auto"/>
        </w:rPr>
      </w:pPr>
    </w:p>
    <w:p>
      <w:pPr>
        <w:ind w:left="544" w:right="140" w:hanging="544"/>
        <w:spacing w:after="0" w:line="282" w:lineRule="auto"/>
        <w:tabs>
          <w:tab w:leader="none" w:pos="5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laws of the Cayman Islands.</w:t>
      </w:r>
    </w:p>
    <w:p>
      <w:pPr>
        <w:spacing w:after="0" w:line="189" w:lineRule="exact"/>
        <w:rPr>
          <w:sz w:val="20"/>
          <w:szCs w:val="20"/>
          <w:color w:val="auto"/>
        </w:rPr>
      </w:pPr>
    </w:p>
    <w:p>
      <w:pPr>
        <w:ind w:left="544" w:hanging="544"/>
        <w:spacing w:after="0"/>
        <w:tabs>
          <w:tab w:leader="none" w:pos="5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Member is limited to the amount unpaid on such Member’s shares.</w:t>
      </w:r>
    </w:p>
    <w:p>
      <w:pPr>
        <w:spacing w:after="0" w:line="252" w:lineRule="exact"/>
        <w:rPr>
          <w:sz w:val="20"/>
          <w:szCs w:val="20"/>
          <w:color w:val="auto"/>
        </w:rPr>
      </w:pPr>
    </w:p>
    <w:p>
      <w:pPr>
        <w:ind w:left="544" w:hanging="544"/>
        <w:spacing w:after="0" w:line="282" w:lineRule="auto"/>
        <w:tabs>
          <w:tab w:leader="none" w:pos="5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189" w:lineRule="exact"/>
        <w:rPr>
          <w:sz w:val="20"/>
          <w:szCs w:val="20"/>
          <w:color w:val="auto"/>
        </w:rPr>
      </w:pPr>
    </w:p>
    <w:p>
      <w:pPr>
        <w:ind w:left="544" w:right="140" w:hanging="544"/>
        <w:spacing w:after="0" w:line="282" w:lineRule="auto"/>
        <w:tabs>
          <w:tab w:leader="none" w:pos="54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89" w:lineRule="exact"/>
        <w:rPr>
          <w:sz w:val="20"/>
          <w:szCs w:val="20"/>
          <w:color w:val="auto"/>
        </w:rPr>
      </w:pPr>
    </w:p>
    <w:p>
      <w:pPr>
        <w:ind w:left="544" w:right="20" w:hanging="544"/>
        <w:spacing w:after="0" w:line="282" w:lineRule="auto"/>
        <w:tabs>
          <w:tab w:leader="none" w:pos="5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Amended and Restated Memorandum of Association bear the respective meanings given to them in the Amended and Restated Articles of Association of the Company.</w:t>
      </w:r>
    </w:p>
    <w:p>
      <w:pPr>
        <w:sectPr>
          <w:pgSz w:w="11900" w:h="16838" w:orient="portrait"/>
          <w:cols w:equalWidth="0" w:num="1">
            <w:col w:w="10964"/>
          </w:cols>
          <w:pgMar w:left="436" w:top="266" w:right="499" w:bottom="1440" w:gutter="0" w:footer="0" w:header="0"/>
        </w:sectPr>
      </w:pPr>
    </w:p>
    <w:bookmarkStart w:id="218" w:name="page219"/>
    <w:bookmarkEnd w:id="21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COMPANIES LAW (2020 REVISION)</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(ADOPTED BY SPECIAL RESOLUTION DATED [•] 2020 AND EFFECTIVE ON [•] 2020)</w:t>
      </w:r>
    </w:p>
    <w:p>
      <w:pPr>
        <w:spacing w:after="0" w:line="252" w:lineRule="exact"/>
        <w:rPr>
          <w:sz w:val="20"/>
          <w:szCs w:val="20"/>
          <w:color w:val="auto"/>
        </w:rPr>
      </w:pPr>
    </w:p>
    <w:p>
      <w:pPr>
        <w:ind w:left="544" w:hanging="544"/>
        <w:spacing w:after="0"/>
        <w:tabs>
          <w:tab w:leader="none" w:pos="54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 Articles Table A in the First Schedule to the Statute does not apply and, unless there is something in the subject or context inconsistent therewith:</w:t>
      </w:r>
    </w:p>
    <w:p>
      <w:pPr>
        <w:sectPr>
          <w:pgSz w:w="11900" w:h="16838" w:orient="portrait"/>
          <w:cols w:equalWidth="0" w:num="1">
            <w:col w:w="10984"/>
          </w:cols>
          <w:pgMar w:left="436" w:top="266" w:right="479" w:bottom="1440" w:gutter="0" w:footer="0" w:header="0"/>
        </w:sectPr>
      </w:pPr>
    </w:p>
    <w:p>
      <w:pPr>
        <w:spacing w:after="0" w:line="18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“Affiliate”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respect of a person, means any other person that, directly or indirectly, through one or more intermediaries, controls, 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76" w:lineRule="exact"/>
        <w:rPr>
          <w:sz w:val="20"/>
          <w:szCs w:val="20"/>
          <w:color w:val="auto"/>
        </w:rPr>
      </w:pPr>
    </w:p>
    <w:p>
      <w:pPr>
        <w:sectPr>
          <w:pgSz w:w="11900" w:h="16838" w:orient="portrait"/>
          <w:cols w:equalWidth="0" w:num="2">
            <w:col w:w="2984" w:space="720"/>
            <w:col w:w="7280"/>
          </w:cols>
          <w:pgMar w:left="436" w:top="266" w:right="47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ind w:right="340"/>
        <w:spacing w:after="0" w:line="266" w:lineRule="auto"/>
        <w:rPr>
          <w:sz w:val="20"/>
          <w:szCs w:val="20"/>
          <w:color w:val="auto"/>
        </w:rPr>
      </w:pPr>
      <w:r>
        <w:rPr>
          <w:rFonts w:ascii="Times New Roman" w:cs="Times New Roman" w:eastAsia="Times New Roman" w:hAnsi="Times New Roman"/>
          <w:sz w:val="18"/>
          <w:szCs w:val="18"/>
          <w:color w:val="auto"/>
        </w:rPr>
        <w:t>means, with respect to any person, all provisions of laws, statutes, ordinances, rules, regulations, permits, certificates, judgments, decisions, decrees or orders of any governmental authority applicable to such person.</w:t>
      </w:r>
    </w:p>
    <w:p>
      <w:pPr>
        <w:spacing w:after="0" w:line="64" w:lineRule="exact"/>
        <w:rPr>
          <w:sz w:val="20"/>
          <w:szCs w:val="20"/>
          <w:color w:val="auto"/>
        </w:rPr>
      </w:pPr>
    </w:p>
    <w:p>
      <w:pPr>
        <w:sectPr>
          <w:pgSz w:w="11900" w:h="16838" w:orient="portrait"/>
          <w:cols w:equalWidth="0" w:num="2">
            <w:col w:w="2984" w:space="720"/>
            <w:col w:w="7280"/>
          </w:cols>
          <w:pgMar w:left="436" w:top="266" w:right="47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these amended and restated articles of association of the Company.</w:t>
      </w:r>
    </w:p>
    <w:p>
      <w:pPr>
        <w:spacing w:after="0" w:line="124" w:lineRule="exact"/>
        <w:rPr>
          <w:sz w:val="20"/>
          <w:szCs w:val="20"/>
          <w:color w:val="auto"/>
        </w:rPr>
      </w:pPr>
    </w:p>
    <w:p>
      <w:pPr>
        <w:sectPr>
          <w:pgSz w:w="11900" w:h="16838" w:orient="portrait"/>
          <w:cols w:equalWidth="0" w:num="2">
            <w:col w:w="2984" w:space="720"/>
            <w:col w:w="7280"/>
          </w:cols>
          <w:pgMar w:left="436" w:top="266" w:right="479" w:bottom="1440" w:gutter="0" w:footer="0" w:header="0"/>
          <w:type w:val="continuous"/>
        </w:sectPr>
      </w:pPr>
    </w:p>
    <w:p>
      <w:pPr>
        <w:ind w:left="544"/>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means the audit committee of the board of directors of the Company established pursuant to the Articles, or any successor committee.</w:t>
      </w:r>
    </w:p>
    <w:p>
      <w:pPr>
        <w:sectPr>
          <w:pgSz w:w="11900" w:h="16838" w:orient="portrait"/>
          <w:cols w:equalWidth="0" w:num="2">
            <w:col w:w="2984" w:space="720"/>
            <w:col w:w="7280"/>
          </w:cols>
          <w:pgMar w:left="436" w:top="266" w:right="47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person for the time being performing the duties of auditor of the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-274955</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440" w:space="720"/>
            <w:col w:w="7260"/>
          </w:cols>
          <w:pgMar w:left="980" w:top="374"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merger, amalgamation, share exchange, asset acquisition, share purchase, reorganisation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business combination involving the Company, with one or more businesses or entities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business</w:t>
      </w:r>
      <w:r>
        <w:rPr>
          <w:rFonts w:ascii="Times New Roman" w:cs="Times New Roman" w:eastAsia="Times New Roman" w:hAnsi="Times New Roman"/>
          <w:sz w:val="18"/>
          <w:szCs w:val="18"/>
          <w:color w:val="auto"/>
        </w:rPr>
        <w:t>”), which Business Combination: (a) must occur with one or more target businesses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together have an aggregate fair market value of at least 80 per cent of the assets held in the Trust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(excluding the deferred underwriting commissions and taxes payable on the income earned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Trust Account) at the time of the agreement to enter into such Business Combination;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must not be effectuated with another blank cheque company or a similar company with nominal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5"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0" w:lineRule="exact"/>
        <w:rPr>
          <w:sz w:val="20"/>
          <w:szCs w:val="20"/>
          <w:color w:val="auto"/>
        </w:rPr>
      </w:pPr>
      <w:r>
        <w:rPr>
          <w:sz w:val="20"/>
          <w:szCs w:val="20"/>
          <w:color w:val="auto"/>
        </w:rPr>
        <w:br w:type="column"/>
      </w: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means any day other than a Saturday, a Sunday or a legal holiday or a day on which banking institutions or trust companies are authorised or obligated by law to close in New York City.</w:t>
      </w:r>
    </w:p>
    <w:p>
      <w:pPr>
        <w:spacing w:after="0" w:line="28"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“Cause”</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means a conviction for a criminal offence involving dishonesty or engaging in conduct which brings a Director or the Company into disrepute or which results in a material financial detriment to the Company.</w:t>
      </w:r>
    </w:p>
    <w:p>
      <w:pPr>
        <w:spacing w:after="0" w:line="64"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“Clearing House”</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means a clearing house recognised by the laws of the jurisdiction in which the Shares (or depositary receipts therefor) are listed or quoted on a stock exchange or interdealer quotation system in such jurisdiction.</w:t>
      </w:r>
    </w:p>
    <w:p>
      <w:pPr>
        <w:spacing w:after="0" w:line="64"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A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Class A ordinary share of a par value of US$0.0001 in the share capital of the Company.</w:t>
      </w:r>
    </w:p>
    <w:p>
      <w:pPr>
        <w:spacing w:after="0" w:line="125"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“Class B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Class B ordinary share of a par value of US$0.0001 in the share capital of the Company.</w:t>
      </w:r>
    </w:p>
    <w:p>
      <w:pPr>
        <w:spacing w:after="0" w:line="124"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above named company.</w:t>
      </w:r>
    </w:p>
    <w:p>
      <w:pPr>
        <w:spacing w:after="0" w:line="124"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“Company’s 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website of the Company and/or its web-address or domain name (if any).</w:t>
      </w:r>
    </w:p>
    <w:p>
      <w:pPr>
        <w:spacing w:after="0" w:line="125"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compensation committee of the board of directors of the Company established pursuant to the Articles, or any successor committee.</w:t>
      </w:r>
    </w:p>
    <w:p>
      <w:pPr>
        <w:spacing w:after="0" w:line="94" w:lineRule="exact"/>
        <w:rPr>
          <w:sz w:val="20"/>
          <w:szCs w:val="20"/>
          <w:color w:val="auto"/>
        </w:rPr>
      </w:pPr>
    </w:p>
    <w:p>
      <w:pPr>
        <w:sectPr>
          <w:pgSz w:w="11900" w:h="16838" w:orient="portrait"/>
          <w:cols w:equalWidth="0" w:num="2">
            <w:col w:w="2440" w:space="720"/>
            <w:col w:w="7260"/>
          </w:cols>
          <w:pgMar w:left="980" w:top="374" w:right="499" w:bottom="1440" w:gutter="0" w:footer="0" w:header="0"/>
          <w:type w:val="continuous"/>
        </w:sectPr>
      </w:pPr>
    </w:p>
    <w:p>
      <w:pPr>
        <w:jc w:val="center"/>
        <w:ind w:right="5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420"/>
          </w:cols>
          <w:pgMar w:left="980" w:top="374" w:right="499" w:bottom="144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color w:val="auto"/>
        </w:rPr>
        <w:t>“Designated Stock Exchange”</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means any United States national securities exchange on which the securities of the Company are listed for trading, including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-459740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2440" w:space="720"/>
            <w:col w:w="7280"/>
          </w:cols>
          <w:pgMar w:left="980" w:top="374"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directors for the time being of the Company.</w:t>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any dividend (whether interim or final) resolved to be paid on Shares pursuant to the Articles.</w:t>
      </w:r>
    </w:p>
    <w:p>
      <w:pPr>
        <w:spacing w:after="0" w:line="125"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Communication”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means a communication sent by electronic means, including electronic posting to the Company’s Website, transmission to any number, address or internet website (including the website of the Securities and Exchange Commission) or other electronic delivery methods as otherwise decided and approved by the Directors.</w:t>
      </w:r>
    </w:p>
    <w:p>
      <w:pPr>
        <w:spacing w:after="0" w:line="68"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“Electronic Record”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Electronic Transactions Law.</w:t>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“Electronic Transactions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Electronic Transactions Law (2003 Revision) of the Cayman Islands.</w:t>
      </w:r>
    </w:p>
    <w:p>
      <w:pPr>
        <w:spacing w:after="0" w:line="125"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“Equity-linked Securities”</w:t>
      </w:r>
    </w:p>
    <w:p>
      <w:pPr>
        <w:spacing w:after="0" w:line="20" w:lineRule="exact"/>
        <w:rPr>
          <w:sz w:val="20"/>
          <w:szCs w:val="20"/>
          <w:color w:val="auto"/>
        </w:rPr>
      </w:pPr>
      <w:r>
        <w:rPr>
          <w:sz w:val="20"/>
          <w:szCs w:val="20"/>
          <w:color w:val="auto"/>
        </w:rPr>
        <w:br w:type="column"/>
      </w:r>
    </w:p>
    <w:p>
      <w:pPr>
        <w:ind w:right="220"/>
        <w:spacing w:after="0" w:line="266" w:lineRule="auto"/>
        <w:rPr>
          <w:sz w:val="20"/>
          <w:szCs w:val="20"/>
          <w:color w:val="auto"/>
        </w:rPr>
      </w:pPr>
      <w:r>
        <w:rPr>
          <w:rFonts w:ascii="Times New Roman" w:cs="Times New Roman" w:eastAsia="Times New Roman" w:hAnsi="Times New Roman"/>
          <w:sz w:val="18"/>
          <w:szCs w:val="18"/>
          <w:color w:val="auto"/>
        </w:rPr>
        <w:t>means any debt or equity securities that are convertible, exercisable or exchangeable for Class A Shares issued in a financing transaction in connection with a Business Combination, including but not limited to a private placement of equity or debt.</w:t>
      </w:r>
    </w:p>
    <w:p>
      <w:pPr>
        <w:spacing w:after="0" w:line="6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20" w:lineRule="exact"/>
        <w:rPr>
          <w:sz w:val="20"/>
          <w:szCs w:val="20"/>
          <w:color w:val="auto"/>
        </w:rPr>
      </w:pPr>
      <w:r>
        <w:rPr>
          <w:sz w:val="20"/>
          <w:szCs w:val="20"/>
          <w:color w:val="auto"/>
        </w:rPr>
        <w:br w:type="column"/>
      </w: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means the United States Securities Exchange Act of 1934, as amended, or any similar U.S. federal statute and the rules and regulations of the Securities and Exchange Commission thereunder, all as the same shall be in effect at the time.</w:t>
      </w:r>
    </w:p>
    <w:p>
      <w:pPr>
        <w:spacing w:after="0" w:line="6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“Founders”</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color w:val="auto"/>
        </w:rPr>
        <w:t>means all Members immediately prior to the consummation of the IPO.</w:t>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has the same meaning as in the rules and regulations of the Designated Stock Exchange or in Rule 10A-3 under the Exchange Act, as the case may be.</w:t>
      </w:r>
    </w:p>
    <w:p>
      <w:pPr>
        <w:spacing w:after="0" w:line="50"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Company’s initial public offering of securities.</w:t>
      </w:r>
    </w:p>
    <w:p>
      <w:pPr>
        <w:spacing w:after="0" w:line="125"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same meaning as in the Statute.</w:t>
      </w:r>
    </w:p>
    <w:p>
      <w:pPr>
        <w:spacing w:after="0" w:line="169"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440"/>
          </w:cols>
          <w:pgMar w:left="980" w:top="374" w:right="47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“Memorandum”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amended and restated memorandum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-274955</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“Minimum Member”</w:t>
      </w:r>
    </w:p>
    <w:p>
      <w:pPr>
        <w:spacing w:after="0" w:line="20" w:lineRule="exact"/>
        <w:rPr>
          <w:sz w:val="20"/>
          <w:szCs w:val="20"/>
          <w:color w:val="auto"/>
        </w:rPr>
      </w:pPr>
      <w:r>
        <w:rPr>
          <w:sz w:val="20"/>
          <w:szCs w:val="20"/>
          <w:color w:val="auto"/>
        </w:rPr>
        <w:br w:type="column"/>
      </w: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means a Member meeting the minimum requirements set forth for eligible members to submit proposals under Rule 14a-8 of the Exchange Act or any applicable rules thereunder as may be amended or promulgated thereunder from time to time.</w:t>
      </w:r>
    </w:p>
    <w:p>
      <w:pPr>
        <w:spacing w:after="0" w:line="6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ind w:left="180" w:right="26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nominating and corporate governance committee of the board of directors of the Company established pursuant to the Articles, or any successor committee.</w:t>
      </w:r>
    </w:p>
    <w:p>
      <w:pPr>
        <w:spacing w:after="0" w:line="49"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person appointed to hold an office in the Company.</w:t>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68"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“Over-Allotment Option”</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means the option of the Underwriters to purchase up to an additional 15 per cent of the firm units (as described in the Articles) issued in the IPO at a price equal to US$10 per unit, less underwriting discounts and commissions.</w:t>
      </w:r>
    </w:p>
    <w:p>
      <w:pPr>
        <w:spacing w:after="0" w:line="6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“Preference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preference share of a par value of US$0.0001 in the share capital of the Company.</w:t>
      </w:r>
    </w:p>
    <w:p>
      <w:pPr>
        <w:spacing w:after="0" w:line="125"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“Public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Class A Share issued as part of the units (as described in the Articles) issued in the IPO.</w:t>
      </w:r>
    </w:p>
    <w:p>
      <w:pPr>
        <w:spacing w:after="0" w:line="124"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“Redemption Notice”</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means a notice in a form approved by the Company by which a holder of Public Shares is entitled to require the Company to redeem its Public Shares, subject to any conditions contained therein.</w:t>
      </w:r>
    </w:p>
    <w:p>
      <w:pPr>
        <w:spacing w:after="0" w:line="50"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register of Members maintained in accordance with the Statute and includes (except where otherwise stated) any branch or duplicate register of Members.</w:t>
      </w:r>
    </w:p>
    <w:p>
      <w:pPr>
        <w:spacing w:after="0" w:line="50"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registered office for the time being of the Company.</w:t>
      </w:r>
    </w:p>
    <w:p>
      <w:pPr>
        <w:spacing w:after="0" w:line="169" w:lineRule="exact"/>
        <w:rPr>
          <w:sz w:val="20"/>
          <w:szCs w:val="20"/>
          <w:color w:val="auto"/>
        </w:rPr>
      </w:pPr>
    </w:p>
    <w:p>
      <w:pPr>
        <w:sectPr>
          <w:pgSz w:w="11900" w:h="16838" w:orient="portrait"/>
          <w:cols w:equalWidth="0" w:num="2">
            <w:col w:w="2440" w:space="720"/>
            <w:col w:w="7280"/>
          </w:cols>
          <w:pgMar w:left="980" w:top="374" w:right="47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440"/>
          </w:cols>
          <w:pgMar w:left="980" w:top="374" w:right="479" w:bottom="1440" w:gutter="0" w:footer="0" w:header="0"/>
          <w:type w:val="continuous"/>
        </w:sectPr>
      </w:pPr>
    </w:p>
    <w:bookmarkStart w:id="222" w:name="page223"/>
    <w:bookmarkEnd w:id="222"/>
    <w:p>
      <w:pPr>
        <w:ind w:left="540"/>
        <w:spacing w:after="0"/>
        <w:rPr>
          <w:sz w:val="20"/>
          <w:szCs w:val="20"/>
          <w:color w:val="auto"/>
        </w:rPr>
      </w:pPr>
      <w:r>
        <w:rPr>
          <w:rFonts w:ascii="Times New Roman" w:cs="Times New Roman" w:eastAsia="Times New Roman" w:hAnsi="Times New Roman"/>
          <w:sz w:val="18"/>
          <w:szCs w:val="18"/>
          <w:b w:val="1"/>
          <w:bCs w:val="1"/>
          <w:color w:val="auto"/>
        </w:rPr>
        <w:t>“Representative”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a representative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-281940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980" w:space="720"/>
            <w:col w:w="7200"/>
          </w:cols>
          <w:pgMar w:left="440" w:top="374" w:right="559" w:bottom="1440" w:gutter="0" w:footer="0" w:header="0"/>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means the common seal of the Company and includes every duplicate seal.</w:t>
      </w:r>
    </w:p>
    <w:p>
      <w:pPr>
        <w:spacing w:after="0" w:line="113"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“Securities and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the United States Securities and Exchange Commission.</w:t>
      </w:r>
    </w:p>
    <w:p>
      <w:pPr>
        <w:spacing w:after="0" w:line="38"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b w:val="1"/>
          <w:bCs w:val="1"/>
          <w:color w:val="auto"/>
        </w:rPr>
        <w:t>Commission”</w:t>
      </w:r>
    </w:p>
    <w:p>
      <w:pPr>
        <w:sectPr>
          <w:pgSz w:w="11900" w:h="16838" w:orient="portrait"/>
          <w:cols w:equalWidth="0" w:num="1">
            <w:col w:w="10900"/>
          </w:cols>
          <w:pgMar w:left="440" w:top="374" w:right="559" w:bottom="1440" w:gutter="0" w:footer="0" w:header="0"/>
          <w:type w:val="continuous"/>
        </w:sectPr>
      </w:pP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means a Class A Share, a Class B Share or a Preference Share and includes a fraction of a share in the Company.</w:t>
      </w:r>
    </w:p>
    <w:p>
      <w:pPr>
        <w:spacing w:after="0" w:line="50"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Article 31.4, has the same meaning as in the Statute, and includes a unanimous written resolution.</w:t>
      </w:r>
    </w:p>
    <w:p>
      <w:pPr>
        <w:spacing w:after="0" w:line="50"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means VPC Impact Acquisition Holdings Sponsor, LLC, a Delaware limited liability company, and its successors or assigns.</w:t>
      </w:r>
    </w:p>
    <w:p>
      <w:pPr>
        <w:spacing w:after="0" w:line="50"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“Statute”</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color w:val="auto"/>
        </w:rPr>
        <w:t>means the Companies Law (2020 Revision) of the Cayman Islands.</w:t>
      </w:r>
    </w:p>
    <w:p>
      <w:pPr>
        <w:spacing w:after="0" w:line="113"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“Tax Filing Authorised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such person as any Director shall designate from time to time, acting severally.</w:t>
      </w:r>
    </w:p>
    <w:p>
      <w:pPr>
        <w:spacing w:after="0" w:line="125"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“Treasury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 Share held in the name of the Company as a treasury share in accordance with the Statute.</w:t>
      </w:r>
    </w:p>
    <w:p>
      <w:pPr>
        <w:spacing w:after="0" w:line="125"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means the trust account established by the Company upon the consummation of its IPO and into which a certain amount of the net proceeds of the IPO, together with a certain amount of the proceeds of a private placement of warrants simultaneously with the closing date of the IPO, will be deposited.</w:t>
      </w:r>
    </w:p>
    <w:p>
      <w:pPr>
        <w:spacing w:after="0" w:line="68"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means an underwriter of the IPO from time to time and any successor underwriter.</w:t>
      </w:r>
    </w:p>
    <w:p>
      <w:pPr>
        <w:spacing w:after="0" w:line="207" w:lineRule="exact"/>
        <w:rPr>
          <w:sz w:val="20"/>
          <w:szCs w:val="20"/>
          <w:color w:val="auto"/>
        </w:rPr>
      </w:pPr>
    </w:p>
    <w:p>
      <w:pPr>
        <w:sectPr>
          <w:pgSz w:w="11900" w:h="16838" w:orient="portrait"/>
          <w:cols w:equalWidth="0" w:num="2">
            <w:col w:w="2980" w:space="720"/>
            <w:col w:w="7200"/>
          </w:cols>
          <w:pgMar w:left="440" w:top="374" w:right="559" w:bottom="1440" w:gutter="0" w:footer="0" w:header="0"/>
          <w:type w:val="continuous"/>
        </w:sectPr>
      </w:pPr>
    </w:p>
    <w:p>
      <w:pPr>
        <w:spacing w:after="0" w:line="17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 Articles:</w:t>
      </w:r>
    </w:p>
    <w:p>
      <w:pPr>
        <w:spacing w:after="0" w:line="131" w:lineRule="exact"/>
        <w:rPr>
          <w:sz w:val="20"/>
          <w:szCs w:val="20"/>
          <w:color w:val="auto"/>
        </w:rPr>
      </w:pPr>
    </w:p>
    <w:p>
      <w:pPr>
        <w:ind w:left="1180" w:hanging="644"/>
        <w:spacing w:after="0"/>
        <w:tabs>
          <w:tab w:leader="none" w:pos="1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include the plural number and vice versa;</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include the feminine gender;</w:t>
      </w:r>
    </w:p>
    <w:p>
      <w:pPr>
        <w:spacing w:after="0" w:line="130" w:lineRule="exact"/>
        <w:rPr>
          <w:rFonts w:ascii="Times New Roman" w:cs="Times New Roman" w:eastAsia="Times New Roman" w:hAnsi="Times New Roman"/>
          <w:sz w:val="18"/>
          <w:szCs w:val="18"/>
          <w:color w:val="auto"/>
        </w:rPr>
      </w:pPr>
    </w:p>
    <w:p>
      <w:pPr>
        <w:ind w:left="5460" w:right="3240" w:hanging="4924"/>
        <w:spacing w:after="0" w:line="454" w:lineRule="auto"/>
        <w:tabs>
          <w:tab w:leader="none" w:pos="118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persons include corporations as well as any other legal or natural person; 5</w:t>
      </w:r>
    </w:p>
    <w:p>
      <w:pPr>
        <w:sectPr>
          <w:pgSz w:w="11900" w:h="16838" w:orient="portrait"/>
          <w:cols w:equalWidth="0" w:num="1">
            <w:col w:w="10900"/>
          </w:cols>
          <w:pgMar w:left="440" w:top="374" w:right="559" w:bottom="1440" w:gutter="0" w:footer="0" w:header="0"/>
          <w:type w:val="continuous"/>
        </w:sectPr>
      </w:pPr>
    </w:p>
    <w:bookmarkStart w:id="223" w:name="page224"/>
    <w:bookmarkEnd w:id="223"/>
    <w:p>
      <w:pPr>
        <w:ind w:left="1184" w:right="780" w:hanging="644"/>
        <w:spacing w:after="0" w:line="282"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“written” and “in writing” include all modes of representing or reproducing words in visible form, including in the form of an Electronic Record;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shall be construed as imperative and “may” shall be construed as permissive;</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provisions of any law or regulation shall be construed as references to those provisions as amended, modified, re-enacted or replaced;</w:t>
      </w:r>
    </w:p>
    <w:p>
      <w:pPr>
        <w:spacing w:after="0" w:line="67"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phrase introduced by the terms “including”, “include”, “in particular” or any similar expression shall be construed as illustrative and shall not limit the sense of the words preceding those terms;</w:t>
      </w:r>
    </w:p>
    <w:p>
      <w:pPr>
        <w:spacing w:after="0" w:line="67" w:lineRule="exact"/>
        <w:rPr>
          <w:rFonts w:ascii="Times New Roman" w:cs="Times New Roman" w:eastAsia="Times New Roman" w:hAnsi="Times New Roman"/>
          <w:sz w:val="18"/>
          <w:szCs w:val="18"/>
          <w:color w:val="auto"/>
        </w:rPr>
      </w:pPr>
    </w:p>
    <w:p>
      <w:pPr>
        <w:ind w:left="1184" w:right="80" w:hanging="644"/>
        <w:spacing w:after="0" w:line="266"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reference only and shall be ignored in construing the Articles;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82"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Law shall not apply;</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“holder” in relation to a Share means a person whose name is entered in the Register of Members as the holder of such Share.</w:t>
      </w:r>
    </w:p>
    <w:p>
      <w:pPr>
        <w:spacing w:after="0" w:line="370" w:lineRule="exact"/>
        <w:rPr>
          <w:sz w:val="20"/>
          <w:szCs w:val="20"/>
          <w:color w:val="auto"/>
        </w:rPr>
      </w:pPr>
    </w:p>
    <w:p>
      <w:pPr>
        <w:ind w:left="544" w:hanging="544"/>
        <w:spacing w:after="0"/>
        <w:tabs>
          <w:tab w:leader="none" w:pos="54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of Business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business of the Company may be commenced as soon after incorporation of the Company as the Directors shall see fit.</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224" w:name="page225"/>
    <w:bookmarkEnd w:id="224"/>
    <w:p>
      <w:pPr>
        <w:ind w:left="544" w:hanging="544"/>
        <w:spacing w:after="0"/>
        <w:tabs>
          <w:tab w:leader="none" w:pos="54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Issue of Shares and other Securities</w:t>
      </w:r>
    </w:p>
    <w:p>
      <w:pPr>
        <w:spacing w:after="0" w:line="135" w:lineRule="exact"/>
        <w:rPr>
          <w:sz w:val="20"/>
          <w:szCs w:val="20"/>
          <w:color w:val="auto"/>
        </w:rPr>
      </w:pPr>
    </w:p>
    <w:p>
      <w:pPr>
        <w:ind w:left="544" w:right="6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 the provisions, if any, in the Memorandum (and to any direction that may be given by the Company in general meeting) and, where applicable, the rules and regulations of the Designated Stock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97"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The Company shall not issue Shares to bearer.</w:t>
      </w:r>
    </w:p>
    <w:p>
      <w:pPr>
        <w:spacing w:after="0" w:line="370" w:lineRule="exact"/>
        <w:rPr>
          <w:sz w:val="20"/>
          <w:szCs w:val="20"/>
          <w:color w:val="auto"/>
        </w:rPr>
      </w:pPr>
    </w:p>
    <w:p>
      <w:pPr>
        <w:ind w:left="544" w:hanging="544"/>
        <w:spacing w:after="0"/>
        <w:tabs>
          <w:tab w:leader="none" w:pos="544"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of Members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Company shall maintain or cause to be maintained the Register of Members in accordance with the Statute.</w:t>
      </w:r>
    </w:p>
    <w:p>
      <w:pPr>
        <w:spacing w:after="0" w:line="131"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320" w:lineRule="exact"/>
        <w:rPr>
          <w:sz w:val="20"/>
          <w:szCs w:val="20"/>
          <w:color w:val="auto"/>
        </w:rPr>
      </w:pPr>
    </w:p>
    <w:p>
      <w:pPr>
        <w:ind w:left="544" w:hanging="544"/>
        <w:spacing w:after="0"/>
        <w:tabs>
          <w:tab w:leader="none" w:pos="54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 Register of Members or Fixing Record Date</w:t>
      </w:r>
    </w:p>
    <w:p>
      <w:pPr>
        <w:spacing w:after="0" w:line="135" w:lineRule="exact"/>
        <w:rPr>
          <w:sz w:val="20"/>
          <w:szCs w:val="20"/>
          <w:color w:val="auto"/>
        </w:rPr>
      </w:pPr>
    </w:p>
    <w:p>
      <w:pPr>
        <w:ind w:left="544" w:right="2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rules and regulations of the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225" w:name="page226"/>
    <w:bookmarkEnd w:id="225"/>
    <w:p>
      <w:pPr>
        <w:ind w:left="54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Designated Stock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81"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85" w:lineRule="exact"/>
        <w:rPr>
          <w:sz w:val="20"/>
          <w:szCs w:val="20"/>
          <w:color w:val="auto"/>
        </w:rPr>
      </w:pPr>
    </w:p>
    <w:p>
      <w:pPr>
        <w:ind w:left="544" w:right="10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328" w:lineRule="exact"/>
        <w:rPr>
          <w:sz w:val="20"/>
          <w:szCs w:val="20"/>
          <w:color w:val="auto"/>
        </w:rPr>
      </w:pPr>
    </w:p>
    <w:p>
      <w:pPr>
        <w:ind w:left="544" w:hanging="544"/>
        <w:spacing w:after="0"/>
        <w:tabs>
          <w:tab w:leader="none" w:pos="54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for Shares</w:t>
      </w:r>
    </w:p>
    <w:p>
      <w:pPr>
        <w:spacing w:after="0" w:line="135"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93"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67" w:lineRule="exact"/>
        <w:rPr>
          <w:sz w:val="20"/>
          <w:szCs w:val="20"/>
          <w:color w:val="auto"/>
        </w:rPr>
      </w:pPr>
    </w:p>
    <w:p>
      <w:pPr>
        <w:jc w:val="both"/>
        <w:ind w:left="544" w:right="2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26" w:name="page227"/>
    <w:bookmarkEnd w:id="226"/>
    <w:p>
      <w:pPr>
        <w:ind w:left="544" w:right="2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6.5</w:t>
      </w:r>
      <w:r>
        <w:rPr>
          <w:sz w:val="20"/>
          <w:szCs w:val="20"/>
          <w:color w:val="auto"/>
        </w:rPr>
        <w:tab/>
      </w:r>
      <w:r>
        <w:rPr>
          <w:rFonts w:ascii="Times New Roman" w:cs="Times New Roman" w:eastAsia="Times New Roman" w:hAnsi="Times New Roman"/>
          <w:sz w:val="18"/>
          <w:szCs w:val="18"/>
          <w:color w:val="auto"/>
        </w:rPr>
        <w:t>Share certificates shall be issued within the relevant time limit as prescribed by the Statute, if applicable, or as the rules and regulations of the Designated Stock Exchange, the Securities and Exchange Commission and/or any other competent regulatory authority or otherwise under Applicable Law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324" w:lineRule="exact"/>
        <w:rPr>
          <w:sz w:val="20"/>
          <w:szCs w:val="20"/>
          <w:color w:val="auto"/>
        </w:rPr>
      </w:pPr>
    </w:p>
    <w:p>
      <w:pPr>
        <w:ind w:left="544" w:hanging="544"/>
        <w:spacing w:after="0"/>
        <w:tabs>
          <w:tab w:leader="none" w:pos="544"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the terms of the Articles, any Member may transfer all or any of his Shares by an instrument of transfer provided that such transfer complies with the rules and regulations of the Designated Stock Exchange, the Securities and Exchange Commission and/or any other competent regulatory authority or otherwise under Applicable Law.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89" w:lineRule="exact"/>
        <w:rPr>
          <w:sz w:val="20"/>
          <w:szCs w:val="20"/>
          <w:color w:val="auto"/>
        </w:rPr>
      </w:pPr>
    </w:p>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instrument of transfer of any Share shall be in writing in the usual or common form or in a form prescribed by the rules and regulations of the Designated Stock Exchange, the Securities and Exchange Commission and/or any other competent regulatory authority or otherwise under Applicable Law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332" w:lineRule="exact"/>
        <w:rPr>
          <w:sz w:val="20"/>
          <w:szCs w:val="20"/>
          <w:color w:val="auto"/>
        </w:rPr>
      </w:pPr>
    </w:p>
    <w:p>
      <w:pPr>
        <w:ind w:left="544" w:hanging="544"/>
        <w:spacing w:after="0"/>
        <w:tabs>
          <w:tab w:leader="none" w:pos="54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Repurchase and Surrender of Shares</w:t>
      </w:r>
    </w:p>
    <w:p>
      <w:pPr>
        <w:spacing w:after="0" w:line="135" w:lineRule="exact"/>
        <w:rPr>
          <w:sz w:val="20"/>
          <w:szCs w:val="20"/>
          <w:color w:val="auto"/>
        </w:rPr>
      </w:pPr>
    </w:p>
    <w:p>
      <w:pPr>
        <w:ind w:left="544" w:right="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89" w:lineRule="exact"/>
        <w:rPr>
          <w:sz w:val="20"/>
          <w:szCs w:val="20"/>
          <w:color w:val="auto"/>
        </w:rPr>
      </w:pPr>
    </w:p>
    <w:p>
      <w:pPr>
        <w:ind w:left="1184" w:right="160" w:hanging="644"/>
        <w:spacing w:after="0" w:line="282" w:lineRule="auto"/>
        <w:tabs>
          <w:tab w:leader="none" w:pos="11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hold Public Shares are entitled to request the redemption of such Shares in the circumstances described in the Business Combination Article hereof;</w:t>
      </w:r>
    </w:p>
    <w:p>
      <w:pPr>
        <w:spacing w:after="0" w:line="67" w:lineRule="exact"/>
        <w:rPr>
          <w:rFonts w:ascii="Times New Roman" w:cs="Times New Roman" w:eastAsia="Times New Roman" w:hAnsi="Times New Roman"/>
          <w:sz w:val="18"/>
          <w:szCs w:val="18"/>
          <w:color w:val="auto"/>
        </w:rPr>
      </w:pPr>
    </w:p>
    <w:p>
      <w:pPr>
        <w:jc w:val="both"/>
        <w:ind w:left="1184" w:right="100" w:hanging="644"/>
        <w:spacing w:after="0" w:line="266" w:lineRule="auto"/>
        <w:tabs>
          <w:tab w:leader="none" w:pos="11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Shares held by the Founders shall be surrendered by the Founders on a pro rata basis for no consideration to the extent that the Over-Allotment Option is not exercised in full so that the Founders will own 20 per cent of the Company’s issued Shares after the IPO (exclusive of any securities purchased in a private placement simultaneously with the IPO); and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27" w:name="page228"/>
    <w:bookmarkEnd w:id="227"/>
    <w:p>
      <w:pPr>
        <w:ind w:left="1184" w:hanging="644"/>
        <w:spacing w:after="0"/>
        <w:tabs>
          <w:tab w:leader="none" w:pos="11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Shares shall be repurchased by way of tender offer in the circumstances set out in the Business Combination Article hereof.</w:t>
      </w:r>
    </w:p>
    <w:p>
      <w:pPr>
        <w:spacing w:after="0" w:line="131" w:lineRule="exact"/>
        <w:rPr>
          <w:sz w:val="20"/>
          <w:szCs w:val="20"/>
          <w:color w:val="auto"/>
        </w:rPr>
      </w:pPr>
    </w:p>
    <w:p>
      <w:pPr>
        <w:ind w:left="544" w:right="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Subject to the provisions of the Statute, and, where applicable, the rules and regulations of the Designated Stock Exchange, the Securities and Exchange Commission and/or any other competent regulatory authority or otherwise under Applicable Law, the Company may purchase its own Shares (including any redeemable Shares) in such manner and on such other terms as the Directors may agree with the relevant Member. For the avoidance of doubt, redemptions, repurchases and surrenders of Shares in the circumstances described in the Article above shall not require further approval of the Members.</w:t>
      </w:r>
    </w:p>
    <w:p>
      <w:pPr>
        <w:spacing w:after="0" w:line="89"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Company may make a payment in respect of the redemption or purchase of its own Shares in any manner permitted by the Statute, including out of capital.</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Directors may accept the surrender for no consideration of any fully paid Share.</w:t>
      </w:r>
    </w:p>
    <w:p>
      <w:pPr>
        <w:spacing w:after="0" w:line="370" w:lineRule="exact"/>
        <w:rPr>
          <w:sz w:val="20"/>
          <w:szCs w:val="20"/>
          <w:color w:val="auto"/>
        </w:rPr>
      </w:pPr>
    </w:p>
    <w:p>
      <w:pPr>
        <w:ind w:left="544" w:hanging="544"/>
        <w:spacing w:after="0"/>
        <w:tabs>
          <w:tab w:leader="none" w:pos="54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Directors may, prior to the purchase, redemption or surrender of any Share, determine that such Share shall be held as a Treasury Share.</w:t>
      </w:r>
    </w:p>
    <w:p>
      <w:pPr>
        <w:spacing w:after="0" w:line="131"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Directors may determine to cancel a Treasury Share or transfer a Treasury Share on such terms as they think proper (including, without limitation, for nil consideration).</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Variation of Rights of Shares</w:t>
      </w:r>
    </w:p>
    <w:p>
      <w:pPr>
        <w:spacing w:after="0" w:line="135" w:lineRule="exact"/>
        <w:rPr>
          <w:sz w:val="20"/>
          <w:szCs w:val="20"/>
          <w:color w:val="auto"/>
        </w:rPr>
      </w:pPr>
    </w:p>
    <w:p>
      <w:pPr>
        <w:ind w:left="544"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10.1</w:t>
        <w:tab/>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228" w:name="page229"/>
    <w:bookmarkEnd w:id="228"/>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1" w:lineRule="exact"/>
        <w:rPr>
          <w:sz w:val="20"/>
          <w:szCs w:val="20"/>
          <w:color w:val="auto"/>
        </w:rPr>
      </w:pPr>
    </w:p>
    <w:p>
      <w:pPr>
        <w:ind w:left="544" w:right="3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10.3</w:t>
        <w:tab/>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320" w:lineRule="exact"/>
        <w:rPr>
          <w:sz w:val="20"/>
          <w:szCs w:val="20"/>
          <w:color w:val="auto"/>
        </w:rPr>
      </w:pPr>
    </w:p>
    <w:p>
      <w:pPr>
        <w:ind w:left="544" w:hanging="544"/>
        <w:spacing w:after="0"/>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on Sale of Shares</w:t>
      </w:r>
    </w:p>
    <w:p>
      <w:pPr>
        <w:spacing w:after="0" w:line="121" w:lineRule="exact"/>
        <w:rPr>
          <w:rFonts w:ascii="Times New Roman" w:cs="Times New Roman" w:eastAsia="Times New Roman" w:hAnsi="Times New Roman"/>
          <w:sz w:val="18"/>
          <w:szCs w:val="18"/>
          <w:b w:val="1"/>
          <w:bCs w:val="1"/>
          <w:color w:val="auto"/>
        </w:rPr>
      </w:pPr>
    </w:p>
    <w:p>
      <w:pPr>
        <w:ind w:left="544"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32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 Recognition of Trusts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on Shares</w:t>
      </w:r>
    </w:p>
    <w:p>
      <w:pPr>
        <w:spacing w:after="0" w:line="135" w:lineRule="exact"/>
        <w:rPr>
          <w:sz w:val="20"/>
          <w:szCs w:val="20"/>
          <w:color w:val="auto"/>
        </w:rPr>
      </w:pPr>
    </w:p>
    <w:p>
      <w:pPr>
        <w:ind w:left="544" w:right="6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89"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13.2</w:t>
        <w:tab/>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229" w:name="page230"/>
    <w:bookmarkEnd w:id="229"/>
    <w:p>
      <w:pPr>
        <w:ind w:left="540" w:right="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w:t>
        <w:tab/>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85"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Call on Shares</w:t>
      </w:r>
    </w:p>
    <w:p>
      <w:pPr>
        <w:spacing w:after="0" w:line="135" w:lineRule="exact"/>
        <w:rPr>
          <w:sz w:val="20"/>
          <w:szCs w:val="20"/>
          <w:color w:val="auto"/>
        </w:rPr>
      </w:pPr>
    </w:p>
    <w:p>
      <w:pPr>
        <w:ind w:left="540" w:right="2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A call shall be deemed to have been made at the time when the resolution of the Directors authorising such call was passed.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The joint holders of a Share shall be jointly and severally liable to pay all calls in respect thereof.</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14.4</w:t>
        <w:tab/>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81" w:lineRule="exact"/>
        <w:rPr>
          <w:sz w:val="20"/>
          <w:szCs w:val="20"/>
          <w:color w:val="auto"/>
        </w:rPr>
      </w:pPr>
    </w:p>
    <w:p>
      <w:pPr>
        <w:jc w:val="both"/>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14.5</w:t>
        <w:tab/>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Directors may issue Shares with different terms as to the amount and times of payment of calls, or the interest to be paid.</w:t>
      </w:r>
    </w:p>
    <w:p>
      <w:pPr>
        <w:spacing w:after="0" w:line="131" w:lineRule="exact"/>
        <w:rPr>
          <w:sz w:val="20"/>
          <w:szCs w:val="20"/>
          <w:color w:val="auto"/>
        </w:rPr>
      </w:pPr>
    </w:p>
    <w:p>
      <w:pPr>
        <w:ind w:left="540" w:right="2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14.7</w:t>
        <w:tab/>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0" w:name="page231"/>
    <w:bookmarkEnd w:id="230"/>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14.8</w:t>
        <w:tab/>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Forfeiture of Shares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If a call or instalment of a call remains unpaid after it has become due and payable the Directors may give to the person from whom it is due not</w:t>
      </w:r>
    </w:p>
    <w:p>
      <w:pPr>
        <w:spacing w:after="0" w:line="27" w:lineRule="exact"/>
        <w:rPr>
          <w:sz w:val="20"/>
          <w:szCs w:val="20"/>
          <w:color w:val="auto"/>
        </w:rPr>
      </w:pPr>
    </w:p>
    <w:p>
      <w:pPr>
        <w:ind w:left="540" w:right="140"/>
        <w:spacing w:after="0" w:line="255" w:lineRule="auto"/>
        <w:rPr>
          <w:sz w:val="20"/>
          <w:szCs w:val="20"/>
          <w:color w:val="auto"/>
        </w:rPr>
      </w:pPr>
      <w:r>
        <w:rPr>
          <w:rFonts w:ascii="Times New Roman" w:cs="Times New Roman" w:eastAsia="Times New Roman" w:hAnsi="Times New Roman"/>
          <w:sz w:val="18"/>
          <w:szCs w:val="18"/>
          <w:color w:val="auto"/>
        </w:rPr>
        <w:t>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91"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81" w:lineRule="exact"/>
        <w:rPr>
          <w:sz w:val="20"/>
          <w:szCs w:val="20"/>
          <w:color w:val="auto"/>
        </w:rPr>
      </w:pPr>
    </w:p>
    <w:p>
      <w:pPr>
        <w:jc w:val="both"/>
        <w:ind w:left="540" w:right="1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15.3</w:t>
        <w:tab/>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85" w:lineRule="exact"/>
        <w:rPr>
          <w:sz w:val="20"/>
          <w:szCs w:val="20"/>
          <w:color w:val="auto"/>
        </w:rPr>
      </w:pPr>
    </w:p>
    <w:p>
      <w:pPr>
        <w:ind w:left="540" w:right="120" w:hanging="539"/>
        <w:spacing w:after="0" w:line="281" w:lineRule="auto"/>
        <w:tabs>
          <w:tab w:leader="none" w:pos="5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70"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15.5</w:t>
        <w:tab/>
        <w:t>A certificate in writing under the hand of one Director or Officer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89"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15.6</w:t>
        <w:tab/>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1" w:name="page232"/>
    <w:bookmarkEnd w:id="23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8"/>
          <w:szCs w:val="18"/>
          <w:b w:val="1"/>
          <w:bCs w:val="1"/>
          <w:color w:val="auto"/>
        </w:rPr>
        <w:t>Transmission of Shares</w:t>
      </w:r>
    </w:p>
    <w:p>
      <w:pPr>
        <w:spacing w:after="0" w:line="13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16.1</w:t>
        <w:tab/>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81" w:lineRule="exact"/>
        <w:rPr>
          <w:sz w:val="20"/>
          <w:szCs w:val="20"/>
          <w:color w:val="auto"/>
        </w:rPr>
      </w:pPr>
    </w:p>
    <w:p>
      <w:pPr>
        <w:ind w:left="540" w:right="6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16.2</w:t>
        <w:tab/>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93" w:lineRule="exact"/>
        <w:rPr>
          <w:sz w:val="20"/>
          <w:szCs w:val="20"/>
          <w:color w:val="auto"/>
        </w:rPr>
      </w:pPr>
    </w:p>
    <w:p>
      <w:pPr>
        <w:ind w:left="54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16.3</w:t>
        <w:tab/>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Class B Ordinary Share Conversion</w:t>
      </w:r>
    </w:p>
    <w:p>
      <w:pPr>
        <w:spacing w:after="0" w:line="133" w:lineRule="exact"/>
        <w:rPr>
          <w:sz w:val="20"/>
          <w:szCs w:val="20"/>
          <w:color w:val="auto"/>
        </w:rPr>
      </w:pPr>
    </w:p>
    <w:p>
      <w:pPr>
        <w:ind w:left="540" w:right="240" w:hanging="539"/>
        <w:spacing w:after="0" w:line="290" w:lineRule="auto"/>
        <w:tabs>
          <w:tab w:leader="none" w:pos="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 xml:space="preserve">The rights attaching to the Class A Shares and Class B Shares shall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 all respects, and the Class A Shares and Class B Shares shall vote together as a single class on all matters (subject to the Variation of Rights of Shares Article and the Appointment and Removal of Directors Article hereof) with the exception that the holder of a Class B Share shall have the Conversion Rights referred to in this Article.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232" w:name="page233"/>
    <w:bookmarkEnd w:id="232"/>
    <w:p>
      <w:pPr>
        <w:ind w:left="520" w:right="140" w:hanging="539"/>
        <w:spacing w:after="0" w:line="286"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17.2</w:t>
        <w:tab/>
        <w:t>Class B Shares shall automatically convert (“</w:t>
      </w:r>
      <w:r>
        <w:rPr>
          <w:rFonts w:ascii="Times New Roman" w:cs="Times New Roman" w:eastAsia="Times New Roman" w:hAnsi="Times New Roman"/>
          <w:sz w:val="18"/>
          <w:szCs w:val="18"/>
          <w:b w:val="1"/>
          <w:bCs w:val="1"/>
          <w:color w:val="auto"/>
        </w:rPr>
        <w:t>Class B Share Conversion</w:t>
      </w:r>
      <w:r>
        <w:rPr>
          <w:rFonts w:ascii="Times New Roman" w:cs="Times New Roman" w:eastAsia="Times New Roman" w:hAnsi="Times New Roman"/>
          <w:sz w:val="18"/>
          <w:szCs w:val="18"/>
          <w:color w:val="auto"/>
        </w:rPr>
        <w:t>”) into Class A Shares on a one-for-one basis (the “</w:t>
      </w:r>
      <w:r>
        <w:rPr>
          <w:rFonts w:ascii="Times New Roman" w:cs="Times New Roman" w:eastAsia="Times New Roman" w:hAnsi="Times New Roman"/>
          <w:sz w:val="18"/>
          <w:szCs w:val="18"/>
          <w:b w:val="1"/>
          <w:bCs w:val="1"/>
          <w:color w:val="auto"/>
        </w:rPr>
        <w:t>Initial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 concurrently with or immediately following the consummation of a Business Combination.</w:t>
      </w:r>
    </w:p>
    <w:p>
      <w:pPr>
        <w:spacing w:after="0" w:line="64" w:lineRule="exact"/>
        <w:rPr>
          <w:sz w:val="20"/>
          <w:szCs w:val="20"/>
          <w:color w:val="auto"/>
        </w:rPr>
      </w:pPr>
    </w:p>
    <w:p>
      <w:pPr>
        <w:ind w:left="520" w:right="20" w:hanging="539"/>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17.3</w:t>
        <w:tab/>
        <w:t>Notwithstanding the Initial Conversion Ratio, in the case that additional Class A Shares or any other Equity-linked Securities, are issued or deemed issued in excess of the amounts issued in the IPO (including pursuant to the Over-Allotment Option) and related to or in connection with the closing of a Business Combination, all Class B Shares in issue shall automatically convert into Class A Shares at the time of the closing of a Business Combination, the ratio for which the Class B Shares shall convert into Class A Shares will be adjusted so that the number of Class A Shares issuable upon conversion of all Class B Shares will equal, in the aggregate, 25 per cent of the sum of: (a) the total number of all Class A Shares in issue upon completion of the IPO (including any Class A Shares issued pursuant to the Over-Allotment Option and excluding any Class A Shares underlying the private placement warrants issued to the Sponsor); plus (b) all Class A Shares and Equity-linked Securities issued or deemed issued in connection with a Business Combination, excluding any Shares or Equity-linked Securities issued, or to be issued, to any seller in a Business Combination, any private placement-equivalent warrants issued to the Sponsor or an affiliate of the Sponsor or to Officers and Directors upon the conversion of working capital loans made to the Company; minus (c) the number of Public Shares redeemed in connection with a Business Combination, provided that such conversion of Class B Shares into Class A Shares shall never be less than the Initial Conversion Ratio.</w:t>
      </w:r>
    </w:p>
    <w:p>
      <w:pPr>
        <w:spacing w:after="0" w:line="95" w:lineRule="exact"/>
        <w:rPr>
          <w:sz w:val="20"/>
          <w:szCs w:val="20"/>
          <w:color w:val="auto"/>
        </w:rPr>
      </w:pPr>
    </w:p>
    <w:p>
      <w:pPr>
        <w:ind w:left="520" w:hanging="53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17.4</w:t>
        <w:tab/>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85" w:lineRule="exact"/>
        <w:rPr>
          <w:sz w:val="20"/>
          <w:szCs w:val="20"/>
          <w:color w:val="auto"/>
        </w:rPr>
      </w:pPr>
    </w:p>
    <w:p>
      <w:pPr>
        <w:ind w:left="520" w:right="60" w:hanging="539"/>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17.5</w:t>
        <w:tab/>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9" w:lineRule="exact"/>
        <w:rPr>
          <w:sz w:val="20"/>
          <w:szCs w:val="20"/>
          <w:color w:val="auto"/>
        </w:rPr>
      </w:pPr>
    </w:p>
    <w:p>
      <w:pPr>
        <w:ind w:left="520" w:hanging="53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17.6</w:t>
        <w:tab/>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6" w:right="459" w:bottom="1440" w:gutter="0" w:footer="0" w:header="0"/>
        </w:sectPr>
      </w:pPr>
    </w:p>
    <w:bookmarkStart w:id="233" w:name="page234"/>
    <w:bookmarkEnd w:id="233"/>
    <w:p>
      <w:pPr>
        <w:ind w:left="540" w:right="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17.7</w:t>
        <w:tab/>
        <w:t>References in this Article to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89"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17.8</w:t>
        <w:tab/>
        <w:t>Notwithstanding anything to the contrary in this Article, in no event may any Class B Share convert into Class A Shares at a ratio that is less than one-for-one.</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Amendments of Memorandum and Articles of Association and Alteration of Capital</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may by Ordinary Resolution:</w:t>
      </w:r>
    </w:p>
    <w:p>
      <w:pPr>
        <w:spacing w:after="0" w:line="131" w:lineRule="exact"/>
        <w:rPr>
          <w:sz w:val="20"/>
          <w:szCs w:val="20"/>
          <w:color w:val="auto"/>
        </w:rPr>
      </w:pPr>
    </w:p>
    <w:p>
      <w:pPr>
        <w:ind w:left="1180" w:right="100" w:hanging="644"/>
        <w:spacing w:after="0" w:line="282" w:lineRule="auto"/>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such sum as the Ordinary Resolution shall prescribe and with such rights, priorities and privileges annexed thereto, as the Company in general meeting may determine;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its paid-up Shares into stock, and reconvert that stock into paid-up Shares of any denomination;</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67"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Subject to the provisions of the Statute, the provisions of the Articles as regards the matters to be dealt with by Ordinary Resolution and Article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31.4, the Company may by Special Resolution:</w:t>
      </w:r>
    </w:p>
    <w:p>
      <w:pPr>
        <w:spacing w:after="0" w:line="112" w:lineRule="exact"/>
        <w:rPr>
          <w:sz w:val="20"/>
          <w:szCs w:val="20"/>
          <w:color w:val="auto"/>
        </w:rPr>
      </w:pPr>
    </w:p>
    <w:p>
      <w:pPr>
        <w:ind w:left="1180" w:hanging="644"/>
        <w:spacing w:after="0"/>
        <w:tabs>
          <w:tab w:leader="none" w:pos="1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add to the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34" w:name="page235"/>
    <w:bookmarkEnd w:id="234"/>
    <w:p>
      <w:pPr>
        <w:ind w:left="1184" w:hanging="644"/>
        <w:spacing w:after="0"/>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alter or add to the Memorandum with respect to any objects, powers or other matters specified therein;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or any capital redemption reserve fund.</w:t>
      </w:r>
    </w:p>
    <w:p>
      <w:pPr>
        <w:spacing w:after="0" w:line="370" w:lineRule="exact"/>
        <w:rPr>
          <w:sz w:val="20"/>
          <w:szCs w:val="20"/>
          <w:color w:val="auto"/>
        </w:rPr>
      </w:pPr>
    </w:p>
    <w:p>
      <w:pPr>
        <w:ind w:left="544" w:hanging="544"/>
        <w:spacing w:after="0"/>
        <w:tabs>
          <w:tab w:leader="none" w:pos="54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Offices and Places of Business</w:t>
      </w:r>
    </w:p>
    <w:p>
      <w:pPr>
        <w:spacing w:after="0" w:line="121" w:lineRule="exact"/>
        <w:rPr>
          <w:rFonts w:ascii="Times New Roman" w:cs="Times New Roman" w:eastAsia="Times New Roman" w:hAnsi="Times New Roman"/>
          <w:sz w:val="18"/>
          <w:szCs w:val="18"/>
          <w:b w:val="1"/>
          <w:bCs w:val="1"/>
          <w:color w:val="auto"/>
        </w:rPr>
      </w:pPr>
    </w:p>
    <w:p>
      <w:pPr>
        <w:ind w:left="544"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All general meetings other than annual general meetings shall be called extraordinary general meetings.</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20.2</w:t>
        <w:tab/>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p>
      <w:pPr>
        <w:spacing w:after="0" w:line="8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20.3</w:t>
        <w:tab/>
        <w:t>The Directors, the chief executive officer or the chairman of the board of Directors may call general meetings, and, for the avoidance of doubt, Members shall not have the ability to call general meetings.</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Notice of General Meetings</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21.1</w:t>
        <w:tab/>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89" w:lineRule="exact"/>
        <w:rPr>
          <w:sz w:val="20"/>
          <w:szCs w:val="20"/>
          <w:color w:val="auto"/>
        </w:rPr>
      </w:pPr>
    </w:p>
    <w:p>
      <w:pPr>
        <w:ind w:left="1184" w:hanging="644"/>
        <w:spacing w:after="0"/>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of the Members entitled to attend and vote thereat; and</w:t>
      </w:r>
    </w:p>
    <w:p>
      <w:pPr>
        <w:spacing w:after="0" w:line="130"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67"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21.2</w:t>
        <w:tab/>
        <w:t>The accidental omission to give notice of a general meeting to, or the non receipt of notice of a general meeting by, any person entitled to receive such notice shall not invalidate the proceedings of that general meeting.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35" w:name="page236"/>
    <w:bookmarkEnd w:id="23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Advance Notice for Business</w:t>
      </w:r>
    </w:p>
    <w:p>
      <w:pPr>
        <w:spacing w:after="0" w:line="135" w:lineRule="exact"/>
        <w:rPr>
          <w:sz w:val="20"/>
          <w:szCs w:val="20"/>
          <w:color w:val="auto"/>
        </w:rPr>
      </w:pPr>
    </w:p>
    <w:p>
      <w:pPr>
        <w:jc w:val="both"/>
        <w:ind w:left="540" w:hanging="539"/>
        <w:spacing w:after="0" w:line="289" w:lineRule="auto"/>
        <w:tabs>
          <w:tab w:leader="none" w:pos="52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At each annual general meeting, the Members shall appoint the Directors then subject to appointment in accordance with the procedures set forth in the Articles and subject to Applicable Law and the rules of the Designated Stock Exchange or quotation system on which Shares may be then listed or quoted. At any such annual general meeting any other business properly brought before the annual general meeting may be transacted.</w:t>
      </w:r>
    </w:p>
    <w:p>
      <w:pPr>
        <w:spacing w:after="0" w:line="63"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22.2</w:t>
        <w:tab/>
        <w:t>To be properly brought before an annual general meeting, business (other than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must be:</w:t>
      </w:r>
    </w:p>
    <w:p>
      <w:pPr>
        <w:spacing w:after="0" w:line="67" w:lineRule="exact"/>
        <w:rPr>
          <w:sz w:val="20"/>
          <w:szCs w:val="20"/>
          <w:color w:val="auto"/>
        </w:rPr>
      </w:pPr>
    </w:p>
    <w:p>
      <w:pPr>
        <w:ind w:left="1180" w:right="640" w:hanging="644"/>
        <w:spacing w:after="0" w:line="282" w:lineRule="auto"/>
        <w:tabs>
          <w:tab w:leader="none" w:pos="1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the annual general meeting (or any supplement thereto) given to Members by or at the direction of the Directors in accordance with the Articles;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general meeting by or at the direction of the Directors;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annual general meeting by a Member who:</w:t>
      </w:r>
    </w:p>
    <w:p>
      <w:pPr>
        <w:spacing w:after="0" w:line="130"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Minimum Member at the time of giving of the notice provided for in this Article and at the time of the annual general meeting;</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vote at such annual general meeting; and</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notice procedures set forth in this Article.</w:t>
      </w:r>
    </w:p>
    <w:p>
      <w:pPr>
        <w:spacing w:after="0" w:line="131" w:lineRule="exact"/>
        <w:rPr>
          <w:sz w:val="20"/>
          <w:szCs w:val="20"/>
          <w:color w:val="auto"/>
        </w:rPr>
      </w:pPr>
    </w:p>
    <w:p>
      <w:pPr>
        <w:ind w:left="540" w:right="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22.3</w:t>
        <w:tab/>
        <w:t>For any such business to be properly brought before any annual general meeting pursuant to Article 22.2(c), the Member must have given timely notice thereof in writing, either by personal delivery or express or registered mail (postage prepaid), to the Company not earlier than the close of business on the 120th day and not later than the close of business on the 90th day prior to the one-year anniversary of the date of the annual general meeting for the immediately preceding year. However, in the event that the date of the annual general meeting is more than thirty days before or after such anniversary date, in order to be timely, a Member’s notice must be received by the Company not later than the later of:</w:t>
      </w:r>
    </w:p>
    <w:p>
      <w:pPr>
        <w:spacing w:after="0" w:line="3" w:lineRule="exact"/>
        <w:rPr>
          <w:sz w:val="20"/>
          <w:szCs w:val="20"/>
          <w:color w:val="auto"/>
        </w:rPr>
      </w:pPr>
    </w:p>
    <w:p>
      <w:pPr>
        <w:ind w:left="540" w:right="20" w:hanging="4"/>
        <w:spacing w:after="0" w:line="253" w:lineRule="auto"/>
        <w:tabs>
          <w:tab w:leader="none" w:pos="7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ninety days prior to the date of such annual general meeting; and (y) if the first public announcement of the date of such advanced or delayed annual general meeting is less than one hundred days prior to such date, ten days following the date of the first public announcement of the annual general meeting date. In no event shall the public announcement of an adjournment or postponement of an annual general meeting, or such adjournment or postponement, commence a new time period or otherwise extend any time period for the giving of a Member’s notice as described herein.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236" w:name="page237"/>
    <w:bookmarkEnd w:id="236"/>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22.4</w:t>
      </w:r>
      <w:r>
        <w:rPr>
          <w:sz w:val="20"/>
          <w:szCs w:val="20"/>
          <w:color w:val="auto"/>
        </w:rPr>
        <w:tab/>
      </w:r>
      <w:r>
        <w:rPr>
          <w:rFonts w:ascii="Times New Roman" w:cs="Times New Roman" w:eastAsia="Times New Roman" w:hAnsi="Times New Roman"/>
          <w:sz w:val="17"/>
          <w:szCs w:val="17"/>
          <w:color w:val="auto"/>
        </w:rPr>
        <w:t>Any such notice of other business shall set forth as to each matter the Member proposes to bring before the annual general meeting:</w:t>
      </w:r>
    </w:p>
    <w:p>
      <w:pPr>
        <w:spacing w:after="0" w:line="131" w:lineRule="exact"/>
        <w:rPr>
          <w:sz w:val="20"/>
          <w:szCs w:val="20"/>
          <w:color w:val="auto"/>
        </w:rPr>
      </w:pPr>
    </w:p>
    <w:p>
      <w:pPr>
        <w:ind w:left="1180" w:right="140" w:hanging="644"/>
        <w:spacing w:after="0" w:line="261" w:lineRule="auto"/>
        <w:tabs>
          <w:tab w:leader="none" w:pos="1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general meeting, the reasons for conducting such business at the annual general meeting and the text of any proposal regarding such business (including the text of any resolutions proposed for consideration and, if such business includes a proposal to amend the Articles, the text of the proposed amendment), which shall not exceed 1,000 words;</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Member giving notice and any beneficial owner on whose behalf the proposal is made:</w:t>
      </w:r>
    </w:p>
    <w:p>
      <w:pPr>
        <w:spacing w:after="0" w:line="130"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Member (as it appears in the Register of Members) and such beneficial owner on whose behalf the proposal is made;</w:t>
      </w:r>
    </w:p>
    <w:p>
      <w:pPr>
        <w:spacing w:after="0" w:line="67" w:lineRule="exact"/>
        <w:rPr>
          <w:rFonts w:ascii="Times New Roman" w:cs="Times New Roman" w:eastAsia="Times New Roman" w:hAnsi="Times New Roman"/>
          <w:sz w:val="18"/>
          <w:szCs w:val="18"/>
          <w:color w:val="auto"/>
        </w:rPr>
      </w:pPr>
    </w:p>
    <w:p>
      <w:pPr>
        <w:ind w:left="1740" w:right="280" w:hanging="543"/>
        <w:spacing w:after="0" w:line="282" w:lineRule="auto"/>
        <w:tabs>
          <w:tab w:leader="none" w:pos="17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which are, directly or indirectly, owned beneficially or of record by any such Member and by such beneficial owner, respectively, or their respective Affiliates (naming such Affiliates), as at the date of such notice;</w:t>
      </w:r>
    </w:p>
    <w:p>
      <w:pPr>
        <w:spacing w:after="0" w:line="67" w:lineRule="exact"/>
        <w:rPr>
          <w:rFonts w:ascii="Times New Roman" w:cs="Times New Roman" w:eastAsia="Times New Roman" w:hAnsi="Times New Roman"/>
          <w:sz w:val="18"/>
          <w:szCs w:val="18"/>
          <w:color w:val="auto"/>
        </w:rPr>
      </w:pPr>
    </w:p>
    <w:p>
      <w:pPr>
        <w:ind w:left="1740" w:right="80" w:hanging="543"/>
        <w:spacing w:after="0" w:line="272" w:lineRule="auto"/>
        <w:tabs>
          <w:tab w:leader="none" w:pos="1740"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agreement, arrangement or understanding (including, without limitation, any swap or other derivative or short positions, profit interests, options, hedging transactions, and securities lending or borrowing arrangement) to which such Member or any such beneficial owner or their respective Affiliates is, directly or indirectly, a party as at the date of such notice:</w:t>
      </w:r>
    </w:p>
    <w:p>
      <w:pPr>
        <w:spacing w:after="0" w:line="1" w:lineRule="exact"/>
        <w:rPr>
          <w:rFonts w:ascii="Times New Roman" w:cs="Times New Roman" w:eastAsia="Times New Roman" w:hAnsi="Times New Roman"/>
          <w:sz w:val="17"/>
          <w:szCs w:val="17"/>
          <w:color w:val="auto"/>
        </w:rPr>
      </w:pPr>
    </w:p>
    <w:p>
      <w:pPr>
        <w:ind w:left="17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with respect to any Shares; or (y) the effect or intent of which is to mitigate loss to, manage the potential risk or benefit of share price changes (increases or decreases) for, or increase or decrease the voting power of such Member or beneficial owner or any of their Affiliates with respect to Shares or which may have payments based in whole or in part, directly or indirectly, on the value (or change in value) of any Shares (any agreement, arrangement or understanding of a type described in this Article 22.4(b)(iii), a “</w:t>
      </w:r>
      <w:r>
        <w:rPr>
          <w:rFonts w:ascii="Times New Roman" w:cs="Times New Roman" w:eastAsia="Times New Roman" w:hAnsi="Times New Roman"/>
          <w:sz w:val="18"/>
          <w:szCs w:val="18"/>
          <w:b w:val="1"/>
          <w:bCs w:val="1"/>
          <w:color w:val="auto"/>
        </w:rPr>
        <w:t>Covered Arrangement</w:t>
      </w:r>
      <w:r>
        <w:rPr>
          <w:rFonts w:ascii="Times New Roman" w:cs="Times New Roman" w:eastAsia="Times New Roman" w:hAnsi="Times New Roman"/>
          <w:sz w:val="18"/>
          <w:szCs w:val="18"/>
          <w:color w:val="auto"/>
        </w:rPr>
        <w:t>”); and</w:t>
      </w:r>
    </w:p>
    <w:p>
      <w:pPr>
        <w:spacing w:after="0" w:line="92" w:lineRule="exact"/>
        <w:rPr>
          <w:rFonts w:ascii="Times New Roman" w:cs="Times New Roman" w:eastAsia="Times New Roman" w:hAnsi="Times New Roman"/>
          <w:sz w:val="17"/>
          <w:szCs w:val="17"/>
          <w:color w:val="auto"/>
        </w:rPr>
      </w:pPr>
    </w:p>
    <w:p>
      <w:pPr>
        <w:ind w:left="1740" w:right="220" w:hanging="543"/>
        <w:spacing w:after="0" w:line="282" w:lineRule="auto"/>
        <w:tabs>
          <w:tab w:leader="none" w:pos="17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Member is a holder of record of Shares entitled to vote at such annual general meeting and intends to appear in person or by proxy at the annual general meeting to propose such business;</w:t>
      </w:r>
    </w:p>
    <w:p>
      <w:pPr>
        <w:spacing w:after="0" w:line="67" w:lineRule="exact"/>
        <w:rPr>
          <w:rFonts w:ascii="Times New Roman" w:cs="Times New Roman" w:eastAsia="Times New Roman" w:hAnsi="Times New Roman"/>
          <w:sz w:val="18"/>
          <w:szCs w:val="18"/>
          <w:color w:val="auto"/>
        </w:rPr>
      </w:pPr>
    </w:p>
    <w:p>
      <w:pPr>
        <w:ind w:left="1180" w:right="100" w:hanging="644"/>
        <w:spacing w:after="0" w:line="258" w:lineRule="auto"/>
        <w:tabs>
          <w:tab w:leader="none" w:pos="11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direct or indirect material interest by security holdings or otherwise of the Member and of any beneficial owner on whose behalf the proposal is made, or their respective Affiliates, in such business (whether by holdings of securities, or by virtue of being a creditor or contractual counterparty of the Company or of a third party, or otherwise) and all agreements, arrangements and understandings between such Member or any such beneficial owner or their respective Affiliates and any other person or persons (naming such person or persons) in connection with the proposal of such business by such Member;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7" w:name="page238"/>
    <w:bookmarkEnd w:id="237"/>
    <w:p>
      <w:pPr>
        <w:ind w:left="1180" w:hanging="644"/>
        <w:spacing w:after="0"/>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representation whether the Member or the beneficial owner intends or is part of a Group which intends:</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proxy statement and/or form of proxy to holders of at least the percentage of the Ordinary Shares (or other Shares) required to approve or adopt the proposal; and/or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solicit proxies from Members in support of such proposal;</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by the Member and any beneficial owner on whose behalf the proposal is made to:</w:t>
      </w:r>
    </w:p>
    <w:p>
      <w:pPr>
        <w:spacing w:after="0" w:line="130" w:lineRule="exact"/>
        <w:rPr>
          <w:rFonts w:ascii="Times New Roman" w:cs="Times New Roman" w:eastAsia="Times New Roman" w:hAnsi="Times New Roman"/>
          <w:sz w:val="18"/>
          <w:szCs w:val="18"/>
          <w:color w:val="auto"/>
        </w:rPr>
      </w:pPr>
    </w:p>
    <w:p>
      <w:pPr>
        <w:jc w:val="both"/>
        <w:ind w:left="1740" w:right="100" w:hanging="543"/>
        <w:spacing w:after="0" w:line="266" w:lineRule="auto"/>
        <w:tabs>
          <w:tab w:leader="none" w:pos="17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in writing of the information set forth in Articles 22.4(b)(ii), (b)(iii) and (c) above as at the record date for the annual general meeting promptly (and, in any event, within five business days) following the later of the record date or the date notice of the record date is first disclosed by public announcement; and</w:t>
      </w:r>
    </w:p>
    <w:p>
      <w:pPr>
        <w:spacing w:after="0" w:line="81"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such information thereafter within two business days of any change in such information and, in any event, as at close of business on the day preceding the meeting date; and</w:t>
      </w:r>
    </w:p>
    <w:p>
      <w:pPr>
        <w:spacing w:after="0" w:line="67" w:lineRule="exact"/>
        <w:rPr>
          <w:rFonts w:ascii="Times New Roman" w:cs="Times New Roman" w:eastAsia="Times New Roman" w:hAnsi="Times New Roman"/>
          <w:sz w:val="18"/>
          <w:szCs w:val="18"/>
          <w:color w:val="auto"/>
        </w:rPr>
      </w:pPr>
    </w:p>
    <w:p>
      <w:pPr>
        <w:jc w:val="both"/>
        <w:ind w:left="1180" w:right="160" w:hanging="644"/>
        <w:spacing w:after="0" w:line="289" w:lineRule="auto"/>
        <w:tabs>
          <w:tab w:leader="none" w:pos="118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relating to such Member, any such beneficial owner and their respective Affiliates that would be required to be disclosed in a proxy statement or other filings required to be made in connection with solicitations of proxies for, as applicable, such proposal pursuant to section 14 of the Exchange Act, to the same extent as if the Shares were registered under the Exchange Act.</w:t>
      </w:r>
    </w:p>
    <w:p>
      <w:pPr>
        <w:spacing w:after="0" w:line="63" w:lineRule="exact"/>
        <w:rPr>
          <w:sz w:val="20"/>
          <w:szCs w:val="20"/>
          <w:color w:val="auto"/>
        </w:rPr>
      </w:pPr>
    </w:p>
    <w:p>
      <w:pPr>
        <w:jc w:val="center"/>
        <w:ind w:right="200"/>
        <w:spacing w:after="0" w:line="261" w:lineRule="auto"/>
        <w:rPr>
          <w:sz w:val="20"/>
          <w:szCs w:val="20"/>
          <w:color w:val="auto"/>
        </w:rPr>
      </w:pPr>
      <w:r>
        <w:rPr>
          <w:rFonts w:ascii="Times New Roman" w:cs="Times New Roman" w:eastAsia="Times New Roman" w:hAnsi="Times New Roman"/>
          <w:sz w:val="18"/>
          <w:szCs w:val="18"/>
          <w:color w:val="auto"/>
        </w:rPr>
        <w:t>22.5   Notwithstanding anything to the contrary, the notice requirements set forth herein with respect to the proposal of any business pursuant to this Article, other than nominations for Directors which must be made in compliance with, and shall be exclusively governed by Article 29</w:t>
      </w:r>
    </w:p>
    <w:p>
      <w:pPr>
        <w:ind w:left="5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shall be deemed satisfied by a Member if such Member has submitted a proposal to the Company in compliance with Rule 14a-8 of the Exchange Act and such Member’s proposal has been included in a proxy statement that has been prepared by the Company to solicit proxies for the annual general meeting; provided, that such Member shall have provided the information required by Article 22.4; provided, further, that the information required by Article 22.4(b) may be satisfied by providing the information to the Company required pursuant to Rule 14a-8(b) of the Exchange Act.</w:t>
      </w:r>
    </w:p>
    <w:p>
      <w:pPr>
        <w:spacing w:after="0" w:line="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Notwithstanding anything in the Articles to the contrary:</w:t>
      </w:r>
    </w:p>
    <w:p>
      <w:pPr>
        <w:spacing w:after="0" w:line="131" w:lineRule="exact"/>
        <w:rPr>
          <w:sz w:val="20"/>
          <w:szCs w:val="20"/>
          <w:color w:val="auto"/>
        </w:rPr>
      </w:pPr>
    </w:p>
    <w:p>
      <w:pPr>
        <w:ind w:left="1180" w:right="20" w:hanging="644"/>
        <w:spacing w:after="0" w:line="266" w:lineRule="auto"/>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business brought by a Member (other than the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shall be conducted at any annual general meeting except in accordance with the procedures set forth in this Article; and</w:t>
      </w:r>
    </w:p>
    <w:p>
      <w:pPr>
        <w:spacing w:after="0" w:line="81"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Applicable Law and the rules of any applicable stock exchange or quotation system on which Shares may be then listed or quoted, if a Member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38" w:name="page239"/>
    <w:bookmarkEnd w:id="238"/>
    <w:p>
      <w:pPr>
        <w:ind w:left="1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intending to bring business before an annual general meeting in accordance with this Article does not: (x) timely provide the notifications contemplated by Article 22.4(e) above; or (y) timely appear in person or by proxy at the annual general meeting to present the proposed business, such business shall not be transacted, notwithstanding that proxies in respect of such business may have been received by the Company or any other person or entity.</w:t>
      </w:r>
    </w:p>
    <w:p>
      <w:pPr>
        <w:spacing w:after="0" w:line="85"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22.7</w:t>
        <w:tab/>
        <w:t>Except as otherwise provided by Applicable Law or the Articles, the chairman or co-chairman of any annual general meeting shall have the power and duty to determine whether any business proposed to be brought before an annual general meeting was proposed in accordance with the foregoing procedures (including whether the Member solicited or did not so solicit, as the case may be, proxies in support of such Member’s proposal in compliance with such Member’s representation as required by Article 22.4(d)) and if any business is not proposed in compliance with this Article, to declare that such defective proposal shall be disregarded. The requirements of this Article shall apply to any business to be brought before an annual general meeting by a Member other than nominations of Directors (which must be made in compliance with, and shall be exclusively governed by Article 29 (</w:t>
      </w:r>
      <w:r>
        <w:rPr>
          <w:rFonts w:ascii="Times New Roman" w:cs="Times New Roman" w:eastAsia="Times New Roman" w:hAnsi="Times New Roman"/>
          <w:sz w:val="18"/>
          <w:szCs w:val="18"/>
          <w:i w:val="1"/>
          <w:iCs w:val="1"/>
          <w:color w:val="auto"/>
        </w:rPr>
        <w:t>Nomination of Directors</w:t>
      </w:r>
      <w:r>
        <w:rPr>
          <w:rFonts w:ascii="Times New Roman" w:cs="Times New Roman" w:eastAsia="Times New Roman" w:hAnsi="Times New Roman"/>
          <w:sz w:val="18"/>
          <w:szCs w:val="18"/>
          <w:color w:val="auto"/>
        </w:rPr>
        <w:t>)) and other than matters properly brought under Rule 14a-8 of the Exchange Act. For purposes of the Articles, “</w:t>
      </w:r>
      <w:r>
        <w:rPr>
          <w:rFonts w:ascii="Times New Roman" w:cs="Times New Roman" w:eastAsia="Times New Roman" w:hAnsi="Times New Roman"/>
          <w:sz w:val="18"/>
          <w:szCs w:val="18"/>
          <w:b w:val="1"/>
          <w:bCs w:val="1"/>
          <w:color w:val="auto"/>
        </w:rPr>
        <w:t>public announcement</w:t>
      </w:r>
      <w:r>
        <w:rPr>
          <w:rFonts w:ascii="Times New Roman" w:cs="Times New Roman" w:eastAsia="Times New Roman" w:hAnsi="Times New Roman"/>
          <w:sz w:val="18"/>
          <w:szCs w:val="18"/>
          <w:color w:val="auto"/>
        </w:rPr>
        <w:t>” shall mean:</w:t>
      </w:r>
    </w:p>
    <w:p>
      <w:pPr>
        <w:spacing w:after="0" w:line="97" w:lineRule="exact"/>
        <w:rPr>
          <w:sz w:val="20"/>
          <w:szCs w:val="20"/>
          <w:color w:val="auto"/>
        </w:rPr>
      </w:pPr>
    </w:p>
    <w:p>
      <w:pPr>
        <w:ind w:left="1180" w:right="180" w:hanging="644"/>
        <w:spacing w:after="0" w:line="282" w:lineRule="auto"/>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IPO, notice of the annual general meeting given to Members by or at the direction of the Directors in accordance with the procedures set forth in the Articles; and</w:t>
      </w:r>
    </w:p>
    <w:p>
      <w:pPr>
        <w:spacing w:after="0" w:line="67" w:lineRule="exact"/>
        <w:rPr>
          <w:rFonts w:ascii="Times New Roman" w:cs="Times New Roman" w:eastAsia="Times New Roman" w:hAnsi="Times New Roman"/>
          <w:sz w:val="18"/>
          <w:szCs w:val="18"/>
          <w:color w:val="auto"/>
        </w:rPr>
      </w:pPr>
    </w:p>
    <w:p>
      <w:pPr>
        <w:ind w:left="1180" w:right="520" w:hanging="644"/>
        <w:spacing w:after="0" w:line="266" w:lineRule="auto"/>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IPO, disclosure in a press release of the Company reported by the Dow Jones News Service, Associated Press or comparable news service or in a document publicly filed or furnished by the Company with or to the Securities and Exchange Commission pursuant to section 13, 14 or 15(b) of the Exchange Act.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Nothing in this Article shall be deemed to affect any rights of:</w:t>
      </w:r>
    </w:p>
    <w:p>
      <w:pPr>
        <w:spacing w:after="0" w:line="131" w:lineRule="exact"/>
        <w:rPr>
          <w:sz w:val="20"/>
          <w:szCs w:val="20"/>
          <w:color w:val="auto"/>
        </w:rPr>
      </w:pPr>
    </w:p>
    <w:p>
      <w:pPr>
        <w:ind w:left="1180" w:right="300" w:hanging="644"/>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to request inclusion of proposals in the Company’s proxy statement pursuant to applicable rules and regulations under the Exchange Act; or</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class of Preferred Shares, or any other class of Shares authorised to be issued by the Company, to make proposals pursuant to any applicable provisions thereof.</w:t>
      </w:r>
    </w:p>
    <w:p>
      <w:pPr>
        <w:spacing w:after="0" w:line="67"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22.9</w:t>
        <w:tab/>
        <w:t>Notwithstanding the foregoing provisions of this Article, a Member shall also comply with all applicable requirements of the Exchange Act and the rules and regulations thereunder with respect to the matters set forth in this Article, if applicable.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239" w:name="page240"/>
    <w:bookmarkEnd w:id="23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8"/>
          <w:szCs w:val="18"/>
          <w:b w:val="1"/>
          <w:bCs w:val="1"/>
          <w:color w:val="auto"/>
        </w:rPr>
        <w:t>Proceedings at General Meetings</w:t>
      </w:r>
    </w:p>
    <w:p>
      <w:pPr>
        <w:spacing w:after="0" w:line="135" w:lineRule="exact"/>
        <w:rPr>
          <w:sz w:val="20"/>
          <w:szCs w:val="20"/>
          <w:color w:val="auto"/>
        </w:rPr>
      </w:pPr>
    </w:p>
    <w:p>
      <w:pPr>
        <w:ind w:left="540" w:right="30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4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23.2</w:t>
        <w:tab/>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1"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23.3</w:t>
        <w:tab/>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85"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23.4</w:t>
        <w:tab/>
        <w:t>If a quorum is not present within half an hour from the time appointed for the meeting to commence, the meeting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8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23.5</w:t>
        <w:tab/>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85" w:lineRule="exact"/>
        <w:rPr>
          <w:sz w:val="20"/>
          <w:szCs w:val="20"/>
          <w:color w:val="auto"/>
        </w:rPr>
      </w:pPr>
    </w:p>
    <w:p>
      <w:pPr>
        <w:ind w:left="540" w:right="7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23.6</w:t>
        <w:tab/>
        <w:t>If no Director is willing to act as chairman or if no Director is present within fifteen minutes after the time appointed for the meeting to commence, the Members present shall choose one of their number to be chairman of the meeting.</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23.7</w:t>
        <w:tab/>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When a general meeting is adjourned for thirty days or more, notice of the adjourned meeting shall be given as in the case of an original meeting.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Otherwise it shall not be necessary to give any such notice of an adjourned meeting.</w:t>
      </w:r>
    </w:p>
    <w:p>
      <w:pPr>
        <w:spacing w:after="0" w:line="112"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23.9</w:t>
        <w:tab/>
        <w:t>If, prior to a Business Combination, a notice is issued in respect of a general meeting and the Directors, in their absolute discretion, consider that it is impractical or undesirable for any reason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240" w:name="page241"/>
    <w:bookmarkEnd w:id="240"/>
    <w:p>
      <w:pPr>
        <w:ind w:left="5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5" w:lineRule="exact"/>
        <w:rPr>
          <w:sz w:val="20"/>
          <w:szCs w:val="20"/>
          <w:color w:val="auto"/>
        </w:rPr>
      </w:pPr>
    </w:p>
    <w:p>
      <w:pPr>
        <w:ind w:left="540" w:right="140" w:hanging="539"/>
        <w:spacing w:after="0" w:line="289" w:lineRule="auto"/>
        <w:rPr>
          <w:sz w:val="20"/>
          <w:szCs w:val="20"/>
          <w:color w:val="auto"/>
        </w:rPr>
      </w:pPr>
      <w:r>
        <w:rPr>
          <w:rFonts w:ascii="Times New Roman" w:cs="Times New Roman" w:eastAsia="Times New Roman" w:hAnsi="Times New Roman"/>
          <w:sz w:val="17"/>
          <w:szCs w:val="17"/>
          <w:color w:val="auto"/>
        </w:rPr>
        <w:t>23.10 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23.11  A resolution put to the vote of the meeting shall be decided on a poll.</w:t>
      </w:r>
    </w:p>
    <w:p>
      <w:pPr>
        <w:spacing w:after="0" w:line="131" w:lineRule="exact"/>
        <w:rPr>
          <w:sz w:val="20"/>
          <w:szCs w:val="20"/>
          <w:color w:val="auto"/>
        </w:rPr>
      </w:pPr>
    </w:p>
    <w:p>
      <w:pPr>
        <w:ind w:left="540" w:right="200" w:hanging="539"/>
        <w:spacing w:after="0" w:line="282" w:lineRule="auto"/>
        <w:rPr>
          <w:sz w:val="20"/>
          <w:szCs w:val="20"/>
          <w:color w:val="auto"/>
        </w:rPr>
      </w:pPr>
      <w:r>
        <w:rPr>
          <w:rFonts w:ascii="Times New Roman" w:cs="Times New Roman" w:eastAsia="Times New Roman" w:hAnsi="Times New Roman"/>
          <w:sz w:val="18"/>
          <w:szCs w:val="18"/>
          <w:color w:val="auto"/>
        </w:rPr>
        <w:t>23.12 A poll shall be taken as the chairman directs, and the result of the poll shall be deemed to be the resolution of the general meeting at which the poll was demanded.</w:t>
      </w:r>
    </w:p>
    <w:p>
      <w:pPr>
        <w:spacing w:after="0" w:line="67" w:lineRule="exact"/>
        <w:rPr>
          <w:sz w:val="20"/>
          <w:szCs w:val="20"/>
          <w:color w:val="auto"/>
        </w:rPr>
      </w:pPr>
    </w:p>
    <w:p>
      <w:pPr>
        <w:jc w:val="both"/>
        <w:ind w:left="540" w:right="40" w:hanging="539"/>
        <w:spacing w:after="0" w:line="266" w:lineRule="auto"/>
        <w:rPr>
          <w:sz w:val="20"/>
          <w:szCs w:val="20"/>
          <w:color w:val="auto"/>
        </w:rPr>
      </w:pPr>
      <w:r>
        <w:rPr>
          <w:rFonts w:ascii="Times New Roman" w:cs="Times New Roman" w:eastAsia="Times New Roman" w:hAnsi="Times New Roman"/>
          <w:sz w:val="18"/>
          <w:szCs w:val="18"/>
          <w:color w:val="auto"/>
        </w:rPr>
        <w:t>23.13 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23.14  In the case of an equality of votes the chairman shall be entitled to a second or casting vote.</w:t>
      </w:r>
    </w:p>
    <w:p>
      <w:pPr>
        <w:spacing w:after="0" w:line="37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Votes of Members</w:t>
      </w:r>
    </w:p>
    <w:p>
      <w:pPr>
        <w:spacing w:after="0" w:line="135"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24.1</w:t>
        <w:tab/>
        <w:t>Subject to any rights or restrictions attached to any Shares, including as set out at Article 29.1, every Member present in any such manner shall have one vote for every Share of which he is the holder.</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24.2</w:t>
        <w:tab/>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81"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24.3</w:t>
        <w:tab/>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8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24.4</w:t>
        <w:tab/>
        <w:t>No person shall be entitled to vote at any general meeting unless he is registered as a Member on the record date for such meeting nor unless all calls or other monies then payable by him in respect of Shares have been paid.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41" w:name="page242"/>
    <w:bookmarkEnd w:id="241"/>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24.5</w:t>
        <w:tab/>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81"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24.6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85"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24.7</w:t>
        <w:tab/>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Proxies</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25.1</w:t>
        <w:tab/>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81" w:lineRule="exact"/>
        <w:rPr>
          <w:sz w:val="20"/>
          <w:szCs w:val="20"/>
          <w:color w:val="auto"/>
        </w:rPr>
      </w:pPr>
    </w:p>
    <w:p>
      <w:pPr>
        <w:jc w:val="both"/>
        <w:ind w:left="540" w:hanging="539"/>
        <w:spacing w:after="0" w:line="272" w:lineRule="auto"/>
        <w:tabs>
          <w:tab w:leader="none" w:pos="520"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w:t>
      </w:r>
    </w:p>
    <w:p>
      <w:pPr>
        <w:spacing w:after="0" w:line="2" w:lineRule="exact"/>
        <w:rPr>
          <w:sz w:val="20"/>
          <w:szCs w:val="20"/>
          <w:color w:val="auto"/>
        </w:rPr>
      </w:pPr>
    </w:p>
    <w:p>
      <w:pPr>
        <w:jc w:val="both"/>
        <w:ind w:left="540" w:right="140"/>
        <w:spacing w:after="0" w:line="255" w:lineRule="auto"/>
        <w:rPr>
          <w:sz w:val="20"/>
          <w:szCs w:val="20"/>
          <w:color w:val="auto"/>
        </w:rPr>
      </w:pPr>
      <w:r>
        <w:rPr>
          <w:rFonts w:ascii="Times New Roman" w:cs="Times New Roman" w:eastAsia="Times New Roman" w:hAnsi="Times New Roman"/>
          <w:sz w:val="18"/>
          <w:szCs w:val="18"/>
          <w:color w:val="auto"/>
        </w:rPr>
        <w:t>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91"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25.3</w:t>
        <w:tab/>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81" w:lineRule="exact"/>
        <w:rPr>
          <w:sz w:val="20"/>
          <w:szCs w:val="20"/>
          <w:color w:val="auto"/>
        </w:rPr>
      </w:pPr>
    </w:p>
    <w:p>
      <w:pPr>
        <w:ind w:left="540" w:right="5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25.4</w:t>
        <w:tab/>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242" w:name="page243"/>
    <w:bookmarkEnd w:id="242"/>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25.5</w:t>
        <w:tab/>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2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Corporate Members</w:t>
      </w:r>
    </w:p>
    <w:p>
      <w:pPr>
        <w:spacing w:after="0" w:line="135" w:lineRule="exact"/>
        <w:rPr>
          <w:sz w:val="20"/>
          <w:szCs w:val="20"/>
          <w:color w:val="auto"/>
        </w:rPr>
      </w:pPr>
    </w:p>
    <w:p>
      <w:pPr>
        <w:jc w:val="both"/>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26.1</w:t>
        <w:tab/>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8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26.2</w:t>
        <w:tab/>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28" w:lineRule="exact"/>
        <w:rPr>
          <w:sz w:val="20"/>
          <w:szCs w:val="20"/>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that May Not be Voted</w:t>
      </w:r>
    </w:p>
    <w:p>
      <w:pPr>
        <w:spacing w:after="0" w:line="121" w:lineRule="exact"/>
        <w:rPr>
          <w:rFonts w:ascii="Times New Roman" w:cs="Times New Roman" w:eastAsia="Times New Roman" w:hAnsi="Times New Roman"/>
          <w:sz w:val="18"/>
          <w:szCs w:val="18"/>
          <w:b w:val="1"/>
          <w:bCs w:val="1"/>
          <w:color w:val="auto"/>
        </w:rPr>
      </w:pPr>
    </w:p>
    <w:p>
      <w:pPr>
        <w:ind w:left="5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35"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28.1</w:t>
        <w:tab/>
        <w:t>There shall be a board of Directors consisting of not less than one person provided however that the Company may by Ordinary Resolution increase or reduce the limits in the number of Directors.</w:t>
      </w:r>
    </w:p>
    <w:p>
      <w:pPr>
        <w:spacing w:after="0" w:line="67" w:lineRule="exact"/>
        <w:rPr>
          <w:sz w:val="20"/>
          <w:szCs w:val="20"/>
          <w:color w:val="auto"/>
        </w:rPr>
      </w:pPr>
    </w:p>
    <w:p>
      <w:pPr>
        <w:ind w:left="544" w:right="6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28.2</w:t>
        <w:tab/>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appointed for a term expiring at the Company’s first annual general meeting, the Class II Directors shall stand appointed for a term expiring at the Company’s second annual general meeting and the Class III Directors shall stand appointed for a term</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43" w:name="page244"/>
    <w:bookmarkEnd w:id="243"/>
    <w:p>
      <w:pPr>
        <w:ind w:left="5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expiring at the Company’s third annual general meeting. Commencing at the Company’s first annual general meeting, and at each annual general meeting thereafter, Directors appointed to succeed those Directors whose terms expire shall be appointed for a term of office to expire at the third succeeding annual general meeting after their appointment.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may be filled by the vote of a majority of the remaining Directors then in office, although less than a quorum (as defined in the Articles), or by the sole remaining Director. All Directors shall hold office until the expiration of their respective terms of office and until their successors shall have been appointed and qualified. A Director appointed to fill a vacancy resulting from the death, resignation or removal of a Director shall serve for the remainder of the full term of the Director whose death, resignation or removal shall have created such vacancy and until his successor shall have been appointed and qualified.</w:t>
      </w:r>
    </w:p>
    <w:p>
      <w:pPr>
        <w:spacing w:after="0" w:line="3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Nomination of Directors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29.1</w:t>
        <w:tab/>
        <w:t>Subject to Article 31.1, nominations of persons for election as Directors may be made at an annual general meeting only by:</w:t>
      </w:r>
    </w:p>
    <w:p>
      <w:pPr>
        <w:spacing w:after="0" w:line="131" w:lineRule="exact"/>
        <w:rPr>
          <w:sz w:val="20"/>
          <w:szCs w:val="20"/>
          <w:color w:val="auto"/>
        </w:rPr>
      </w:pPr>
    </w:p>
    <w:p>
      <w:pPr>
        <w:ind w:left="1180" w:hanging="644"/>
        <w:spacing w:after="0"/>
        <w:tabs>
          <w:tab w:leader="none" w:pos="1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Member who:</w:t>
      </w:r>
    </w:p>
    <w:p>
      <w:pPr>
        <w:spacing w:after="0" w:line="130" w:lineRule="exact"/>
        <w:rPr>
          <w:rFonts w:ascii="Times New Roman" w:cs="Times New Roman" w:eastAsia="Times New Roman" w:hAnsi="Times New Roman"/>
          <w:sz w:val="18"/>
          <w:szCs w:val="18"/>
          <w:color w:val="auto"/>
        </w:rPr>
      </w:pPr>
    </w:p>
    <w:p>
      <w:pPr>
        <w:ind w:left="1740" w:right="500" w:hanging="543"/>
        <w:spacing w:after="0" w:line="282" w:lineRule="auto"/>
        <w:tabs>
          <w:tab w:leader="none" w:pos="17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Minimum Member at the time of giving of the notice provided for in this Article and at the time of the annual general meeting;</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vote for the appointments at such annual general meeting; and</w:t>
      </w:r>
    </w:p>
    <w:p>
      <w:pPr>
        <w:spacing w:after="0" w:line="130" w:lineRule="exact"/>
        <w:rPr>
          <w:rFonts w:ascii="Times New Roman" w:cs="Times New Roman" w:eastAsia="Times New Roman" w:hAnsi="Times New Roman"/>
          <w:sz w:val="18"/>
          <w:szCs w:val="18"/>
          <w:color w:val="auto"/>
        </w:rPr>
      </w:pPr>
    </w:p>
    <w:p>
      <w:pPr>
        <w:jc w:val="both"/>
        <w:ind w:left="1740" w:right="200" w:hanging="543"/>
        <w:spacing w:after="0" w:line="266" w:lineRule="auto"/>
        <w:tabs>
          <w:tab w:leader="none" w:pos="174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notice procedures set forth in this Article (notwithstanding anything to the contrary set forth in the Articles, this Article 29.1(b) shall be the exclusive means for a Member to make nominations of persons for election of Directors at an annual general meeting).</w:t>
      </w:r>
    </w:p>
    <w:p>
      <w:pPr>
        <w:spacing w:after="0" w:line="81" w:lineRule="exact"/>
        <w:rPr>
          <w:sz w:val="20"/>
          <w:szCs w:val="20"/>
          <w:color w:val="auto"/>
        </w:rPr>
      </w:pPr>
    </w:p>
    <w:p>
      <w:pPr>
        <w:ind w:left="540" w:right="18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29.2</w:t>
        <w:tab/>
        <w:t>Any Member entitled to vote for the elections may nominate a person or persons for election as Directors only if written notice of such Member’s intent to make such nomination is given in accordance with the procedures set forth in this Article, either by personal delivery or express or registered mail (postage prepaid), to the Company not earlier than the close of business on the 120th day and not later than the close of business on the 90th day prior to the one-year anniversary of the date of the annual general meeting for the immediately preceding year. However, in the event that the date of the annual general meeting is more than thirty days before or after such anniversary date, in order to be timely, a Member’s notice must be received by the Company not later than the later of: (x) the close of business ninety days prior to the date of such annual general meeting; and (y) if the first public announcement of the date of such advanced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44" w:name="page245"/>
    <w:bookmarkEnd w:id="244"/>
    <w:p>
      <w:pPr>
        <w:ind w:left="54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delayed annual general meeting is less than one hundred days prior to such date, ten days following the date of the first public announcement of the annual general meeting date. In no event shall the public announcement of an adjournment or postponement of an annual general meeting, or such adjournment or postponement, commence a new time period or otherwise extend any time period for the giving of a Member’s notice as described herein. Members may nominate a person or persons (as the case may be) for election to the Directors only as provided in this Article and only for such class(es) as are specified in the notice of annual general meeting as being up for election at such annual general meeting.</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29.3</w:t>
      </w:r>
      <w:r>
        <w:rPr>
          <w:sz w:val="20"/>
          <w:szCs w:val="20"/>
          <w:color w:val="auto"/>
        </w:rPr>
        <w:tab/>
      </w:r>
      <w:r>
        <w:rPr>
          <w:rFonts w:ascii="Times New Roman" w:cs="Times New Roman" w:eastAsia="Times New Roman" w:hAnsi="Times New Roman"/>
          <w:sz w:val="17"/>
          <w:szCs w:val="17"/>
          <w:color w:val="auto"/>
        </w:rPr>
        <w:t>Each such notice of a Member’s intent to make a nomination of a Director shall set forth:</w:t>
      </w:r>
    </w:p>
    <w:p>
      <w:pPr>
        <w:spacing w:after="0" w:line="131" w:lineRule="exact"/>
        <w:rPr>
          <w:sz w:val="20"/>
          <w:szCs w:val="20"/>
          <w:color w:val="auto"/>
        </w:rPr>
      </w:pPr>
    </w:p>
    <w:p>
      <w:pPr>
        <w:ind w:left="1180" w:hanging="644"/>
        <w:spacing w:after="0"/>
        <w:tabs>
          <w:tab w:leader="none" w:pos="11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Member giving notice and any beneficial owner on whose behalf the nomination is made:</w:t>
      </w:r>
    </w:p>
    <w:p>
      <w:pPr>
        <w:spacing w:after="0" w:line="130"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Member (as it appears in the Register of Members) and any such beneficial owner on whose behalf the nomination is made;</w:t>
      </w:r>
    </w:p>
    <w:p>
      <w:pPr>
        <w:spacing w:after="0" w:line="67"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which are, directly or indirectly, owned beneficially and of record by such Member and any such beneficial owner, respectively, or their respective Affiliates (naming such Affiliates), as at the date of such notice;</w:t>
      </w:r>
    </w:p>
    <w:p>
      <w:pPr>
        <w:spacing w:after="0" w:line="67" w:lineRule="exact"/>
        <w:rPr>
          <w:rFonts w:ascii="Times New Roman" w:cs="Times New Roman" w:eastAsia="Times New Roman" w:hAnsi="Times New Roman"/>
          <w:sz w:val="18"/>
          <w:szCs w:val="18"/>
          <w:color w:val="auto"/>
        </w:rPr>
      </w:pPr>
    </w:p>
    <w:p>
      <w:pPr>
        <w:ind w:left="1740" w:right="140" w:hanging="543"/>
        <w:spacing w:after="0" w:line="282"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Covered Arrangement to which such Member or beneficial owner, or their respective Affiliates, directly or indirectly, is a party as at the date of such notice;</w:t>
      </w:r>
    </w:p>
    <w:p>
      <w:pPr>
        <w:spacing w:after="0" w:line="67" w:lineRule="exact"/>
        <w:rPr>
          <w:rFonts w:ascii="Times New Roman" w:cs="Times New Roman" w:eastAsia="Times New Roman" w:hAnsi="Times New Roman"/>
          <w:sz w:val="18"/>
          <w:szCs w:val="18"/>
          <w:color w:val="auto"/>
        </w:rPr>
      </w:pPr>
    </w:p>
    <w:p>
      <w:pPr>
        <w:jc w:val="both"/>
        <w:ind w:left="1740" w:right="120" w:hanging="543"/>
        <w:spacing w:after="0" w:line="266"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Member and any such beneficial owner that would be required to be disclosed in a proxy statement in connection with a solicitation of proxies for the election of Directors in a contested election pursuant to section 14 of the Exchange Act; and</w:t>
      </w:r>
    </w:p>
    <w:p>
      <w:pPr>
        <w:spacing w:after="0" w:line="81" w:lineRule="exact"/>
        <w:rPr>
          <w:rFonts w:ascii="Times New Roman" w:cs="Times New Roman" w:eastAsia="Times New Roman" w:hAnsi="Times New Roman"/>
          <w:sz w:val="18"/>
          <w:szCs w:val="18"/>
          <w:color w:val="auto"/>
        </w:rPr>
      </w:pPr>
    </w:p>
    <w:p>
      <w:pPr>
        <w:ind w:left="1740" w:right="240" w:hanging="543"/>
        <w:spacing w:after="0" w:line="282" w:lineRule="auto"/>
        <w:tabs>
          <w:tab w:leader="none" w:pos="174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Member is a holder of record of Shares entitled to vote at such annual general meeting and intends to appear in person or by proxy at the meeting to nominate the person or persons specified in such Member’s notice;</w:t>
      </w:r>
    </w:p>
    <w:p>
      <w:pPr>
        <w:spacing w:after="0" w:line="67"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the Member or any beneficial owner, or their respective Affiliates, and each nominee or any other person or persons (naming such person or persons) pursuant to which the nomination or nominations are to be made by the Member;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245" w:name="page246"/>
    <w:bookmarkEnd w:id="245"/>
    <w:p>
      <w:pPr>
        <w:ind w:left="1180" w:hanging="644"/>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representation whether the Member or the beneficial owner is or intends to be part of a Group which intends:</w:t>
      </w:r>
    </w:p>
    <w:p>
      <w:pPr>
        <w:spacing w:after="0" w:line="130"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a proxy statement and/or form of proxy to holders of at least the percentage of the Ordinary Shares (or other Shares) required to elect the Director or Directors nominated; and/or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solicit proxies from Members in support of such nomination or nominations;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Member proposes to nominate for election or re-election as a Director:</w:t>
      </w:r>
    </w:p>
    <w:p>
      <w:pPr>
        <w:spacing w:after="0" w:line="130" w:lineRule="exact"/>
        <w:rPr>
          <w:rFonts w:ascii="Times New Roman" w:cs="Times New Roman" w:eastAsia="Times New Roman" w:hAnsi="Times New Roman"/>
          <w:sz w:val="18"/>
          <w:szCs w:val="18"/>
          <w:color w:val="auto"/>
        </w:rPr>
      </w:pPr>
    </w:p>
    <w:p>
      <w:pPr>
        <w:ind w:left="1740" w:right="80" w:hanging="543"/>
        <w:spacing w:after="0" w:line="282" w:lineRule="auto"/>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as would have been required to be included in a proxy statement filed in connection with a solicitation of proxies for the election of Directors in a contested election pursuant to section 14 of the Exchange Act;</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Covered Arrangement to which such nominee or any of his Affiliates is a party as at the date of such notice</w:t>
      </w:r>
    </w:p>
    <w:p>
      <w:pPr>
        <w:spacing w:after="0" w:line="130" w:lineRule="exact"/>
        <w:rPr>
          <w:rFonts w:ascii="Times New Roman" w:cs="Times New Roman" w:eastAsia="Times New Roman" w:hAnsi="Times New Roman"/>
          <w:sz w:val="18"/>
          <w:szCs w:val="18"/>
          <w:color w:val="auto"/>
        </w:rPr>
      </w:pPr>
    </w:p>
    <w:p>
      <w:pPr>
        <w:ind w:left="1740" w:right="480" w:hanging="543"/>
        <w:spacing w:after="0" w:line="282" w:lineRule="auto"/>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nominee to being named in the proxy statement as a nominee and to serving as a Director if so elected; and</w:t>
      </w:r>
    </w:p>
    <w:p>
      <w:pPr>
        <w:spacing w:after="0" w:line="67" w:lineRule="exact"/>
        <w:rPr>
          <w:rFonts w:ascii="Times New Roman" w:cs="Times New Roman" w:eastAsia="Times New Roman" w:hAnsi="Times New Roman"/>
          <w:sz w:val="18"/>
          <w:szCs w:val="18"/>
          <w:color w:val="auto"/>
        </w:rPr>
      </w:pPr>
    </w:p>
    <w:p>
      <w:pPr>
        <w:ind w:left="1740" w:right="160" w:hanging="543"/>
        <w:spacing w:after="0" w:line="266" w:lineRule="auto"/>
        <w:tabs>
          <w:tab w:leader="none" w:pos="17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if elected, the nominee intends to tender any advance resignation notice(s) requested by the Directors in connection with subsequent elections, such advance resignation to be contingent upon the nominee’s failure to receive a majority vote and acceptance of such resignation by the Directors; and</w:t>
      </w:r>
    </w:p>
    <w:p>
      <w:pPr>
        <w:spacing w:after="0" w:line="81" w:lineRule="exact"/>
        <w:rPr>
          <w:rFonts w:ascii="Times New Roman" w:cs="Times New Roman" w:eastAsia="Times New Roman" w:hAnsi="Times New Roman"/>
          <w:sz w:val="18"/>
          <w:szCs w:val="18"/>
          <w:color w:val="auto"/>
        </w:rPr>
      </w:pPr>
    </w:p>
    <w:p>
      <w:pPr>
        <w:ind w:left="1180" w:hanging="644"/>
        <w:spacing w:after="0" w:line="258" w:lineRule="auto"/>
        <w:tabs>
          <w:tab w:leader="none" w:pos="1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by the Member of record and each beneficial owner, if any, to (i) notify the Company in writing of the information set forth in Articles 29.3(a)(ii), (a)(iii), (b) and (d) above as at the record date for the annual general meeting promptly (and, in any event, within five business days) following the later of the record date or the date notice of the record date is first disclosed by public announcement and (ii) update such information thereafter within two business days of any change in such information and, in any event, as at close of business on the day preceding the meeting date.</w:t>
      </w:r>
    </w:p>
    <w:p>
      <w:pPr>
        <w:spacing w:after="0" w:line="89"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29.4</w:t>
        <w:tab/>
        <w:t>No person shall be eligible for election as a Director unless nominated in accordance with the procedures set forth in the Articles. Except as otherwise provided by Applicable Law or the Articles, the chairman or co-chairman of any annual general meeting to elect Directors or the Directors may, if the facts warrant, determine that a nomination was not made in compliance with the foregoing procedure or if the Member solicits proxies in support of such Member’s nominee(s) without such Member having made the representation required by Article 29.3(c); and if the chairman, co-chairman or the Directors should so determine, it shall be so declared to the annual general meeting, and the defective nomination shall be disregarded. Notwithstanding anything in the Articles to the contrary, unless otherwise required by Applicable Law or the rules of the Designated Stock Exchange or quotation system on which Shares may be then listed or quoted,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246" w:name="page247"/>
    <w:bookmarkEnd w:id="246"/>
    <w:p>
      <w:pPr>
        <w:ind w:left="5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Member intending to make a nomination at an annual general meeting in accordance with this Article does not:</w:t>
      </w:r>
    </w:p>
    <w:p>
      <w:pPr>
        <w:spacing w:after="0" w:line="131" w:lineRule="exact"/>
        <w:rPr>
          <w:sz w:val="20"/>
          <w:szCs w:val="20"/>
          <w:color w:val="auto"/>
        </w:rPr>
      </w:pPr>
    </w:p>
    <w:p>
      <w:pPr>
        <w:ind w:left="1160" w:hanging="644"/>
        <w:spacing w:after="0"/>
        <w:tabs>
          <w:tab w:leader="none" w:pos="11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provide the notifications contemplated by of Article 29.3(e); or</w:t>
      </w:r>
    </w:p>
    <w:p>
      <w:pPr>
        <w:spacing w:after="0" w:line="130" w:lineRule="exact"/>
        <w:rPr>
          <w:rFonts w:ascii="Times New Roman" w:cs="Times New Roman" w:eastAsia="Times New Roman" w:hAnsi="Times New Roman"/>
          <w:sz w:val="18"/>
          <w:szCs w:val="18"/>
          <w:color w:val="auto"/>
        </w:rPr>
      </w:pPr>
    </w:p>
    <w:p>
      <w:pPr>
        <w:ind w:left="1160" w:right="380" w:hanging="644"/>
        <w:spacing w:after="0" w:line="282" w:lineRule="auto"/>
        <w:tabs>
          <w:tab w:leader="none" w:pos="11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appear in person or by proxy at the annual general meeting to present the nomination, such nomination shall be disregarded, notwithstanding that proxies in respect of such nomination may have been received by the Company or any other person or entity.</w:t>
      </w:r>
    </w:p>
    <w:p>
      <w:pPr>
        <w:spacing w:after="0" w:line="67" w:lineRule="exact"/>
        <w:rPr>
          <w:sz w:val="20"/>
          <w:szCs w:val="20"/>
          <w:color w:val="auto"/>
        </w:rPr>
      </w:pPr>
    </w:p>
    <w:p>
      <w:pPr>
        <w:ind w:left="520" w:right="40" w:hanging="539"/>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29.5</w:t>
        <w:tab/>
        <w:t>Notwithstanding the foregoing provisions of this Article, any Member intending to make a nomination at an annual general meeting in accordance with this Article, and each related beneficial owner, if any, shall also comply with all requirements of the Exchange Act and the rules and regulations thereunder applicable to the same extent as if the Shares were registered under the Exchange Act with respect to the matters set forth in the Articles; provided, however, that any references in the Articles to the Exchange Act are not intended to and shall not limit the requirements applicable to nominations made or intended to be made in accordance with Article 29.1(b).</w:t>
      </w:r>
    </w:p>
    <w:p>
      <w:pPr>
        <w:spacing w:after="0" w:line="89" w:lineRule="exact"/>
        <w:rPr>
          <w:sz w:val="20"/>
          <w:szCs w:val="20"/>
          <w:color w:val="auto"/>
        </w:rPr>
      </w:pPr>
    </w:p>
    <w:p>
      <w:pPr>
        <w:ind w:left="520" w:hanging="539"/>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29.6</w:t>
        <w:tab/>
        <w:t>Nothing in this Article shall be deemed to affect any rights of the holders of any class of Preferred Shares, or any other class of Shares authorised to be issued by the Company, to appoint Directors pursuant to the terms thereof.</w:t>
      </w:r>
    </w:p>
    <w:p>
      <w:pPr>
        <w:spacing w:after="0" w:line="67" w:lineRule="exact"/>
        <w:rPr>
          <w:sz w:val="20"/>
          <w:szCs w:val="20"/>
          <w:color w:val="auto"/>
        </w:rPr>
      </w:pPr>
    </w:p>
    <w:p>
      <w:pPr>
        <w:ind w:left="520" w:right="60" w:hanging="539"/>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29.7</w:t>
        <w:tab/>
        <w:t>To be eligible to be a nominee for election or re-election as a Director pursuant to Article 29.1(b), a person must deliver (not later than the deadline prescribed for delivery of notice) to the Company a written questionnaire prepared by the Company with respect to the background and qualification of such person and the background of any other person or entity on whose behalf the nomination is being made (which questionnaire shall be provided by the Company upon written request) and a written representation and agreement (in the form provided by the Company upon written request) that such person:</w:t>
      </w:r>
    </w:p>
    <w:p>
      <w:pPr>
        <w:spacing w:after="0" w:line="89" w:lineRule="exact"/>
        <w:rPr>
          <w:sz w:val="20"/>
          <w:szCs w:val="20"/>
          <w:color w:val="auto"/>
        </w:rPr>
      </w:pPr>
    </w:p>
    <w:p>
      <w:pPr>
        <w:ind w:left="1160" w:hanging="644"/>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w:t>
      </w:r>
    </w:p>
    <w:p>
      <w:pPr>
        <w:spacing w:after="0" w:line="130" w:lineRule="exact"/>
        <w:rPr>
          <w:rFonts w:ascii="Times New Roman" w:cs="Times New Roman" w:eastAsia="Times New Roman" w:hAnsi="Times New Roman"/>
          <w:sz w:val="18"/>
          <w:szCs w:val="18"/>
          <w:color w:val="auto"/>
        </w:rPr>
      </w:pPr>
    </w:p>
    <w:p>
      <w:pPr>
        <w:ind w:left="1720" w:right="140" w:hanging="543"/>
        <w:spacing w:after="0" w:line="266" w:lineRule="auto"/>
        <w:tabs>
          <w:tab w:leader="none" w:pos="17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with, and has not given any commitment or assurance to, any person or entity as to how such person, if elected as a Director, will act or vote on any issue or question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that has not been disclosed to the Company; or</w:t>
      </w:r>
    </w:p>
    <w:p>
      <w:pPr>
        <w:spacing w:after="0" w:line="81" w:lineRule="exact"/>
        <w:rPr>
          <w:rFonts w:ascii="Times New Roman" w:cs="Times New Roman" w:eastAsia="Times New Roman" w:hAnsi="Times New Roman"/>
          <w:sz w:val="18"/>
          <w:szCs w:val="18"/>
          <w:color w:val="auto"/>
        </w:rPr>
      </w:pPr>
    </w:p>
    <w:p>
      <w:pPr>
        <w:ind w:left="1720" w:right="340" w:hanging="543"/>
        <w:spacing w:after="0" w:line="282" w:lineRule="auto"/>
        <w:tabs>
          <w:tab w:leader="none" w:pos="17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Commitment that could limit or interfere with such person’s ability to comply, if elected as a Director, with such person’s duties under Applicable Law;</w:t>
      </w:r>
    </w:p>
    <w:p>
      <w:pPr>
        <w:spacing w:after="0" w:line="67" w:lineRule="exact"/>
        <w:rPr>
          <w:rFonts w:ascii="Times New Roman" w:cs="Times New Roman" w:eastAsia="Times New Roman" w:hAnsi="Times New Roman"/>
          <w:sz w:val="18"/>
          <w:szCs w:val="18"/>
          <w:color w:val="auto"/>
        </w:rPr>
      </w:pPr>
    </w:p>
    <w:p>
      <w:pPr>
        <w:ind w:left="1160" w:right="40" w:hanging="644"/>
        <w:spacing w:after="0" w:line="266" w:lineRule="auto"/>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247" w:name="page248"/>
    <w:bookmarkEnd w:id="247"/>
    <w:p>
      <w:pPr>
        <w:ind w:left="1180" w:right="160" w:hanging="644"/>
        <w:spacing w:after="0" w:line="289" w:lineRule="auto"/>
        <w:tabs>
          <w:tab w:leader="none" w:pos="118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such person’s individual capacity and on behalf of any person or entity on whose behalf the nomination is being made, would be in compliance, if elected as a Director, and will comply with, Applicable Law and corporate governance, conflict of interest, confidentiality and share ownership and trading policies and guidelines of the Company that are applicable to Directors generally; and</w:t>
      </w:r>
    </w:p>
    <w:p>
      <w:pPr>
        <w:spacing w:after="0" w:line="63" w:lineRule="exact"/>
        <w:rPr>
          <w:rFonts w:ascii="Times New Roman" w:cs="Times New Roman" w:eastAsia="Times New Roman" w:hAnsi="Times New Roman"/>
          <w:sz w:val="17"/>
          <w:szCs w:val="17"/>
          <w:color w:val="auto"/>
        </w:rPr>
      </w:pPr>
    </w:p>
    <w:p>
      <w:pPr>
        <w:ind w:left="1180" w:right="20" w:hanging="644"/>
        <w:spacing w:after="0" w:line="256" w:lineRule="auto"/>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a Director, will act in the best interests of the Company and not in the interest of any individual constituency. The Nominating and Corporate Governance Committee shall review all such information submitted by the Member with respect to the proposed nominee and determine whether such nominee is eligible to act as a Director. The Company and the Nominating and Corporate Governance Committee may require any proposed nominee to furnish such other information as may reasonably be required by the Company to determine the eligibility of such proposed nominee to serve as an independent Director or that could be material to a reasonable Member’s understanding of the independence, or lack thereof, of such nominee.</w:t>
      </w:r>
    </w:p>
    <w:p>
      <w:pPr>
        <w:spacing w:after="0" w:line="93"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29.8</w:t>
        <w:tab/>
        <w:t>At the request of the Directors, any person nominated for election as a Director shall furnish to the Company the information that is required to be set forth in a Members’ notice of nomination pursuant to this Article.</w:t>
      </w:r>
    </w:p>
    <w:p>
      <w:pPr>
        <w:spacing w:after="0" w:line="67"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29.9</w:t>
        <w:tab/>
        <w:t>Any Member proposing to nominate a person or persons for election as Director shall be responsible for, and bear the costs associated with, soliciting votes from any other voting Member and distributing materials to such Members prior to the annual general meeting in accordance with the Articles and applicable rules of the Securities and Exchange Commission. A Member shall include any person or persons such Member intends to nominate for election as Director in its own proxy statement and proxy card.</w:t>
      </w:r>
    </w:p>
    <w:p>
      <w:pPr>
        <w:spacing w:after="0" w:line="3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8"/>
          <w:szCs w:val="18"/>
          <w:b w:val="1"/>
          <w:bCs w:val="1"/>
          <w:color w:val="auto"/>
        </w:rPr>
        <w:t>Powers of Directors</w:t>
      </w:r>
    </w:p>
    <w:p>
      <w:pPr>
        <w:spacing w:after="0" w:line="135" w:lineRule="exact"/>
        <w:rPr>
          <w:sz w:val="20"/>
          <w:szCs w:val="20"/>
          <w:color w:val="auto"/>
        </w:rPr>
      </w:pPr>
    </w:p>
    <w:p>
      <w:pPr>
        <w:jc w:val="both"/>
        <w:ind w:left="540" w:hanging="539"/>
        <w:spacing w:after="0" w:line="281" w:lineRule="auto"/>
        <w:tabs>
          <w:tab w:leader="none" w:pos="520" w:val="left"/>
        </w:tabs>
        <w:rPr>
          <w:sz w:val="20"/>
          <w:szCs w:val="20"/>
          <w:color w:val="auto"/>
        </w:rPr>
      </w:pPr>
      <w:r>
        <w:rPr>
          <w:rFonts w:ascii="Times New Roman" w:cs="Times New Roman" w:eastAsia="Times New Roman" w:hAnsi="Times New Roman"/>
          <w:sz w:val="18"/>
          <w:szCs w:val="18"/>
          <w:color w:val="auto"/>
        </w:rPr>
        <w:t>30.1</w:t>
      </w:r>
      <w:r>
        <w:rPr>
          <w:sz w:val="20"/>
          <w:szCs w:val="20"/>
          <w:color w:val="auto"/>
        </w:rPr>
        <w:tab/>
      </w:r>
      <w:r>
        <w:rPr>
          <w:rFonts w:ascii="Times New Roman" w:cs="Times New Roman" w:eastAsia="Times New Roman" w:hAnsi="Times New Roman"/>
          <w:sz w:val="17"/>
          <w:szCs w:val="17"/>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jc w:val="both"/>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30.3</w:t>
        <w:tab/>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48" w:name="page249"/>
    <w:bookmarkEnd w:id="248"/>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30.4</w:t>
        <w:tab/>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32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Appointment and Removal of Directors</w:t>
      </w:r>
    </w:p>
    <w:p>
      <w:pPr>
        <w:spacing w:after="0" w:line="135" w:lineRule="exact"/>
        <w:rPr>
          <w:sz w:val="20"/>
          <w:szCs w:val="20"/>
          <w:color w:val="auto"/>
        </w:rPr>
      </w:pPr>
    </w:p>
    <w:p>
      <w:pPr>
        <w:ind w:left="544" w:right="2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31.1</w:t>
        <w:tab/>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85" w:lineRule="exact"/>
        <w:rPr>
          <w:sz w:val="20"/>
          <w:szCs w:val="20"/>
          <w:color w:val="auto"/>
        </w:rPr>
      </w:pPr>
    </w:p>
    <w:p>
      <w:pPr>
        <w:ind w:left="544" w:right="18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4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31.3</w:t>
        <w:tab/>
        <w:t>After the closing of a Business Combination, the Company may by Ordinary Resolution appoint any person to be a Director or may by Ordinary Resolution remove any Director.</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31.4</w:t>
        <w:tab/>
        <w:t>Prior to the closing of a Business Combination, Article 31.1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320" w:lineRule="exact"/>
        <w:rPr>
          <w:sz w:val="20"/>
          <w:szCs w:val="20"/>
          <w:color w:val="auto"/>
        </w:rPr>
      </w:pPr>
    </w:p>
    <w:p>
      <w:pPr>
        <w:ind w:left="544" w:hanging="544"/>
        <w:spacing w:after="0"/>
        <w:tabs>
          <w:tab w:leader="none" w:pos="544"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 of Director</w:t>
      </w:r>
    </w:p>
    <w:p>
      <w:pPr>
        <w:spacing w:after="0" w:line="12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office of a Director shall be vacated if:</w:t>
      </w:r>
    </w:p>
    <w:p>
      <w:pPr>
        <w:spacing w:after="0" w:line="130" w:lineRule="exact"/>
        <w:rPr>
          <w:rFonts w:ascii="Times New Roman" w:cs="Times New Roman" w:eastAsia="Times New Roman" w:hAnsi="Times New Roman"/>
          <w:sz w:val="18"/>
          <w:szCs w:val="18"/>
          <w:b w:val="1"/>
          <w:bCs w:val="1"/>
          <w:color w:val="auto"/>
        </w:rPr>
      </w:pPr>
    </w:p>
    <w:p>
      <w:pPr>
        <w:ind w:left="1184" w:hanging="644"/>
        <w:spacing w:after="0"/>
        <w:tabs>
          <w:tab w:leader="none" w:pos="11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gives notice in writing to the Company that he resigns the office of Director; or</w:t>
      </w:r>
    </w:p>
    <w:p>
      <w:pPr>
        <w:spacing w:after="0" w:line="130"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becomes bankrupt or makes any arrangement or composition with his creditors generally;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found to be or becomes of unsound mind; or</w:t>
      </w:r>
    </w:p>
    <w:p>
      <w:pPr>
        <w:spacing w:after="0" w:line="130" w:lineRule="exact"/>
        <w:rPr>
          <w:rFonts w:ascii="Times New Roman" w:cs="Times New Roman" w:eastAsia="Times New Roman" w:hAnsi="Times New Roman"/>
          <w:sz w:val="18"/>
          <w:szCs w:val="18"/>
          <w:color w:val="auto"/>
        </w:rPr>
      </w:pPr>
    </w:p>
    <w:p>
      <w:pPr>
        <w:ind w:left="1184" w:right="340" w:hanging="644"/>
        <w:spacing w:after="0" w:line="266" w:lineRule="auto"/>
        <w:tabs>
          <w:tab w:leader="none" w:pos="118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other Directors (being not less than two in number) determine that he should be removed as a Director for Cause (and not otherwise), either by a resolution passed by all of the other Directors at a meeting of the Directors duly convened and held in accordance with the Articles or by a resolution in writing signed by all of the other Directors.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4"/>
          </w:cols>
          <w:pgMar w:left="436" w:top="270" w:right="519" w:bottom="1440" w:gutter="0" w:footer="0" w:header="0"/>
        </w:sectPr>
      </w:pPr>
    </w:p>
    <w:bookmarkStart w:id="249" w:name="page250"/>
    <w:bookmarkEnd w:id="249"/>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b w:val="1"/>
          <w:bCs w:val="1"/>
          <w:color w:val="auto"/>
        </w:rPr>
        <w:t>Proceedings of Directors</w:t>
      </w:r>
    </w:p>
    <w:p>
      <w:pPr>
        <w:spacing w:after="0" w:line="135" w:lineRule="exact"/>
        <w:rPr>
          <w:sz w:val="20"/>
          <w:szCs w:val="20"/>
          <w:color w:val="auto"/>
        </w:rPr>
      </w:pPr>
    </w:p>
    <w:p>
      <w:pPr>
        <w:ind w:left="540" w:right="4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33.1</w:t>
        <w:tab/>
        <w:t>The quorum for the transaction of the business of the Directors may be fixed by the Directors, and unless so fixed shall be a majority of the Directors then in office.</w:t>
      </w:r>
    </w:p>
    <w:p>
      <w:pPr>
        <w:spacing w:after="0" w:line="67"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33.2</w:t>
        <w:tab/>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67"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33.3</w:t>
        <w:tab/>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85"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33.4</w:t>
        <w:tab/>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85"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33.5</w:t>
        <w:tab/>
        <w:t xml:space="preserve">A Director may, or other Officer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Times New Roman" w:cs="Times New Roman" w:eastAsia="Times New Roman" w:hAnsi="Times New Roman"/>
          <w:sz w:val="18"/>
          <w:szCs w:val="18"/>
          <w:i w:val="1"/>
          <w:iCs w:val="1"/>
          <w:color w:val="auto"/>
        </w:rPr>
        <w:t>mutatis mutandis.</w:t>
      </w:r>
    </w:p>
    <w:p>
      <w:pPr>
        <w:spacing w:after="0" w:line="8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33.6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8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33.7</w:t>
        <w:tab/>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250" w:name="page251"/>
    <w:bookmarkEnd w:id="250"/>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33.8</w:t>
        <w:tab/>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85"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33.9</w:t>
        <w:tab/>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306" w:lineRule="exact"/>
        <w:rPr>
          <w:sz w:val="20"/>
          <w:szCs w:val="20"/>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Presumption of Assent</w:t>
      </w:r>
    </w:p>
    <w:p>
      <w:pPr>
        <w:spacing w:after="0" w:line="121" w:lineRule="exact"/>
        <w:rPr>
          <w:rFonts w:ascii="Times New Roman" w:cs="Times New Roman" w:eastAsia="Times New Roman" w:hAnsi="Times New Roman"/>
          <w:sz w:val="18"/>
          <w:szCs w:val="18"/>
          <w:b w:val="1"/>
          <w:bCs w:val="1"/>
          <w:color w:val="auto"/>
        </w:rPr>
      </w:pPr>
    </w:p>
    <w:p>
      <w:pPr>
        <w:ind w:left="544"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2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Interests</w:t>
      </w:r>
    </w:p>
    <w:p>
      <w:pPr>
        <w:spacing w:after="0" w:line="135"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35.1</w:t>
        <w:tab/>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67"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35.2</w:t>
        <w:tab/>
        <w:t>A Director may act by himself or by, through or on behalf of his firm in a professional capacity for the Company and he or his firm shall be entitled to remuneration for professional services as if he were not a Director.</w:t>
      </w:r>
    </w:p>
    <w:p>
      <w:pPr>
        <w:spacing w:after="0" w:line="67"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35.3</w:t>
        <w:tab/>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81"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35.4</w:t>
        <w:tab/>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251" w:name="page252"/>
    <w:bookmarkEnd w:id="251"/>
    <w:p>
      <w:pPr>
        <w:ind w:left="544" w:right="2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35.5</w:t>
        <w:tab/>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324" w:lineRule="exact"/>
        <w:rPr>
          <w:sz w:val="20"/>
          <w:szCs w:val="20"/>
          <w:color w:val="auto"/>
        </w:rPr>
      </w:pPr>
    </w:p>
    <w:p>
      <w:pPr>
        <w:ind w:left="544" w:hanging="544"/>
        <w:spacing w:after="0"/>
        <w:tabs>
          <w:tab w:leader="none" w:pos="54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121" w:lineRule="exact"/>
        <w:rPr>
          <w:rFonts w:ascii="Times New Roman" w:cs="Times New Roman" w:eastAsia="Times New Roman" w:hAnsi="Times New Roman"/>
          <w:sz w:val="18"/>
          <w:szCs w:val="18"/>
          <w:b w:val="1"/>
          <w:bCs w:val="1"/>
          <w:color w:val="auto"/>
        </w:rPr>
      </w:pPr>
    </w:p>
    <w:p>
      <w:pPr>
        <w:ind w:left="5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Directors’ Powers</w:t>
      </w:r>
    </w:p>
    <w:p>
      <w:pPr>
        <w:spacing w:after="0" w:line="135"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37.1</w:t>
        <w:tab/>
        <w:t>The Directors may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93" w:lineRule="exact"/>
        <w:rPr>
          <w:sz w:val="20"/>
          <w:szCs w:val="20"/>
          <w:color w:val="auto"/>
        </w:rPr>
      </w:pPr>
    </w:p>
    <w:p>
      <w:pPr>
        <w:ind w:left="544" w:right="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37.2</w:t>
        <w:tab/>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89"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37.3</w:t>
        <w:tab/>
        <w:t>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Designated Stock Exchange, the Securities and Exchange Commission and/or any other competent regulatory authority or otherwise under Applicable Law. Each of the Audit Committee, the Compensation Committee and the Nominating and Corporate Governance Committee, if established, shall consist of such number of Directors as the Directors shall from time to time determine (or such minimum number as may be required from time to time by the rules and regulations of the Designated Stock Exchange, the Securities and Exchange Commission and/or any other competent regulatory authority or otherwise under Applicable Law).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70" w:right="479" w:bottom="1440" w:gutter="0" w:footer="0" w:header="0"/>
        </w:sectPr>
      </w:pPr>
    </w:p>
    <w:bookmarkStart w:id="252" w:name="page253"/>
    <w:bookmarkEnd w:id="252"/>
    <w:p>
      <w:pPr>
        <w:ind w:left="544" w:right="34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37.4</w:t>
      </w:r>
      <w:r>
        <w:rPr>
          <w:sz w:val="20"/>
          <w:szCs w:val="20"/>
          <w:color w:val="auto"/>
        </w:rPr>
        <w:tab/>
      </w:r>
      <w:r>
        <w:rPr>
          <w:rFonts w:ascii="Times New Roman" w:cs="Times New Roman" w:eastAsia="Times New Roman" w:hAnsi="Times New Roman"/>
          <w:sz w:val="17"/>
          <w:szCs w:val="17"/>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45" w:lineRule="exact"/>
        <w:rPr>
          <w:sz w:val="20"/>
          <w:szCs w:val="20"/>
          <w:color w:val="auto"/>
        </w:rPr>
      </w:pPr>
    </w:p>
    <w:p>
      <w:pPr>
        <w:ind w:left="544" w:right="1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37.5</w:t>
        <w:tab/>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93"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37.6</w:t>
        <w:tab/>
        <w:t>The Directors may appoint such Officers as they consider necessary on such terms, at such remuneration and to perform such duties, and subject to such provisions as to disqualification and removal as the Directors may think fit. Unless otherwise specified in the terms of his appointment an Officer may be removed by resolution of the Directors or Members. An Officer may vacate his office at any time if he gives notice in writing to the Company that he resigns his office.</w:t>
      </w:r>
    </w:p>
    <w:p>
      <w:pPr>
        <w:spacing w:after="0" w:line="324" w:lineRule="exact"/>
        <w:rPr>
          <w:sz w:val="20"/>
          <w:szCs w:val="20"/>
          <w:color w:val="auto"/>
        </w:rPr>
      </w:pPr>
    </w:p>
    <w:p>
      <w:pPr>
        <w:ind w:left="544" w:hanging="544"/>
        <w:spacing w:after="0"/>
        <w:tabs>
          <w:tab w:leader="none" w:pos="54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Minimum Shareholding</w:t>
      </w:r>
    </w:p>
    <w:p>
      <w:pPr>
        <w:spacing w:after="0" w:line="121" w:lineRule="exact"/>
        <w:rPr>
          <w:rFonts w:ascii="Times New Roman" w:cs="Times New Roman" w:eastAsia="Times New Roman" w:hAnsi="Times New Roman"/>
          <w:sz w:val="18"/>
          <w:szCs w:val="18"/>
          <w:b w:val="1"/>
          <w:bCs w:val="1"/>
          <w:color w:val="auto"/>
        </w:rPr>
      </w:pPr>
    </w:p>
    <w:p>
      <w:pPr>
        <w:ind w:left="5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135" w:lineRule="exact"/>
        <w:rPr>
          <w:sz w:val="20"/>
          <w:szCs w:val="20"/>
          <w:color w:val="auto"/>
        </w:rPr>
      </w:pPr>
    </w:p>
    <w:p>
      <w:pPr>
        <w:ind w:left="544" w:right="10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39.1</w:t>
        <w:tab/>
        <w:t>The remuneration to be paid to the Directors, if any, shall be such remuneration as the Directors shall determine, provided that no cash remuneration shall be paid to any Director by the Company prior to the 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94" w:lineRule="exact"/>
        <w:rPr>
          <w:sz w:val="20"/>
          <w:szCs w:val="20"/>
          <w:color w:val="auto"/>
        </w:rPr>
      </w:pPr>
    </w:p>
    <w:p>
      <w:pPr>
        <w:ind w:left="544" w:right="4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39.2</w:t>
        <w:tab/>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253" w:name="page254"/>
    <w:bookmarkEnd w:id="25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40</w:t>
      </w:r>
      <w:r>
        <w:rPr>
          <w:sz w:val="20"/>
          <w:szCs w:val="20"/>
          <w:color w:val="auto"/>
        </w:rPr>
        <w:tab/>
      </w:r>
      <w:r>
        <w:rPr>
          <w:rFonts w:ascii="Times New Roman" w:cs="Times New Roman" w:eastAsia="Times New Roman" w:hAnsi="Times New Roman"/>
          <w:sz w:val="18"/>
          <w:szCs w:val="18"/>
          <w:b w:val="1"/>
          <w:bCs w:val="1"/>
          <w:color w:val="auto"/>
        </w:rPr>
        <w:t>Seal</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40.1</w:t>
        <w:tab/>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or other person appointed by the Directors for the purpose.</w:t>
      </w:r>
    </w:p>
    <w:p>
      <w:pPr>
        <w:spacing w:after="0" w:line="81"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40.2</w:t>
        <w:tab/>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81"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40.3</w:t>
        <w:tab/>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Dividends, Distributions and Reserve</w:t>
      </w:r>
    </w:p>
    <w:p>
      <w:pPr>
        <w:spacing w:after="0" w:line="135" w:lineRule="exact"/>
        <w:rPr>
          <w:sz w:val="20"/>
          <w:szCs w:val="20"/>
          <w:color w:val="auto"/>
        </w:rPr>
      </w:pPr>
    </w:p>
    <w:p>
      <w:pPr>
        <w:ind w:left="540" w:hanging="539"/>
        <w:spacing w:after="0" w:line="277" w:lineRule="auto"/>
        <w:tabs>
          <w:tab w:leader="none" w:pos="52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73" w:lineRule="exact"/>
        <w:rPr>
          <w:sz w:val="20"/>
          <w:szCs w:val="20"/>
          <w:color w:val="auto"/>
        </w:rPr>
      </w:pPr>
    </w:p>
    <w:p>
      <w:pPr>
        <w:jc w:val="both"/>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41.2</w:t>
        <w:tab/>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41.3</w:t>
        <w:tab/>
        <w:t>The Directors may deduct from any Dividend or other distribution payable to any Member all sums of money (if any) then payable by him to the Company on account of calls or otherwise.</w:t>
      </w:r>
    </w:p>
    <w:p>
      <w:pPr>
        <w:spacing w:after="0" w:line="67"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41.4</w:t>
        <w:tab/>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254" w:name="page255"/>
    <w:bookmarkEnd w:id="254"/>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41.5</w:t>
        <w:tab/>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89"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41.6</w:t>
        <w:tab/>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203"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41.7</w:t>
        <w:tab/>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21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7"/>
          <w:szCs w:val="17"/>
          <w:color w:val="auto"/>
        </w:rPr>
        <w:t>No Dividend or other distribution shall bear interest against the Company.</w:t>
      </w:r>
    </w:p>
    <w:p>
      <w:pPr>
        <w:spacing w:after="0" w:line="252" w:lineRule="exact"/>
        <w:rPr>
          <w:sz w:val="20"/>
          <w:szCs w:val="20"/>
          <w:color w:val="auto"/>
        </w:rPr>
      </w:pPr>
    </w:p>
    <w:p>
      <w:pPr>
        <w:ind w:left="544" w:right="8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41.9</w:t>
        <w:tab/>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328" w:lineRule="exact"/>
        <w:rPr>
          <w:sz w:val="20"/>
          <w:szCs w:val="20"/>
          <w:color w:val="auto"/>
        </w:rPr>
      </w:pPr>
    </w:p>
    <w:p>
      <w:pPr>
        <w:ind w:left="544" w:hanging="544"/>
        <w:spacing w:after="0"/>
        <w:tabs>
          <w:tab w:leader="none" w:pos="54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Capitalisation</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255" w:name="page256"/>
    <w:bookmarkEnd w:id="255"/>
    <w:p>
      <w:pPr>
        <w:ind w:left="54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32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Books of Account</w:t>
      </w:r>
    </w:p>
    <w:p>
      <w:pPr>
        <w:spacing w:after="0" w:line="135"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43.1</w:t>
        <w:tab/>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93"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43.2</w:t>
        <w:tab/>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85"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43.3</w:t>
        <w:tab/>
        <w:t>The Directors may cause to be prepared and to be laid before the Company in general meeting profit and loss accounts, balance sheets, group accounts (if any) and such other reports and accounts as may be required by law.</w:t>
      </w:r>
    </w:p>
    <w:p>
      <w:pPr>
        <w:spacing w:after="0" w:line="3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Audit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The Directors may appoint an Auditor of the Company who shall hold office on such terms as the Directors determine.</w:t>
      </w:r>
    </w:p>
    <w:p>
      <w:pPr>
        <w:spacing w:after="0" w:line="131" w:lineRule="exact"/>
        <w:rPr>
          <w:sz w:val="20"/>
          <w:szCs w:val="20"/>
          <w:color w:val="auto"/>
        </w:rPr>
      </w:pPr>
    </w:p>
    <w:p>
      <w:pPr>
        <w:ind w:left="540" w:right="2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44.2</w:t>
        <w:tab/>
        <w:t>Without prejudice to the freedom of the Directors to establish any other committee, if the Shares (or depositary receipts therefor) are listed or quoted on the Designated Stock Exchange, and if required by the rules and regulations of the Designated Stock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Designated Stock Exchange, the Securities and Exchange Commission and/or any other competent regulatory authority or otherwise under Applicable Law. The Audit Committee shall meet at least once every financial quarter, or more frequently as circumstances dictate.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256" w:name="page257"/>
    <w:bookmarkEnd w:id="256"/>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44.3</w:t>
        <w:tab/>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7"/>
          <w:szCs w:val="17"/>
          <w:color w:val="auto"/>
        </w:rPr>
        <w:t>The remuneration of the Auditor shall be fixed by the Audit Committee (if one exists).</w:t>
      </w:r>
    </w:p>
    <w:p>
      <w:pPr>
        <w:spacing w:after="0" w:line="131" w:lineRule="exact"/>
        <w:rPr>
          <w:sz w:val="20"/>
          <w:szCs w:val="20"/>
          <w:color w:val="auto"/>
        </w:rPr>
      </w:pPr>
    </w:p>
    <w:p>
      <w:pPr>
        <w:jc w:val="right"/>
        <w:ind w:right="340"/>
        <w:spacing w:after="0" w:line="282" w:lineRule="auto"/>
        <w:rPr>
          <w:sz w:val="20"/>
          <w:szCs w:val="20"/>
          <w:color w:val="auto"/>
        </w:rPr>
      </w:pPr>
      <w:r>
        <w:rPr>
          <w:rFonts w:ascii="Times New Roman" w:cs="Times New Roman" w:eastAsia="Times New Roman" w:hAnsi="Times New Roman"/>
          <w:sz w:val="18"/>
          <w:szCs w:val="18"/>
          <w:color w:val="auto"/>
        </w:rPr>
        <w:t>44.5   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67"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44.6</w:t>
        <w:tab/>
        <w:t>Every Auditor of the Company shall have a right of access at all times to the books and accounts and vouchers of the Company and shall be entitled to require from the Directors and Officers such information and explanation as may be necessary for the performance of the duties of the Auditor.</w:t>
      </w:r>
    </w:p>
    <w:p>
      <w:pPr>
        <w:spacing w:after="0" w:line="81"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44.7</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45.1</w:t>
        <w:tab/>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by Electronic Communication in accordance with the rules and regulations of the Designated Stock Exchange, the Securities and Exchange Commission and/or any other competent regulatory authority or by placing it on the Company’s Website.</w:t>
      </w:r>
    </w:p>
    <w:p>
      <w:pPr>
        <w:spacing w:after="0" w:line="3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7"/>
          <w:szCs w:val="17"/>
          <w:color w:val="auto"/>
        </w:rPr>
        <w:t>Where a notice is sent by:</w:t>
      </w:r>
    </w:p>
    <w:p>
      <w:pPr>
        <w:spacing w:after="0" w:line="131" w:lineRule="exact"/>
        <w:rPr>
          <w:sz w:val="20"/>
          <w:szCs w:val="20"/>
          <w:color w:val="auto"/>
        </w:rPr>
      </w:pPr>
    </w:p>
    <w:p>
      <w:pPr>
        <w:ind w:left="1180" w:right="20" w:hanging="644"/>
        <w:spacing w:after="0" w:line="266" w:lineRule="auto"/>
        <w:tabs>
          <w:tab w:leader="none" w:pos="1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1" w:lineRule="exact"/>
        <w:rPr>
          <w:rFonts w:ascii="Times New Roman" w:cs="Times New Roman" w:eastAsia="Times New Roman" w:hAnsi="Times New Roman"/>
          <w:sz w:val="18"/>
          <w:szCs w:val="18"/>
          <w:color w:val="auto"/>
        </w:rPr>
      </w:pPr>
    </w:p>
    <w:p>
      <w:pPr>
        <w:ind w:left="1180" w:right="160" w:hanging="644"/>
        <w:spacing w:after="0" w:line="266" w:lineRule="auto"/>
        <w:tabs>
          <w:tab w:leader="none" w:pos="1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257" w:name="page258"/>
    <w:bookmarkEnd w:id="257"/>
    <w:p>
      <w:pPr>
        <w:ind w:left="1180" w:right="360" w:hanging="644"/>
        <w:spacing w:after="0" w:line="282" w:lineRule="auto"/>
        <w:tabs>
          <w:tab w:leader="none" w:pos="11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cable, telex or fax; service of the notice shall be deemed to be effected by properly addressing and sending such notice and shall be deemed to have been received on the same day that it was transmitted;</w:t>
      </w:r>
    </w:p>
    <w:p>
      <w:pPr>
        <w:spacing w:after="0" w:line="67" w:lineRule="exact"/>
        <w:rPr>
          <w:rFonts w:ascii="Times New Roman" w:cs="Times New Roman" w:eastAsia="Times New Roman" w:hAnsi="Times New Roman"/>
          <w:sz w:val="18"/>
          <w:szCs w:val="18"/>
          <w:color w:val="auto"/>
        </w:rPr>
      </w:pPr>
    </w:p>
    <w:p>
      <w:pPr>
        <w:jc w:val="both"/>
        <w:ind w:left="1180" w:right="100" w:hanging="644"/>
        <w:spacing w:after="0" w:line="266" w:lineRule="auto"/>
        <w:tabs>
          <w:tab w:leader="none" w:pos="11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or other Electronic Communication; service of the notice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 and</w:t>
      </w:r>
    </w:p>
    <w:p>
      <w:pPr>
        <w:spacing w:after="0" w:line="81"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it on the Company’s Website; service of the notice shall be deemed to have been effected one hour after the notice or document was placed on the Company’s Website.</w:t>
      </w:r>
    </w:p>
    <w:p>
      <w:pPr>
        <w:spacing w:after="0" w:line="67"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45.3</w:t>
        <w:tab/>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89"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45.4</w:t>
        <w:tab/>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32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8"/>
          <w:szCs w:val="18"/>
          <w:b w:val="1"/>
          <w:bCs w:val="1"/>
          <w:color w:val="auto"/>
        </w:rPr>
        <w:t>Winding Up</w:t>
      </w:r>
    </w:p>
    <w:p>
      <w:pPr>
        <w:spacing w:after="0" w:line="135"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46.1</w:t>
        <w:tab/>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67" w:lineRule="exact"/>
        <w:rPr>
          <w:sz w:val="20"/>
          <w:szCs w:val="20"/>
          <w:color w:val="auto"/>
        </w:rPr>
      </w:pPr>
    </w:p>
    <w:p>
      <w:pPr>
        <w:ind w:left="1180" w:right="240" w:hanging="644"/>
        <w:spacing w:after="0" w:line="266" w:lineRule="auto"/>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81" w:lineRule="exact"/>
        <w:rPr>
          <w:rFonts w:ascii="Times New Roman" w:cs="Times New Roman" w:eastAsia="Times New Roman" w:hAnsi="Times New Roman"/>
          <w:sz w:val="18"/>
          <w:szCs w:val="18"/>
          <w:color w:val="auto"/>
        </w:rPr>
      </w:pPr>
    </w:p>
    <w:p>
      <w:pPr>
        <w:ind w:left="1180" w:right="120" w:hanging="644"/>
        <w:spacing w:after="0" w:line="261" w:lineRule="auto"/>
        <w:tabs>
          <w:tab w:leader="none" w:pos="11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258" w:name="page259"/>
    <w:bookmarkEnd w:id="258"/>
    <w:p>
      <w:pPr>
        <w:ind w:left="540" w:right="6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46.2</w:t>
        <w:tab/>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3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8"/>
          <w:szCs w:val="18"/>
          <w:b w:val="1"/>
          <w:bCs w:val="1"/>
          <w:color w:val="auto"/>
        </w:rPr>
        <w:t>Indemnity and Insurance</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7"/>
          <w:szCs w:val="17"/>
          <w:color w:val="auto"/>
        </w:rPr>
        <w:t>Every Director and Officer (which for the avoidance of doubt, shall not include auditors of the Company), together with every former Director</w:t>
      </w:r>
    </w:p>
    <w:p>
      <w:pPr>
        <w:spacing w:after="0" w:line="27"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and former Officer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94"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47.2</w:t>
        <w:tab/>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94"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47.3</w:t>
        <w:tab/>
        <w:t>The Directors, on behalf of the Company, may purchase and maintain insurance for the benefit of any Director or Officer against any liability which, by virtue of any rule of law, would otherwise attach to such person in respect of any negligence, default, breach of duty or breach of trust of which such person may be guilty in relation to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259" w:name="page260"/>
    <w:bookmarkEnd w:id="259"/>
    <w:p>
      <w:pPr>
        <w:ind w:left="544" w:hanging="544"/>
        <w:spacing w:after="0"/>
        <w:tabs>
          <w:tab w:leader="none" w:pos="54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Year</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by Way of Continuation</w:t>
      </w:r>
    </w:p>
    <w:p>
      <w:pPr>
        <w:spacing w:after="0" w:line="135" w:lineRule="exact"/>
        <w:rPr>
          <w:sz w:val="20"/>
          <w:szCs w:val="20"/>
          <w:color w:val="auto"/>
        </w:rPr>
      </w:pPr>
    </w:p>
    <w:p>
      <w:pPr>
        <w:ind w:left="544" w:right="6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49.1</w:t>
        <w:tab/>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For the purposes of a Special Resolution to be passed pursuant to this Article, a holder of Class B Shares shall have ten votes for every Class B Share of which he is the holder and a holder of Class A Shares shall have one vote for every Class A Share of which he is the holder.</w:t>
      </w:r>
    </w:p>
    <w:p>
      <w:pPr>
        <w:spacing w:after="0" w:line="89"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49.2</w:t>
        <w:tab/>
        <w:t>Prior to the closing a Business Combination, Article 49.1 may only be amended by a Special Resolution which shall include the affirmative vote of a simple majority of the Class B Shares.</w:t>
      </w:r>
    </w:p>
    <w:p>
      <w:pPr>
        <w:spacing w:after="0" w:line="306" w:lineRule="exact"/>
        <w:rPr>
          <w:sz w:val="20"/>
          <w:szCs w:val="20"/>
          <w:color w:val="auto"/>
        </w:rPr>
      </w:pPr>
    </w:p>
    <w:p>
      <w:pPr>
        <w:ind w:left="544" w:hanging="544"/>
        <w:spacing w:after="0"/>
        <w:tabs>
          <w:tab w:leader="none" w:pos="54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Mergers and Consolidations</w:t>
      </w:r>
    </w:p>
    <w:p>
      <w:pPr>
        <w:spacing w:after="0" w:line="121" w:lineRule="exact"/>
        <w:rPr>
          <w:rFonts w:ascii="Times New Roman" w:cs="Times New Roman" w:eastAsia="Times New Roman" w:hAnsi="Times New Roman"/>
          <w:sz w:val="18"/>
          <w:szCs w:val="18"/>
          <w:b w:val="1"/>
          <w:bCs w:val="1"/>
          <w:color w:val="auto"/>
        </w:rPr>
      </w:pPr>
    </w:p>
    <w:p>
      <w:pPr>
        <w:ind w:left="5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35"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51.1</w:t>
        <w:tab/>
        <w:t>Notwithstanding any other provision of the Articles, this Article shall apply during the period commencing upon the adoption of the Articles and terminating upon the first to occur of the consummation of a Business Combination and the full distribution of the Trust Account pursuant to this Article. In the event of a conflict between this Article and any other Articles, the provisions of this Article shall prevail.</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Prior to the consummation of a Business Combination, the Company shall either:</w:t>
      </w:r>
    </w:p>
    <w:p>
      <w:pPr>
        <w:spacing w:after="0" w:line="131" w:lineRule="exact"/>
        <w:rPr>
          <w:sz w:val="20"/>
          <w:szCs w:val="20"/>
          <w:color w:val="auto"/>
        </w:rPr>
      </w:pPr>
    </w:p>
    <w:p>
      <w:pPr>
        <w:ind w:left="1184" w:hanging="644"/>
        <w:spacing w:after="0"/>
        <w:tabs>
          <w:tab w:leader="none" w:pos="1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such Business Combination to its Members for approval; or</w:t>
      </w:r>
    </w:p>
    <w:p>
      <w:pPr>
        <w:spacing w:after="0" w:line="130" w:lineRule="exact"/>
        <w:rPr>
          <w:rFonts w:ascii="Times New Roman" w:cs="Times New Roman" w:eastAsia="Times New Roman" w:hAnsi="Times New Roman"/>
          <w:sz w:val="18"/>
          <w:szCs w:val="18"/>
          <w:color w:val="auto"/>
        </w:rPr>
      </w:pPr>
    </w:p>
    <w:p>
      <w:pPr>
        <w:ind w:left="1184" w:right="240" w:hanging="644"/>
        <w:spacing w:after="0" w:line="258" w:lineRule="auto"/>
        <w:tabs>
          <w:tab w:leader="none" w:pos="11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Members with the opportunity to have their Shares repurchased by means of a tender offer for a per-Share repurchase price payable in cash, equal to the aggregate amount then on deposit in the Trust Account, calculated as of two business days prior to the consummation of such Business Combination, including interest earned on the Trust Account (net of taxes paid or payable, if any), divided by the number of then issued Public Shares, provided that the Company shall not repurchase Public Shares in an amount that would cause the Company’s net tangible assets to be less than US$5,000,001.</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66" w:right="479" w:bottom="1440" w:gutter="0" w:footer="0" w:header="0"/>
        </w:sectPr>
      </w:pPr>
    </w:p>
    <w:bookmarkStart w:id="260" w:name="page261"/>
    <w:bookmarkEnd w:id="260"/>
    <w:p>
      <w:pPr>
        <w:ind w:left="520" w:hanging="539"/>
        <w:spacing w:after="0" w:line="256"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51.3</w:t>
        <w:tab/>
        <w:t>If the Company initiates any tender offer in accordance with Rule 13e-4 and Regulation 14E of the Exchange Act in connection with a proposed Business Combination, it shall file tender offer documents with the Securities and Exchange Commission prior to completing such Business Combination which contain substantially the same financial and other information about such Business Combination and the redemption rights as is required under Regulation 14A of the Exchange Act. If, alternatively, the Company holds a general meeting to approve a proposed Business Combination, the Company will conduct any redemptions in conjunction with a proxy solicitation pursuant to Regulation 14A of the Exchange Act, and not pursuant to the tender offer rules, and file proxy materials with the Securities and Exchange Commission.</w:t>
      </w:r>
    </w:p>
    <w:p>
      <w:pPr>
        <w:spacing w:after="0" w:line="93" w:lineRule="exact"/>
        <w:rPr>
          <w:sz w:val="20"/>
          <w:szCs w:val="20"/>
          <w:color w:val="auto"/>
        </w:rPr>
      </w:pPr>
    </w:p>
    <w:p>
      <w:pPr>
        <w:ind w:left="520" w:right="500" w:hanging="539"/>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51.4</w:t>
        <w:tab/>
        <w:t>At a general meeting called for the purposes of approving a Business Combination pursuant to this Article, in the event that such Business Combination is approved by Ordinary Resolution, the Company shall be authorised to consummate such Business Combination.</w:t>
      </w:r>
    </w:p>
    <w:p>
      <w:pPr>
        <w:spacing w:after="0" w:line="67" w:lineRule="exact"/>
        <w:rPr>
          <w:sz w:val="20"/>
          <w:szCs w:val="20"/>
          <w:color w:val="auto"/>
        </w:rPr>
      </w:pPr>
    </w:p>
    <w:p>
      <w:pPr>
        <w:ind w:left="520" w:hanging="539"/>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51.5</w:t>
        <w:tab/>
        <w:t>Any Member holding Public Shares who is not the Sponsor, a Founder, Officer or Director may, in connection with any vote on a Business Combination, elect to have their Public Shares redeemed for cash (the “</w:t>
      </w:r>
      <w:r>
        <w:rPr>
          <w:rFonts w:ascii="Times New Roman" w:cs="Times New Roman" w:eastAsia="Times New Roman" w:hAnsi="Times New Roman"/>
          <w:sz w:val="18"/>
          <w:szCs w:val="18"/>
          <w:b w:val="1"/>
          <w:bCs w:val="1"/>
          <w:color w:val="auto"/>
        </w:rPr>
        <w:t>IPO Redemption</w:t>
      </w:r>
      <w:r>
        <w:rPr>
          <w:rFonts w:ascii="Times New Roman" w:cs="Times New Roman" w:eastAsia="Times New Roman" w:hAnsi="Times New Roman"/>
          <w:sz w:val="18"/>
          <w:szCs w:val="18"/>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20 per cent of the Public Shares in the aggregate without the prior consent of the Company. If so demanded, the Company shall pay any such redeeming Member, regardless of whether he is voting for or against such proposed Business Combination, a per-Share redemption price payable in cash, equal to the aggregate amount then on deposit in the Trust Account calculated as of two business days prior to the consummation of the Business Combination, including interest earned on the Trust Account and not previously released to the Company to pay its taxes, divided by the number of then issued Public Shares (such redemption price being referred to herein as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The Company shall not redeem Public Shares in an amount that would cause the Company’s net tangible assets to be less than US$5,000,001 (the “</w:t>
      </w:r>
      <w:r>
        <w:rPr>
          <w:rFonts w:ascii="Times New Roman" w:cs="Times New Roman" w:eastAsia="Times New Roman" w:hAnsi="Times New Roman"/>
          <w:sz w:val="18"/>
          <w:szCs w:val="18"/>
          <w:b w:val="1"/>
          <w:bCs w:val="1"/>
          <w:color w:val="auto"/>
        </w:rPr>
        <w:t>Redemption Limitation</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520" w:right="200" w:hanging="539"/>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51.6</w:t>
        <w:tab/>
        <w:t>A Member may not withdraw a Redemption Notice once submitted to the Company unless the Directors determine (in their sole discretion) to permit the withdrawal of such redemption request (which they may do in whole or in part).</w:t>
      </w:r>
    </w:p>
    <w:p>
      <w:pPr>
        <w:spacing w:after="0" w:line="67" w:lineRule="exact"/>
        <w:rPr>
          <w:sz w:val="20"/>
          <w:szCs w:val="20"/>
          <w:color w:val="auto"/>
        </w:rPr>
      </w:pPr>
    </w:p>
    <w:p>
      <w:pPr>
        <w:ind w:left="520" w:right="300" w:hanging="539"/>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51.7</w:t>
        <w:tab/>
        <w:t>In the event that the Company does not consummate a Business Combination by 24 months from the consummation of the IPO, or such later time as the Members may approve in accordance with the Articles, the Company shall:</w:t>
      </w:r>
    </w:p>
    <w:p>
      <w:pPr>
        <w:spacing w:after="0" w:line="67" w:lineRule="exact"/>
        <w:rPr>
          <w:sz w:val="20"/>
          <w:szCs w:val="20"/>
          <w:color w:val="auto"/>
        </w:rPr>
      </w:pPr>
    </w:p>
    <w:p>
      <w:pPr>
        <w:ind w:left="1160" w:hanging="644"/>
        <w:spacing w:after="0"/>
        <w:tabs>
          <w:tab w:leader="none" w:pos="11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w:t>
      </w:r>
    </w:p>
    <w:p>
      <w:pPr>
        <w:spacing w:after="0" w:line="130" w:lineRule="exact"/>
        <w:rPr>
          <w:rFonts w:ascii="Times New Roman" w:cs="Times New Roman" w:eastAsia="Times New Roman" w:hAnsi="Times New Roman"/>
          <w:sz w:val="18"/>
          <w:szCs w:val="18"/>
          <w:color w:val="auto"/>
        </w:rPr>
      </w:pPr>
    </w:p>
    <w:p>
      <w:pPr>
        <w:ind w:left="1160" w:right="120" w:hanging="644"/>
        <w:spacing w:after="0" w:line="258" w:lineRule="auto"/>
        <w:tabs>
          <w:tab w:leader="none" w:pos="11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(less taxes payable and up to US$100,000 of interest to pay dissolution expenses), divided by the number of then Public Shares in issue, which redemption will completely extinguish public Members’ rights as Members (including the right to receive further liquidation distributions, if any);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60" w:top="270" w:right="479" w:bottom="1440" w:gutter="0" w:footer="0" w:header="0"/>
        </w:sectPr>
      </w:pPr>
    </w:p>
    <w:bookmarkStart w:id="261" w:name="page262"/>
    <w:bookmarkEnd w:id="261"/>
    <w:p>
      <w:pPr>
        <w:ind w:left="1180" w:right="200" w:hanging="644"/>
        <w:spacing w:after="0" w:line="282" w:lineRule="auto"/>
        <w:tabs>
          <w:tab w:leader="none" w:pos="11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promptly as reasonably possible following such redemption, subject to the approval of the Company’s remaining Members and the Directors, liquidate and dissolve,</w:t>
      </w:r>
    </w:p>
    <w:p>
      <w:pPr>
        <w:spacing w:after="0" w:line="54"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subject in the case of (b) and (c) above to its obligations under Cayman Islands law to provide for claims of creditors and in all cases subject to the other requirements of Applicable Law.</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51.8</w:t>
      </w:r>
      <w:r>
        <w:rPr>
          <w:sz w:val="20"/>
          <w:szCs w:val="20"/>
          <w:color w:val="auto"/>
        </w:rPr>
        <w:tab/>
      </w:r>
      <w:r>
        <w:rPr>
          <w:rFonts w:ascii="Times New Roman" w:cs="Times New Roman" w:eastAsia="Times New Roman" w:hAnsi="Times New Roman"/>
          <w:sz w:val="17"/>
          <w:szCs w:val="17"/>
          <w:color w:val="auto"/>
        </w:rPr>
        <w:t>In the event that any amendment is made to the Articles:</w:t>
      </w:r>
    </w:p>
    <w:p>
      <w:pPr>
        <w:spacing w:after="0" w:line="131" w:lineRule="exact"/>
        <w:rPr>
          <w:sz w:val="20"/>
          <w:szCs w:val="20"/>
          <w:color w:val="auto"/>
        </w:rPr>
      </w:pPr>
    </w:p>
    <w:p>
      <w:pPr>
        <w:ind w:left="1180" w:right="240" w:hanging="644"/>
        <w:spacing w:after="0" w:line="266"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the Company’s obligation to allow redemption in connection with a Business Combination or to redeem 100 per cent of the Public Shares if the Company has not consummated a Business Combination within 24 months from the consummation of the IPO, or such later time as the Members may approve in accordance with the Articles; or</w:t>
      </w:r>
    </w:p>
    <w:p>
      <w:pPr>
        <w:spacing w:after="0" w:line="81" w:lineRule="exact"/>
        <w:rPr>
          <w:rFonts w:ascii="Times New Roman" w:cs="Times New Roman" w:eastAsia="Times New Roman" w:hAnsi="Times New Roman"/>
          <w:sz w:val="18"/>
          <w:szCs w:val="18"/>
          <w:color w:val="auto"/>
        </w:rPr>
      </w:pPr>
    </w:p>
    <w:p>
      <w:pPr>
        <w:ind w:left="1180" w:right="20" w:hanging="644"/>
        <w:spacing w:after="0" w:line="256" w:lineRule="auto"/>
        <w:tabs>
          <w:tab w:leader="none" w:pos="11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Members’ rights or pre-Business Combination activity, each holder of Public Shares who is not the Sponsor, a Founder, Officer or Director shall be provided with the opportunity to redeem their Public Shares upon the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The Company’s ability to provide such redemption in this Article is subject to the Redemption Limitation.</w:t>
      </w:r>
    </w:p>
    <w:p>
      <w:pPr>
        <w:spacing w:after="0" w:line="93"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51.9</w:t>
        <w:tab/>
        <w:t>A holder of Public Shares shall be entitled to receive distributions from the Trust Account only in the event of an IPO Redemption, a repurchase of Shares by means of a tender offer pursuant to this Article, or a distribution of the Trust Account pursuant to this Article. In no other circumstance shall a holder of Public Shares have any right or interest of any kind in the Trust Account.</w:t>
      </w:r>
    </w:p>
    <w:p>
      <w:pPr>
        <w:spacing w:after="0" w:line="81"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51.10 After the issue of Public Shares, and prior to the consummation of a Business Combination, the Company shall not issue additional Shares or any other securities that would entitle the holders thereof to:</w:t>
      </w:r>
    </w:p>
    <w:p>
      <w:pPr>
        <w:spacing w:after="0" w:line="67" w:lineRule="exact"/>
        <w:rPr>
          <w:sz w:val="20"/>
          <w:szCs w:val="20"/>
          <w:color w:val="auto"/>
        </w:rPr>
      </w:pPr>
    </w:p>
    <w:p>
      <w:pPr>
        <w:ind w:left="1180" w:hanging="644"/>
        <w:spacing w:after="0"/>
        <w:tabs>
          <w:tab w:leader="none" w:pos="11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funds from the Trust Account;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as a class with Public Shares on a Business Combination.</w:t>
      </w:r>
    </w:p>
    <w:p>
      <w:pPr>
        <w:spacing w:after="0" w:line="131" w:lineRule="exact"/>
        <w:rPr>
          <w:sz w:val="20"/>
          <w:szCs w:val="20"/>
          <w:color w:val="auto"/>
        </w:rPr>
      </w:pPr>
    </w:p>
    <w:p>
      <w:pPr>
        <w:ind w:left="540" w:right="60" w:hanging="539"/>
        <w:spacing w:after="0" w:line="282" w:lineRule="auto"/>
        <w:rPr>
          <w:sz w:val="20"/>
          <w:szCs w:val="20"/>
          <w:color w:val="auto"/>
        </w:rPr>
      </w:pPr>
      <w:r>
        <w:rPr>
          <w:rFonts w:ascii="Times New Roman" w:cs="Times New Roman" w:eastAsia="Times New Roman" w:hAnsi="Times New Roman"/>
          <w:sz w:val="18"/>
          <w:szCs w:val="18"/>
          <w:color w:val="auto"/>
        </w:rPr>
        <w:t>51.11 A Director may vote in respect of a Business Combination in which such Director has a conflict of interest with respect to the evaluation of such Business Combination. Such Director must disclose such interest or conflict to the other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262" w:name="page263"/>
    <w:bookmarkEnd w:id="262"/>
    <w:p>
      <w:pPr>
        <w:ind w:left="544" w:right="480" w:hanging="53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51.12 The Company shall not enter into an initial Business Combination with another blank cheque company or a similar company with nominal operations.</w:t>
      </w:r>
    </w:p>
    <w:p>
      <w:pPr>
        <w:spacing w:after="0" w:line="306" w:lineRule="exact"/>
        <w:rPr>
          <w:sz w:val="20"/>
          <w:szCs w:val="20"/>
          <w:color w:val="auto"/>
        </w:rPr>
      </w:pPr>
    </w:p>
    <w:p>
      <w:pPr>
        <w:ind w:left="544" w:hanging="544"/>
        <w:spacing w:after="0"/>
        <w:tabs>
          <w:tab w:leader="none" w:pos="54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Filings</w:t>
      </w:r>
    </w:p>
    <w:p>
      <w:pPr>
        <w:spacing w:after="0" w:line="121" w:lineRule="exact"/>
        <w:rPr>
          <w:rFonts w:ascii="Times New Roman" w:cs="Times New Roman" w:eastAsia="Times New Roman" w:hAnsi="Times New Roman"/>
          <w:sz w:val="18"/>
          <w:szCs w:val="18"/>
          <w:b w:val="1"/>
          <w:bCs w:val="1"/>
          <w:color w:val="auto"/>
        </w:rPr>
      </w:pPr>
    </w:p>
    <w:p>
      <w:pPr>
        <w:ind w:left="544"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The Company further ratifies and approves any such filing made by any Tax Filing Authorised Person or such other person prior to the date of the Articles.</w:t>
      </w:r>
    </w:p>
    <w:p>
      <w:pPr>
        <w:spacing w:after="0" w:line="327"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Opportunities</w:t>
      </w:r>
    </w:p>
    <w:p>
      <w:pPr>
        <w:spacing w:after="0" w:line="131" w:lineRule="exact"/>
        <w:rPr>
          <w:sz w:val="20"/>
          <w:szCs w:val="20"/>
          <w:color w:val="auto"/>
        </w:rPr>
      </w:pPr>
    </w:p>
    <w:p>
      <w:pPr>
        <w:ind w:left="544"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53.1</w:t>
        <w:tab/>
        <w:t>To the fullest extent permitted by Applicable Law, no individual serving as a Director or an Officer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98"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53.2</w:t>
        <w:tab/>
        <w:t>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81"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53.3</w:t>
        <w:tab/>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263" w:name="page264"/>
    <w:bookmarkEnd w:id="263"/>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ectPr>
          <w:pgSz w:w="11900" w:h="16838" w:orient="portrait"/>
          <w:cols w:equalWidth="0" w:num="1">
            <w:col w:w="11020"/>
          </w:cols>
          <w:pgMar w:left="440" w:top="117"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438" w:lineRule="exact"/>
        <w:rPr>
          <w:sz w:val="20"/>
          <w:szCs w:val="20"/>
          <w:color w:val="auto"/>
        </w:rPr>
      </w:pPr>
    </w:p>
    <w:p>
      <w:pPr>
        <w:sectPr>
          <w:pgSz w:w="11900" w:h="16838" w:orient="portrait"/>
          <w:cols w:equalWidth="0" w:num="2">
            <w:col w:w="9740" w:space="720"/>
            <w:col w:w="560"/>
          </w:cols>
          <w:pgMar w:left="440" w:top="117"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G9441E 126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ectPr>
          <w:pgSz w:w="11900" w:h="16838" w:orient="portrait"/>
          <w:cols w:equalWidth="0" w:num="1">
            <w:col w:w="11020"/>
          </w:cols>
          <w:pgMar w:left="440" w:top="117" w:right="439" w:bottom="1440" w:gutter="0" w:footer="0" w:header="0"/>
          <w:type w:val="continuous"/>
        </w:sectPr>
      </w:pPr>
    </w:p>
    <w:p>
      <w:pPr>
        <w:spacing w:after="0" w:line="225" w:lineRule="exact"/>
        <w:rPr>
          <w:sz w:val="20"/>
          <w:szCs w:val="20"/>
          <w:color w:val="auto"/>
        </w:rPr>
      </w:pPr>
    </w:p>
    <w:p>
      <w:pPr>
        <w:jc w:val="center"/>
        <w:ind w:left="460" w:right="760"/>
        <w:spacing w:after="0" w:line="317" w:lineRule="auto"/>
        <w:rPr>
          <w:sz w:val="20"/>
          <w:szCs w:val="20"/>
          <w:color w:val="auto"/>
        </w:rPr>
      </w:pPr>
      <w:r>
        <w:rPr>
          <w:rFonts w:ascii="Times New Roman" w:cs="Times New Roman" w:eastAsia="Times New Roman" w:hAnsi="Times New Roman"/>
          <w:sz w:val="17"/>
          <w:szCs w:val="17"/>
          <w:b w:val="1"/>
          <w:bCs w:val="1"/>
          <w:color w:val="auto"/>
        </w:rPr>
        <w:t>UNITS CONSISTING OF ONE CLASS A ORDINARY SHARE AND ONE-HALF OF ONE REDEEMABLE WARRANT, EACH WHOLE WARRANT ENTITLING THE HOLDER TO PURCHASE ONE CLASS A ORDINARY SHARE</w:t>
      </w:r>
    </w:p>
    <w:p>
      <w:pPr>
        <w:spacing w:after="0" w:line="136" w:lineRule="exact"/>
        <w:rPr>
          <w:sz w:val="20"/>
          <w:szCs w:val="20"/>
          <w:color w:val="auto"/>
        </w:rPr>
      </w:pPr>
    </w:p>
    <w:p>
      <w:pPr>
        <w:ind w:right="260" w:firstLine="440"/>
        <w:spacing w:after="0" w:line="275" w:lineRule="auto"/>
        <w:rPr>
          <w:sz w:val="20"/>
          <w:szCs w:val="20"/>
          <w:color w:val="auto"/>
        </w:rPr>
      </w:pPr>
      <w:r>
        <w:rPr>
          <w:rFonts w:ascii="Times New Roman" w:cs="Times New Roman" w:eastAsia="Times New Roman" w:hAnsi="Times New Roman"/>
          <w:sz w:val="18"/>
          <w:szCs w:val="18"/>
          <w:color w:val="auto"/>
        </w:rPr>
        <w:t>THIS CERTIFIES THAT is the owner of Units of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transferrable on the books of the Company in person or by duly authorized attorney upon surrender of this certificate properly endorsed.</w:t>
      </w:r>
    </w:p>
    <w:p>
      <w:pPr>
        <w:spacing w:after="0" w:line="386" w:lineRule="exact"/>
        <w:rPr>
          <w:sz w:val="20"/>
          <w:szCs w:val="20"/>
          <w:color w:val="auto"/>
        </w:rPr>
      </w:pPr>
    </w:p>
    <w:p>
      <w:pPr>
        <w:ind w:right="40" w:firstLine="440"/>
        <w:spacing w:after="0" w:line="269" w:lineRule="auto"/>
        <w:rPr>
          <w:sz w:val="20"/>
          <w:szCs w:val="20"/>
          <w:color w:val="auto"/>
        </w:rPr>
      </w:pPr>
      <w:r>
        <w:rPr>
          <w:rFonts w:ascii="Times New Roman" w:cs="Times New Roman" w:eastAsia="Times New Roman" w:hAnsi="Times New Roman"/>
          <w:sz w:val="17"/>
          <w:szCs w:val="17"/>
          <w:color w:val="auto"/>
        </w:rPr>
        <w:t>Each Unit (</w:t>
      </w:r>
      <w:r>
        <w:rPr>
          <w:rFonts w:ascii="Times New Roman" w:cs="Times New Roman" w:eastAsia="Times New Roman" w:hAnsi="Times New Roman"/>
          <w:sz w:val="17"/>
          <w:szCs w:val="17"/>
          <w:b w:val="1"/>
          <w:bCs w:val="1"/>
          <w:i w:val="1"/>
          <w:iCs w:val="1"/>
          <w:color w:val="auto"/>
        </w:rPr>
        <w:t>“Unit”</w:t>
      </w:r>
      <w:r>
        <w:rPr>
          <w:rFonts w:ascii="Times New Roman" w:cs="Times New Roman" w:eastAsia="Times New Roman" w:hAnsi="Times New Roman"/>
          <w:sz w:val="17"/>
          <w:szCs w:val="17"/>
          <w:color w:val="auto"/>
        </w:rPr>
        <w:t>) consists of one (1) Class A ordinary share, par value $0.0001 per share (</w:t>
      </w:r>
      <w:r>
        <w:rPr>
          <w:rFonts w:ascii="Times New Roman" w:cs="Times New Roman" w:eastAsia="Times New Roman" w:hAnsi="Times New Roman"/>
          <w:sz w:val="17"/>
          <w:szCs w:val="17"/>
          <w:b w:val="1"/>
          <w:bCs w:val="1"/>
          <w:i w:val="1"/>
          <w:iCs w:val="1"/>
          <w:color w:val="auto"/>
        </w:rPr>
        <w:t>“Ordinary Share”</w:t>
      </w:r>
      <w:r>
        <w:rPr>
          <w:rFonts w:ascii="Times New Roman" w:cs="Times New Roman" w:eastAsia="Times New Roman" w:hAnsi="Times New Roman"/>
          <w:sz w:val="17"/>
          <w:szCs w:val="17"/>
          <w:color w:val="auto"/>
        </w:rPr>
        <w:t xml:space="preserve">), of the Company and one-half of one redeemable warrant (each whole warrant,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xml:space="preserve">). Each Warrant entitles the holder to purchase one Ordinary Share (subject to adjustment) for $11.50 per share (subject to adjustment). Each Warrant will become exercisable on the later of (i) thirty (30) days after the Company’s completion of a merger, share exchange, asset acquisition, share purchase, reorganization or other similar business combination with one or more businesses (each a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 or (ii) twelve (12) months from the closing of the Company’s initial public offering, and will expire unless exercised before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5:00 p.m., New York City Time, on the date that is five (5) years after the date on which the Company completes its initial Business Combination, or earlier upon redemption or liquidation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The Ordinary Shares and Warrants comprising the Units represented by this certificate</w:t>
      </w:r>
    </w:p>
    <w:p>
      <w:pPr>
        <w:sectPr>
          <w:pgSz w:w="11900" w:h="16838" w:orient="portrait"/>
          <w:cols w:equalWidth="0" w:num="1">
            <w:col w:w="11020"/>
          </w:cols>
          <w:pgMar w:left="440" w:top="117" w:right="439" w:bottom="1440" w:gutter="0" w:footer="0" w:header="0"/>
          <w:type w:val="continuous"/>
        </w:sectPr>
      </w:pP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are not transferable separately prior to , 2020, unless UBS Securities LLC elects to allow separate trading earlier,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 will be issued upon separation of the Units. The terms of the Warrants are governed by a Warrant Agreement, dated 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0" w:lineRule="exact"/>
        <w:rPr>
          <w:sz w:val="20"/>
          <w:szCs w:val="20"/>
          <w:color w:val="auto"/>
        </w:rPr>
      </w:pPr>
    </w:p>
    <w:p>
      <w:pPr>
        <w:sectPr>
          <w:pgSz w:w="11900" w:h="16838" w:orient="portrait"/>
          <w:cols w:equalWidth="0" w:num="2">
            <w:col w:w="10680" w:space="160"/>
            <w:col w:w="180"/>
          </w:cols>
          <w:pgMar w:left="440" w:top="117" w:right="439" w:bottom="1440" w:gutter="0" w:footer="0" w:header="0"/>
          <w:type w:val="continuous"/>
        </w:sect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 xml:space="preserve">2020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the facsimile signature of a duly authorized signatory of the Company.</w:t>
      </w:r>
    </w:p>
    <w:p>
      <w:pPr>
        <w:spacing w:after="0" w:line="200" w:lineRule="exact"/>
        <w:rPr>
          <w:sz w:val="20"/>
          <w:szCs w:val="20"/>
          <w:color w:val="auto"/>
        </w:rPr>
      </w:pPr>
    </w:p>
    <w:p>
      <w:pPr>
        <w:spacing w:after="0" w:line="2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264" w:name="page265"/>
    <w:bookmarkEnd w:id="2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each unitholder who so requests, a statement of the powers, designations, preferences and relative, participating, optional or other special rights of each class of equity or series thereof of the Company and the qualifications, limitations, or restrictions of such preferences and/or rights.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tenants in common</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UNIF GIFT MIN ACT    —  ___________ Custodian ___________</w:t>
            </w:r>
          </w:p>
        </w:tc>
        <w:tc>
          <w:tcPr>
            <w:tcW w:w="0" w:type="dxa"/>
            <w:vAlign w:val="bottom"/>
          </w:tcPr>
          <w:p>
            <w:pPr>
              <w:spacing w:after="0"/>
              <w:rPr>
                <w:sz w:val="1"/>
                <w:szCs w:val="1"/>
                <w:color w:val="auto"/>
              </w:rPr>
            </w:pPr>
          </w:p>
        </w:tc>
      </w:tr>
      <w:tr>
        <w:trPr>
          <w:trHeight w:val="234"/>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TEN ENT</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as tenants by the entireties</w:t>
            </w:r>
          </w:p>
        </w:tc>
        <w:tc>
          <w:tcPr>
            <w:tcW w:w="35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(Cust)</w:t>
            </w:r>
          </w:p>
        </w:tc>
        <w:tc>
          <w:tcPr>
            <w:tcW w:w="1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3780" w:type="dxa"/>
            <w:vAlign w:val="bottom"/>
            <w:vMerge w:val="continue"/>
          </w:tcPr>
          <w:p>
            <w:pPr>
              <w:spacing w:after="0"/>
              <w:rPr>
                <w:sz w:val="18"/>
                <w:szCs w:val="18"/>
                <w:color w:val="auto"/>
              </w:rPr>
            </w:pPr>
          </w:p>
        </w:tc>
        <w:tc>
          <w:tcPr>
            <w:tcW w:w="5320" w:type="dxa"/>
            <w:vAlign w:val="bottom"/>
            <w:gridSpan w:val="2"/>
            <w:vMerge w:val="restart"/>
          </w:tcPr>
          <w:p>
            <w:pPr>
              <w:ind w:left="2440"/>
              <w:spacing w:after="0"/>
              <w:rPr>
                <w:sz w:val="20"/>
                <w:szCs w:val="20"/>
                <w:color w:val="auto"/>
              </w:rPr>
            </w:pPr>
            <w:r>
              <w:rPr>
                <w:rFonts w:ascii="Times New Roman" w:cs="Times New Roman" w:eastAsia="Times New Roman" w:hAnsi="Times New Roman"/>
                <w:sz w:val="18"/>
                <w:szCs w:val="18"/>
                <w:color w:val="auto"/>
              </w:rPr>
              <w:t>Under Uniform Gifts to Minors Act</w:t>
            </w: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as joint tenants with right of survivorship and not</w:t>
            </w:r>
          </w:p>
        </w:tc>
        <w:tc>
          <w:tcPr>
            <w:tcW w:w="53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tenants in common</w:t>
            </w:r>
          </w:p>
        </w:tc>
        <w:tc>
          <w:tcPr>
            <w:tcW w:w="356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ind w:left="440"/>
        <w:spacing w:after="0"/>
        <w:tabs>
          <w:tab w:leader="none" w:pos="2620" w:val="left"/>
        </w:tabs>
        <w:rPr>
          <w:sz w:val="20"/>
          <w:szCs w:val="20"/>
          <w:color w:val="auto"/>
        </w:rPr>
      </w:pPr>
      <w:r>
        <w:rPr>
          <w:rFonts w:ascii="Times New Roman" w:cs="Times New Roman" w:eastAsia="Times New Roman" w:hAnsi="Times New Roman"/>
          <w:sz w:val="18"/>
          <w:szCs w:val="18"/>
          <w:i w:val="1"/>
          <w:iCs w:val="1"/>
          <w:color w:val="auto"/>
        </w:rPr>
        <w:t>For value received,</w:t>
      </w:r>
      <w:r>
        <w:rPr>
          <w:sz w:val="20"/>
          <w:szCs w:val="20"/>
          <w:color w:val="auto"/>
        </w:rPr>
        <w:tab/>
      </w:r>
      <w:r>
        <w:rPr>
          <w:rFonts w:ascii="Times New Roman" w:cs="Times New Roman" w:eastAsia="Times New Roman" w:hAnsi="Times New Roman"/>
          <w:sz w:val="17"/>
          <w:szCs w:val="17"/>
          <w:i w:val="1"/>
          <w:iCs w:val="1"/>
          <w:color w:val="auto"/>
        </w:rPr>
        <w:t>hereby sell, assign and transfer unto</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Units represented by the within certificate, and do hereby irrevocably constitute and appoint</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Attorney to transfer the said Units on the books of the within named Company with full power of substitution in the premises.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w:t>
      </w:r>
    </w:p>
    <w:p>
      <w:pPr>
        <w:sectPr>
          <w:pgSz w:w="11900" w:h="16838" w:orient="portrait"/>
          <w:cols w:equalWidth="0" w:num="1">
            <w:col w:w="10980"/>
          </w:cols>
          <w:pgMar w:left="440" w:top="266" w:right="4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0" w:lineRule="exact"/>
        <w:rPr>
          <w:sz w:val="20"/>
          <w:szCs w:val="20"/>
          <w:color w:val="auto"/>
        </w:rPr>
      </w:pPr>
    </w:p>
    <w:p>
      <w:pPr>
        <w:spacing w:after="0" w:line="259"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-984885</wp:posOffset>
            </wp:positionV>
            <wp:extent cx="32918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-433070</wp:posOffset>
            </wp:positionV>
            <wp:extent cx="30689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2">
            <w:col w:w="6080" w:space="200"/>
            <w:col w:w="4700"/>
          </w:cols>
          <w:pgMar w:left="440" w:top="266" w:right="479" w:bottom="1440" w:gutter="0" w:footer="0" w:header="0"/>
          <w:type w:val="continuous"/>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more fully described in, and subject to the terms and conditions described in, the Company’s final prospectus for its initial public offering</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dated the holder(s) of this certificate shall be entitled to receive a pro-rata portion of certain funds held in the trust account established in connection with the Company’s initial public offering in the event that (i) the Company redeems the Ordinary Shares sold in its initial public offering and liquidates because it does not consummate an initial Business Combination within the time period set forth in the Company’s Amended and Restated Memorandum and Articles of Association, as the same may be amended from time to time, or (ii) if the holder(s) properly redeem for cash his, her or its respective Ordinary Shares included in the Units represented by this certificate in connection with (x) a tender offer (or proxy solicitation, solely in the event the Company seeks shareholder approval of the proposed initial Business Combination) setting forth the details of a proposed initial Business Combination or (y) a shareholder vote to amend the Company’s Amended and Restated Memorandum and Articles of Association (A) to modify the substance or timing of the Company’s obligation to allow redemption in connection with the Company’s initial business combination or to redeem 100% of the Ordinary Shares if it does not consummate an initial Business Combination within the time set forth in the Company’s Amended and Restated Memorandum and Articles of Association or (B) with respect to any other material provisions relating to shareholders’ rights or pre-initial Business Combination activity, as the same may be amended from time to time. In no other circumstances shall the holder(s) have any right or interest of any kind in or to the trust account.</w:t>
      </w:r>
    </w:p>
    <w:p>
      <w:pPr>
        <w:sectPr>
          <w:pgSz w:w="11900" w:h="16838" w:orient="portrait"/>
          <w:cols w:equalWidth="0" w:num="1">
            <w:col w:w="11020"/>
          </w:cols>
          <w:pgMar w:left="440" w:top="270" w:right="439" w:bottom="1440" w:gutter="0" w:footer="0" w:header="0"/>
        </w:sectPr>
      </w:pPr>
    </w:p>
    <w:bookmarkStart w:id="266" w:name="page267"/>
    <w:bookmarkEnd w:id="266"/>
    <w:p>
      <w:pPr>
        <w:ind w:left="10180"/>
        <w:spacing w:after="0"/>
        <w:rPr>
          <w:sz w:val="20"/>
          <w:szCs w:val="20"/>
          <w:color w:val="auto"/>
        </w:rPr>
      </w:pPr>
      <w:r>
        <w:rPr>
          <w:rFonts w:ascii="Times New Roman" w:cs="Times New Roman" w:eastAsia="Times New Roman" w:hAnsi="Times New Roman"/>
          <w:sz w:val="17"/>
          <w:szCs w:val="17"/>
          <w:b w:val="1"/>
          <w:bCs w:val="1"/>
          <w:color w:val="auto"/>
        </w:rPr>
        <w:t>Exhibit 4.2</w:t>
      </w:r>
    </w:p>
    <w:p>
      <w:pPr>
        <w:sectPr>
          <w:pgSz w:w="11900" w:h="16838" w:orient="portrait"/>
          <w:cols w:equalWidth="0" w:num="1">
            <w:col w:w="11020"/>
          </w:cols>
          <w:pgMar w:left="440" w:top="117"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449" w:lineRule="exact"/>
        <w:rPr>
          <w:sz w:val="20"/>
          <w:szCs w:val="20"/>
          <w:color w:val="auto"/>
        </w:rPr>
      </w:pPr>
    </w:p>
    <w:p>
      <w:pPr>
        <w:sectPr>
          <w:pgSz w:w="11900" w:h="16838" w:orient="portrait"/>
          <w:cols w:equalWidth="0" w:num="2">
            <w:col w:w="9580" w:space="720"/>
            <w:col w:w="720"/>
          </w:cols>
          <w:pgMar w:left="440" w:top="117"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REVERSE FOR CERTAIN DEFINITIONS</w:t>
      </w:r>
    </w:p>
    <w:p>
      <w:pPr>
        <w:spacing w:after="0" w:line="22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G9441E 100</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5" w:lineRule="exact"/>
        <w:rPr>
          <w:sz w:val="20"/>
          <w:szCs w:val="20"/>
          <w:color w:val="auto"/>
        </w:rPr>
      </w:pPr>
    </w:p>
    <w:p>
      <w:pPr>
        <w:ind w:left="440"/>
        <w:spacing w:after="0"/>
        <w:tabs>
          <w:tab w:leader="none" w:pos="3060" w:val="left"/>
          <w:tab w:leader="none" w:pos="4940" w:val="left"/>
        </w:tabs>
        <w:rPr>
          <w:sz w:val="20"/>
          <w:szCs w:val="20"/>
          <w:color w:val="auto"/>
        </w:rPr>
      </w:pPr>
      <w:r>
        <w:rPr>
          <w:rFonts w:ascii="Times New Roman" w:cs="Times New Roman" w:eastAsia="Times New Roman" w:hAnsi="Times New Roman"/>
          <w:sz w:val="18"/>
          <w:szCs w:val="18"/>
          <w:color w:val="auto"/>
        </w:rPr>
        <w:t>THIS CERTIFIES THAT</w:t>
      </w:r>
      <w:r>
        <w:rPr>
          <w:sz w:val="20"/>
          <w:szCs w:val="20"/>
          <w:color w:val="auto"/>
        </w:rPr>
        <w:tab/>
      </w:r>
      <w:r>
        <w:rPr>
          <w:rFonts w:ascii="Times New Roman" w:cs="Times New Roman" w:eastAsia="Times New Roman" w:hAnsi="Times New Roman"/>
          <w:sz w:val="18"/>
          <w:szCs w:val="18"/>
          <w:color w:val="auto"/>
        </w:rPr>
        <w:t>is the owner of</w:t>
      </w:r>
      <w:r>
        <w:rPr>
          <w:sz w:val="20"/>
          <w:szCs w:val="20"/>
          <w:color w:val="auto"/>
        </w:rPr>
        <w:tab/>
      </w:r>
      <w:r>
        <w:rPr>
          <w:rFonts w:ascii="Times New Roman" w:cs="Times New Roman" w:eastAsia="Times New Roman" w:hAnsi="Times New Roman"/>
          <w:sz w:val="17"/>
          <w:szCs w:val="17"/>
          <w:color w:val="auto"/>
        </w:rPr>
        <w:t>Class A ordinary shares, par value $0.0001 per share (each, a “</w:t>
      </w:r>
      <w:r>
        <w:rPr>
          <w:rFonts w:ascii="Times New Roman" w:cs="Times New Roman" w:eastAsia="Times New Roman" w:hAnsi="Times New Roman"/>
          <w:sz w:val="17"/>
          <w:szCs w:val="17"/>
          <w:b w:val="1"/>
          <w:bCs w:val="1"/>
          <w:i w:val="1"/>
          <w:iCs w:val="1"/>
          <w:color w:val="auto"/>
        </w:rPr>
        <w:t>Class A Ordinary</w:t>
      </w:r>
    </w:p>
    <w:p>
      <w:pPr>
        <w:sectPr>
          <w:pgSz w:w="11900" w:h="16838" w:orient="portrait"/>
          <w:cols w:equalWidth="0" w:num="1">
            <w:col w:w="11020"/>
          </w:cols>
          <w:pgMar w:left="440" w:top="117" w:right="439" w:bottom="1440" w:gutter="0" w:footer="0" w:header="0"/>
          <w:type w:val="continuous"/>
        </w:sectPr>
      </w:pP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of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transferable on the books of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or by duly authorized attorney upon surrender of this certificate properly endorsed.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the facsimile signature of a duly authorized signatory of the Company.</w:t>
      </w:r>
    </w:p>
    <w:p>
      <w:pPr>
        <w:spacing w:after="0" w:line="25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Authorized Signatory</w:t>
      </w:r>
      <w:r>
        <w:rPr>
          <w:sz w:val="20"/>
          <w:szCs w:val="20"/>
          <w:color w:val="auto"/>
        </w:rPr>
        <w:tab/>
      </w:r>
      <w:r>
        <w:rPr>
          <w:rFonts w:ascii="Times New Roman" w:cs="Times New Roman" w:eastAsia="Times New Roman" w:hAnsi="Times New Roman"/>
          <w:sz w:val="17"/>
          <w:szCs w:val="17"/>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type w:val="continuous"/>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of the Company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TEN COM</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tenants in common</w:t>
            </w:r>
          </w:p>
        </w:tc>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UNIF GIFT MIN ACT    —  ___________ Custodian ___________</w:t>
            </w:r>
          </w:p>
        </w:tc>
        <w:tc>
          <w:tcPr>
            <w:tcW w:w="0" w:type="dxa"/>
            <w:vAlign w:val="bottom"/>
          </w:tcPr>
          <w:p>
            <w:pPr>
              <w:spacing w:after="0"/>
              <w:rPr>
                <w:sz w:val="1"/>
                <w:szCs w:val="1"/>
                <w:color w:val="auto"/>
              </w:rPr>
            </w:pPr>
          </w:p>
        </w:tc>
      </w:tr>
      <w:tr>
        <w:trPr>
          <w:trHeight w:val="234"/>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TEN ENT</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as tenants by the entireties</w:t>
            </w:r>
          </w:p>
        </w:tc>
        <w:tc>
          <w:tcPr>
            <w:tcW w:w="35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(Cust)</w:t>
            </w:r>
          </w:p>
        </w:tc>
        <w:tc>
          <w:tcPr>
            <w:tcW w:w="1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3780" w:type="dxa"/>
            <w:vAlign w:val="bottom"/>
            <w:vMerge w:val="continue"/>
          </w:tcPr>
          <w:p>
            <w:pPr>
              <w:spacing w:after="0"/>
              <w:rPr>
                <w:sz w:val="18"/>
                <w:szCs w:val="18"/>
                <w:color w:val="auto"/>
              </w:rPr>
            </w:pPr>
          </w:p>
        </w:tc>
        <w:tc>
          <w:tcPr>
            <w:tcW w:w="5320" w:type="dxa"/>
            <w:vAlign w:val="bottom"/>
            <w:gridSpan w:val="2"/>
            <w:vMerge w:val="restart"/>
          </w:tcPr>
          <w:p>
            <w:pPr>
              <w:ind w:left="2440"/>
              <w:spacing w:after="0"/>
              <w:rPr>
                <w:sz w:val="20"/>
                <w:szCs w:val="20"/>
                <w:color w:val="auto"/>
              </w:rPr>
            </w:pPr>
            <w:r>
              <w:rPr>
                <w:rFonts w:ascii="Times New Roman" w:cs="Times New Roman" w:eastAsia="Times New Roman" w:hAnsi="Times New Roman"/>
                <w:sz w:val="18"/>
                <w:szCs w:val="18"/>
                <w:color w:val="auto"/>
              </w:rPr>
              <w:t>Under Uniform Gifts to Minors Act</w:t>
            </w: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as joint tenants with right of survivorship and not</w:t>
            </w:r>
          </w:p>
        </w:tc>
        <w:tc>
          <w:tcPr>
            <w:tcW w:w="53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tenants in common</w:t>
            </w:r>
          </w:p>
        </w:tc>
        <w:tc>
          <w:tcPr>
            <w:tcW w:w="356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23" w:lineRule="exact"/>
        <w:rPr>
          <w:sz w:val="20"/>
          <w:szCs w:val="20"/>
          <w:color w:val="auto"/>
        </w:rPr>
      </w:pPr>
    </w:p>
    <w:p>
      <w:pPr>
        <w:ind w:left="440"/>
        <w:spacing w:after="0"/>
        <w:tabs>
          <w:tab w:leader="none" w:pos="2620" w:val="left"/>
        </w:tabs>
        <w:rPr>
          <w:sz w:val="20"/>
          <w:szCs w:val="20"/>
          <w:color w:val="auto"/>
        </w:rPr>
      </w:pPr>
      <w:r>
        <w:rPr>
          <w:rFonts w:ascii="Times New Roman" w:cs="Times New Roman" w:eastAsia="Times New Roman" w:hAnsi="Times New Roman"/>
          <w:sz w:val="18"/>
          <w:szCs w:val="18"/>
          <w:i w:val="1"/>
          <w:iCs w:val="1"/>
          <w:color w:val="auto"/>
        </w:rPr>
        <w:t>For value received,</w:t>
      </w:r>
      <w:r>
        <w:rPr>
          <w:sz w:val="20"/>
          <w:szCs w:val="20"/>
          <w:color w:val="auto"/>
        </w:rPr>
        <w:tab/>
      </w:r>
      <w:r>
        <w:rPr>
          <w:rFonts w:ascii="Times New Roman" w:cs="Times New Roman" w:eastAsia="Times New Roman" w:hAnsi="Times New Roman"/>
          <w:sz w:val="17"/>
          <w:szCs w:val="17"/>
          <w:i w:val="1"/>
          <w:iCs w:val="1"/>
          <w:color w:val="auto"/>
        </w:rPr>
        <w:t>hereby sells, assigns and transfers unto</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OF ASSIGNEE(S))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represented by the within certificate, and do hereby irrevocably constitute and appoint</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Attorney to transfer the said Class A Ordinary Shares on the books of the within named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Dated</w:t>
      </w:r>
    </w:p>
    <w:p>
      <w:pPr>
        <w:sectPr>
          <w:pgSz w:w="11900" w:h="16838" w:orient="portrait"/>
          <w:cols w:equalWidth="0" w:num="1">
            <w:col w:w="10980"/>
          </w:cols>
          <w:pgMar w:left="440" w:top="266" w:right="4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0" w:lineRule="exact"/>
        <w:rPr>
          <w:sz w:val="20"/>
          <w:szCs w:val="20"/>
          <w:color w:val="auto"/>
        </w:rPr>
      </w:pPr>
    </w:p>
    <w:p>
      <w:pPr>
        <w:spacing w:after="0" w:line="259"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17"/>
          <w:szCs w:val="17"/>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-984885</wp:posOffset>
            </wp:positionV>
            <wp:extent cx="32918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-433070</wp:posOffset>
            </wp:positionV>
            <wp:extent cx="30689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2">
            <w:col w:w="6080" w:space="200"/>
            <w:col w:w="4700"/>
          </w:cols>
          <w:pgMar w:left="440" w:top="266" w:right="479" w:bottom="1440" w:gutter="0" w:footer="0" w:header="0"/>
          <w:type w:val="continuous"/>
        </w:sectPr>
      </w:pPr>
    </w:p>
    <w:bookmarkStart w:id="268" w:name="page269"/>
    <w:bookmarkEnd w:id="26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more fully described in, and subject to the terms and conditions described in, the Company’s final prospectus for its initial public offering</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dated , the holder(s) of this certificate shall be entitled to receive a pro-rata portion of certain funds held in the trust account established in connection with the Company’s initial public offering in the event that (i) the Company redeems the Class A Ordinary Shares sold in its initial public offering and liquidates because it does not consummate an initial business combination within the time period set forth in the Company’s Amended and Restated Memorandum and Articles of Association, as the same may be amended from time to time, or (ii) if the holder(s) properly redeem for cash his, her or its respective Class A Ordinary Shares represented by this certificate in connection with (x) a tender offer (or proxy solicitation, solely in the event the Company seeks shareholder approval of the proposed initial business combination) setting forth the details of a proposed initial business combination or (y) a shareholder vote to amend the Company’s Amended and Restated Memorandum and Articles of Association (A) to modify the substance or timing of the Company’s obligation to allow redemption in connection with the Company’s initial business combination or to redeem 100% of the Class A Ordinary Shares if it does not consummate an initial business combination within the time set forth in the Company’s Amended and Restated Memorandum and Articles of Association, as the same may be amended from time to time or (B) with respect to any other material provisions relating to shareholders’ rights or pre-initial Business Combination activity. In no other circumstances shall the holder(s) have any right or interest of any kind in or to the trust account.</w:t>
      </w:r>
    </w:p>
    <w:p>
      <w:pPr>
        <w:sectPr>
          <w:pgSz w:w="11900" w:h="16838" w:orient="portrait"/>
          <w:cols w:equalWidth="0" w:num="1">
            <w:col w:w="11000"/>
          </w:cols>
          <w:pgMar w:left="440" w:top="270" w:right="45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 EXERCISE PERIOD PROVIDED FOR IN THE WARRANT AGREEMENT DESCRIBED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Under the Laws of the Cayman Islands</w:t>
      </w:r>
    </w:p>
    <w:p>
      <w:pPr>
        <w:spacing w:after="0" w:line="20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G9441E 118</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440"/>
        <w:spacing w:after="0"/>
        <w:tabs>
          <w:tab w:leader="none" w:pos="4100" w:val="left"/>
          <w:tab w:leader="none" w:pos="8360" w:val="left"/>
        </w:tabs>
        <w:rPr>
          <w:sz w:val="20"/>
          <w:szCs w:val="20"/>
          <w:color w:val="auto"/>
        </w:rPr>
      </w:pPr>
      <w:r>
        <w:rPr>
          <w:rFonts w:ascii="Times New Roman" w:cs="Times New Roman" w:eastAsia="Times New Roman" w:hAnsi="Times New Roman"/>
          <w:sz w:val="18"/>
          <w:szCs w:val="18"/>
          <w:b w:val="1"/>
          <w:bCs w:val="1"/>
          <w:color w:val="auto"/>
        </w:rPr>
        <w:t>This Warrant Certificate certifies that</w:t>
      </w:r>
      <w:r>
        <w:rPr>
          <w:sz w:val="20"/>
          <w:szCs w:val="20"/>
          <w:color w:val="auto"/>
        </w:rPr>
        <w:tab/>
      </w:r>
      <w:r>
        <w:rPr>
          <w:rFonts w:ascii="Times New Roman" w:cs="Times New Roman" w:eastAsia="Times New Roman" w:hAnsi="Times New Roman"/>
          <w:sz w:val="18"/>
          <w:szCs w:val="18"/>
          <w:color w:val="auto"/>
        </w:rPr>
        <w:t>, or registered assigns, is the registered holder of</w:t>
      </w:r>
      <w:r>
        <w:rPr>
          <w:sz w:val="20"/>
          <w:szCs w:val="20"/>
          <w:color w:val="auto"/>
        </w:rPr>
        <w:tab/>
      </w:r>
      <w:r>
        <w:rPr>
          <w:rFonts w:ascii="Times New Roman" w:cs="Times New Roman" w:eastAsia="Times New Roman" w:hAnsi="Times New Roman"/>
          <w:sz w:val="18"/>
          <w:szCs w:val="18"/>
          <w:color w:val="auto"/>
        </w:rPr>
        <w:t>warrants evidenced hereby (the</w:t>
      </w:r>
    </w:p>
    <w:p>
      <w:pPr>
        <w:spacing w:after="0" w:line="3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and each, a</w:t>
      </w:r>
      <w:r>
        <w:rPr>
          <w:rFonts w:ascii="Times New Roman" w:cs="Times New Roman" w:eastAsia="Times New Roman" w:hAnsi="Times New Roman"/>
          <w:sz w:val="17"/>
          <w:szCs w:val="17"/>
          <w:b w:val="1"/>
          <w:bCs w:val="1"/>
          <w:color w:val="auto"/>
        </w:rPr>
        <w:t xml:space="preserve"> “Warrant”</w:t>
      </w:r>
      <w:r>
        <w:rPr>
          <w:rFonts w:ascii="Times New Roman" w:cs="Times New Roman" w:eastAsia="Times New Roman" w:hAnsi="Times New Roman"/>
          <w:sz w:val="17"/>
          <w:szCs w:val="17"/>
          <w:color w:val="auto"/>
        </w:rPr>
        <w:t>) to purchase Class A Ordinary Shares, $0.0001 par value per share (the</w:t>
      </w:r>
      <w:r>
        <w:rPr>
          <w:rFonts w:ascii="Times New Roman" w:cs="Times New Roman" w:eastAsia="Times New Roman" w:hAnsi="Times New Roman"/>
          <w:sz w:val="17"/>
          <w:szCs w:val="17"/>
          <w:b w:val="1"/>
          <w:bCs w:val="1"/>
          <w:color w:val="auto"/>
        </w:rPr>
        <w:t xml:space="preserve"> “Ordinary Shares”</w:t>
      </w:r>
      <w:r>
        <w:rPr>
          <w:rFonts w:ascii="Times New Roman" w:cs="Times New Roman" w:eastAsia="Times New Roman" w:hAnsi="Times New Roman"/>
          <w:sz w:val="17"/>
          <w:szCs w:val="17"/>
          <w:color w:val="auto"/>
        </w:rPr>
        <w:t>), of VPC Impact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Acquisition Holdings, a Cayman Islands exempted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7"/>
          <w:szCs w:val="17"/>
          <w:b w:val="1"/>
          <w:bCs w:val="1"/>
          <w:color w:val="auto"/>
        </w:rPr>
        <w:t>“Warrant Price”</w:t>
      </w:r>
      <w:r>
        <w:rPr>
          <w:rFonts w:ascii="Times New Roman" w:cs="Times New Roman" w:eastAsia="Times New Roman" w:hAnsi="Times New Roman"/>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ectPr>
          <w:pgSz w:w="11900" w:h="16838" w:orient="portrait"/>
          <w:cols w:equalWidth="0" w:num="1">
            <w:col w:w="11020"/>
          </w:cols>
          <w:pgMar w:left="440" w:top="117" w:right="439" w:bottom="1440" w:gutter="0" w:footer="0" w:header="0"/>
        </w:sectPr>
      </w:pPr>
    </w:p>
    <w:bookmarkStart w:id="270" w:name="page271"/>
    <w:bookmarkEnd w:id="27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60"/>
          </w:cols>
          <w:pgMar w:left="1440" w:top="270" w:right="1199" w:bottom="1440" w:gutter="0" w:footer="0" w:header="0"/>
        </w:sectPr>
      </w:pPr>
    </w:p>
    <w:bookmarkStart w:id="271" w:name="page272"/>
    <w:bookmarkEnd w:id="27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Warrant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Warrants evidenced by this Warrant Certificate are part of a duly authorized issue of Warrants entitling the holder on exercise to receive Ordinary Shares and are issued or to be issued pursuant to a Warrant Agreement dated as of [ ]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xml:space="preserve">),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meaning the Registered Holders or Registered Holder, respectively) of the Warrants. A copy of the Warrant Agreement may be obtained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w:t>
      </w:r>
    </w:p>
    <w:p>
      <w:pPr>
        <w:spacing w:after="0" w:line="27" w:lineRule="exact"/>
        <w:rPr>
          <w:sz w:val="20"/>
          <w:szCs w:val="20"/>
          <w:color w:val="auto"/>
        </w:rPr>
      </w:pPr>
    </w:p>
    <w:p>
      <w:pPr>
        <w:ind w:left="4" w:right="160" w:hanging="4"/>
        <w:spacing w:after="0" w:line="260" w:lineRule="auto"/>
        <w:tabs>
          <w:tab w:leader="none" w:pos="21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1024"/>
          </w:cols>
          <w:pgMar w:left="436" w:top="270" w:right="439" w:bottom="1440" w:gutter="0" w:footer="0" w:header="0"/>
        </w:sectPr>
      </w:pPr>
    </w:p>
    <w:bookmarkStart w:id="272" w:name="page273"/>
    <w:bookmarkEnd w:id="27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to Purchase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tenders payment for such Ordinary Shares to the order of VPC Impact Acquisition Holdings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whose address is and that such Ordinary Shares be delivered to whose address is . If said number of shares is less than all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purchasable hereunder, the undersigned requests that a new Warrant Certificate representing the remaining balance of such Ordinary</w:t>
      </w:r>
    </w:p>
    <w:p>
      <w:pPr>
        <w:spacing w:after="0" w:line="200" w:lineRule="exact"/>
        <w:rPr>
          <w:sz w:val="20"/>
          <w:szCs w:val="20"/>
          <w:color w:val="auto"/>
        </w:rPr>
      </w:pPr>
    </w:p>
    <w:p>
      <w:pPr>
        <w:spacing w:after="0" w:line="2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Shares be registered in the name of , whose address is and that such Warrant Certificate be delivered to , whose address is .</w:t>
      </w:r>
    </w:p>
    <w:p>
      <w:pPr>
        <w:spacing w:after="0" w:line="200" w:lineRule="exact"/>
        <w:rPr>
          <w:sz w:val="20"/>
          <w:szCs w:val="20"/>
          <w:color w:val="auto"/>
        </w:rPr>
      </w:pPr>
    </w:p>
    <w:p>
      <w:pPr>
        <w:spacing w:after="0" w:line="223"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and a holder thereof elects to exercise its Warrant pursuant to a Make-Whole Exercise,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as applicable.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is a Private Placement Warrant that is to be exercised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Warrant is to be exercised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w:t>
      </w:r>
    </w:p>
    <w:p>
      <w:pPr>
        <w:spacing w:after="0" w:line="162"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273" w:name="page274"/>
    <w:bookmarkEnd w:id="273"/>
    <w:p>
      <w:pPr>
        <w:spacing w:after="0"/>
        <w:tabs>
          <w:tab w:leader="none" w:pos="13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(Signature)</w:t>
      </w:r>
    </w:p>
    <w:p>
      <w:pPr>
        <w:spacing w:after="0" w:line="9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(Address)</w:t>
      </w:r>
    </w:p>
    <w:p>
      <w:pPr>
        <w:spacing w:after="0" w:line="2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-127635</wp:posOffset>
            </wp:positionV>
            <wp:extent cx="335153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32918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 2020, is by and between VPC Impact Acquisition Holdings, a</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as warrant agent (in such capacity,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also referred to herein as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7"/>
          <w:szCs w:val="17"/>
          <w:color w:val="auto"/>
        </w:rPr>
        <w:t>WHEREAS, the Company is engaged in an initial public offering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of units of the Company’s equity securities, each such unit comprised of one Class A ordinary share of the Company, par value $0.0001 per share (“</w:t>
      </w:r>
      <w:r>
        <w:rPr>
          <w:rFonts w:ascii="Times New Roman" w:cs="Times New Roman" w:eastAsia="Times New Roman" w:hAnsi="Times New Roman"/>
          <w:sz w:val="17"/>
          <w:szCs w:val="17"/>
          <w:b w:val="1"/>
          <w:bCs w:val="1"/>
          <w:i w:val="1"/>
          <w:iCs w:val="1"/>
          <w:color w:val="auto"/>
        </w:rPr>
        <w:t>Ordinary Shares</w:t>
      </w:r>
      <w:r>
        <w:rPr>
          <w:rFonts w:ascii="Times New Roman" w:cs="Times New Roman" w:eastAsia="Times New Roman" w:hAnsi="Times New Roman"/>
          <w:sz w:val="17"/>
          <w:szCs w:val="17"/>
          <w:color w:val="auto"/>
        </w:rPr>
        <w:t>”) and one-half of one redeemable Public Warrant (as defined below)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and, in connection therewith, has determined to issue and deliver up to 10,000,000 warrants (or up to 11,500,000 warrants if the Over-allotment Option (as defined below) is exercised in full) to public investors in the Offering (the “</w:t>
      </w:r>
      <w:r>
        <w:rPr>
          <w:rFonts w:ascii="Times New Roman" w:cs="Times New Roman" w:eastAsia="Times New Roman" w:hAnsi="Times New Roman"/>
          <w:sz w:val="17"/>
          <w:szCs w:val="17"/>
          <w:b w:val="1"/>
          <w:bCs w:val="1"/>
          <w:i w:val="1"/>
          <w:iCs w:val="1"/>
          <w:color w:val="auto"/>
        </w:rPr>
        <w:t>Public Warrants</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entered into that certain Private Placement Warrants Purchase Agreement with VPC Impact Acquisition Holdings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pursuant to which the Sponsor agreed to purchase an aggregate of 6,000,000 private placement warrants (or up to 6,600,000 private placement warrants if the Over-allotment Option is exercised in full) simultaneously with the closing of the Offering (and the closing of the Over-allotment Option, if applicable)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xml:space="preserve">”), each bearing the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at a purchase price of $1.00 per Private Placement Warrant;</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initial Business Combination (as defined below), the Sponsor or an affiliate of the Sponsor or the Company’s officers and directors may, but are not obligated to, loan to the Company funds as the Company may require, of which up to $1,500,000 of such loans may be convertible into up to an additional 1,500,000 warrants at a price of $1.00 per warrant, which will be identical to the Private Placement Warrants (the “</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and, together with the Private Placement Warrants and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each Warrant entitles the holder thereof to purchase one Ordinary Share at a price of $11.50 per share, subject to adjustment as described herein;</w:t>
      </w:r>
    </w:p>
    <w:p>
      <w:pPr>
        <w:spacing w:after="0" w:line="158"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has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S-1, File No. 333-248619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a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the Public Warrants and the Ordinary Shares included in the Units;</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320" w:firstLine="436"/>
        <w:spacing w:after="0" w:line="266" w:lineRule="auto"/>
        <w:tabs>
          <w:tab w:leader="none" w:pos="6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xml:space="preserve">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Form of Warrant.</w:t>
      </w:r>
      <w:r>
        <w:rPr>
          <w:rFonts w:ascii="Times New Roman" w:cs="Times New Roman" w:eastAsia="Times New Roman" w:hAnsi="Times New Roman"/>
          <w:sz w:val="17"/>
          <w:szCs w:val="17"/>
          <w:color w:val="auto"/>
        </w:rPr>
        <w:t xml:space="preserve"> Each Warrant shall be issued in registered form only, and, if a physical certificate is issued, shall be in substantially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the provisions of which are incorporated herein and shall be signed by, or bear the facsimile signature of, the Chairman of the Company’s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President, Chief Executive Officer, Chief Financial Officer, Secretary or other principal officer of the</w:t>
      </w:r>
    </w:p>
    <w:p>
      <w:pPr>
        <w:sectPr>
          <w:pgSz w:w="11900" w:h="16838" w:orient="portrait"/>
          <w:cols w:equalWidth="0" w:num="1">
            <w:col w:w="11020"/>
          </w:cols>
          <w:pgMar w:left="440" w:top="117" w:right="439" w:bottom="1440" w:gutter="0" w:footer="0" w:header="0"/>
        </w:sectPr>
      </w:pPr>
    </w:p>
    <w:bookmarkStart w:id="275" w:name="page276"/>
    <w:bookmarkEnd w:id="275"/>
    <w:p>
      <w:pPr>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Times New Roman" w:cs="Times New Roman" w:eastAsia="Times New Roman" w:hAnsi="Times New Roman"/>
          <w:sz w:val="17"/>
          <w:szCs w:val="17"/>
          <w:b w:val="1"/>
          <w:bCs w:val="1"/>
          <w:i w:val="1"/>
          <w:iCs w:val="1"/>
          <w:color w:val="auto"/>
        </w:rPr>
        <w:t>Book-Entry Warrant Certificate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xml:space="preserve"> If a physical certificate is issued, unless and until countersigned by the Warrant Agent pursuant to this Agreement, a Warrant certificate shall be invalid and of no effect and may not be exercised by the holder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xml:space="preserve"> The Warrant Agent shall maintain books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and registered in the name of Cede &amp; Co., a nominee of the Depositary.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Times New Roman" w:cs="Times New Roman" w:eastAsia="Times New Roman" w:hAnsi="Times New Roman"/>
          <w:sz w:val="18"/>
          <w:szCs w:val="18"/>
          <w:b w:val="1"/>
          <w:bCs w:val="1"/>
          <w:i w:val="1"/>
          <w:iCs w:val="1"/>
          <w:color w:val="auto"/>
        </w:rPr>
        <w:t>Definitive Warrant Certificate</w:t>
      </w:r>
      <w:r>
        <w:rPr>
          <w:rFonts w:ascii="Times New Roman" w:cs="Times New Roman" w:eastAsia="Times New Roman" w:hAnsi="Times New Roman"/>
          <w:sz w:val="18"/>
          <w:szCs w:val="18"/>
          <w:color w:val="auto"/>
        </w:rPr>
        <w:t xml:space="preserve">”). Such Definitive Warrant Certificate shall be in the form annexed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appropriate insertions, modifications and omissions, as provided above.</w:t>
      </w:r>
    </w:p>
    <w:p>
      <w:pPr>
        <w:spacing w:after="0" w:line="187" w:lineRule="exact"/>
        <w:rPr>
          <w:sz w:val="20"/>
          <w:szCs w:val="20"/>
          <w:color w:val="auto"/>
        </w:rPr>
      </w:pPr>
    </w:p>
    <w:p>
      <w:pPr>
        <w:ind w:right="16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xml:space="preserve">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xml:space="preserve"> The Ordinary Shares and Public Warrants comprising the Units shall begin separate trading on the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following the date of the Prospectus or, if such 52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day is not on a day, other than a Saturday, Sunday or federal holiday, on which banks in New York City are generally open for normal business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then on the immediately succeeding Business Day following such date, or earlier (the “</w:t>
      </w:r>
      <w:r>
        <w:rPr>
          <w:rFonts w:ascii="Times New Roman" w:cs="Times New Roman" w:eastAsia="Times New Roman" w:hAnsi="Times New Roman"/>
          <w:sz w:val="18"/>
          <w:szCs w:val="18"/>
          <w:b w:val="1"/>
          <w:bCs w:val="1"/>
          <w:i w:val="1"/>
          <w:iCs w:val="1"/>
          <w:color w:val="auto"/>
        </w:rPr>
        <w:t>Detachment Date</w:t>
      </w:r>
      <w:r>
        <w:rPr>
          <w:rFonts w:ascii="Times New Roman" w:cs="Times New Roman" w:eastAsia="Times New Roman" w:hAnsi="Times New Roman"/>
          <w:sz w:val="18"/>
          <w:szCs w:val="18"/>
          <w:color w:val="auto"/>
        </w:rPr>
        <w:t>”) with the consent of UBS Securities LLC, as representative of the several underwriters, but in no event shall the Ordinary Shares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received by the Company from the exercise by the underwriters of their right to purchase additional Units in the Offering (the “</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if the Over-allotment Option is exercised prior to the filing of the Current Report on Form 8-K, and (B) the Company issues a press release and files with the Commission a Current Report on Form 8-K announcing when such separate trading shall begin.</w:t>
      </w:r>
    </w:p>
    <w:p>
      <w:pPr>
        <w:spacing w:after="0" w:line="188"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Warrants Other Than as Part of Units</w:t>
      </w:r>
      <w:r>
        <w:rPr>
          <w:rFonts w:ascii="Times New Roman" w:cs="Times New Roman" w:eastAsia="Times New Roman" w:hAnsi="Times New Roman"/>
          <w:sz w:val="18"/>
          <w:szCs w:val="18"/>
          <w:color w:val="auto"/>
        </w:rPr>
        <w:t>. The Company shall not issue fractional Warrants other than as part of the Units, each of which is comprised of one Ordinary Share and one-half of one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Private Placement Warrants and Working Capital Warrants.</w:t>
      </w:r>
      <w:r>
        <w:rPr>
          <w:rFonts w:ascii="Times New Roman" w:cs="Times New Roman" w:eastAsia="Times New Roman" w:hAnsi="Times New Roman"/>
          <w:sz w:val="18"/>
          <w:szCs w:val="18"/>
          <w:color w:val="auto"/>
        </w:rPr>
        <w:t xml:space="preserve"> The Private Placement Warrants and the Working Capital Warrants shall be identical to the Public Warrants, except that so long as they are held by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76" w:name="page277"/>
    <w:bookmarkEnd w:id="2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Sponsor or any of its Permitted Transferees (as defined below), as applicable, the Private Placement Warrants and the Working Capital Warrants:</w:t>
      </w:r>
    </w:p>
    <w:p>
      <w:pPr>
        <w:spacing w:after="0" w:line="27" w:lineRule="exact"/>
        <w:rPr>
          <w:sz w:val="20"/>
          <w:szCs w:val="20"/>
          <w:color w:val="auto"/>
        </w:rPr>
      </w:pPr>
    </w:p>
    <w:p>
      <w:pPr>
        <w:ind w:left="4" w:right="140" w:hanging="4"/>
        <w:spacing w:after="0" w:line="250" w:lineRule="auto"/>
        <w:tabs>
          <w:tab w:leader="none" w:pos="21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redeemable by the Company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(ii) may not (including the Ordinary Shares issued upon exercise of the Private Placement Warrants and the Working Capital Warrants) be transferred, assigned or sold until the date that is thirty (30) days after the completion by the Company of an initial Business Combination (as defined below); and (iii) may be exercised for cash or on a cashless basis, pursuant to </w:t>
      </w:r>
      <w:r>
        <w:rPr>
          <w:rFonts w:ascii="Times New Roman" w:cs="Times New Roman" w:eastAsia="Times New Roman" w:hAnsi="Times New Roman"/>
          <w:sz w:val="18"/>
          <w:szCs w:val="18"/>
          <w:u w:val="single" w:color="auto"/>
          <w:color w:val="auto"/>
        </w:rPr>
        <w:t>subsection</w:t>
      </w:r>
    </w:p>
    <w:p>
      <w:pPr>
        <w:spacing w:after="0" w:line="1" w:lineRule="exact"/>
        <w:rPr>
          <w:rFonts w:ascii="Times New Roman" w:cs="Times New Roman" w:eastAsia="Times New Roman" w:hAnsi="Times New Roman"/>
          <w:sz w:val="18"/>
          <w:szCs w:val="18"/>
          <w:color w:val="auto"/>
        </w:rPr>
      </w:pPr>
    </w:p>
    <w:p>
      <w:pPr>
        <w:ind w:left="4"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3.3.1(c)</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case of (ii), the Private Placement Warrants and the Working Capital Warrants and any Ordinary Shares held by the Sponsor or any of its Permitted Transferees, as applicable, and issued upon exercise of the Private Placement Warrants and the Working Capital Warrants may be transferred by the holders thereof:</w:t>
      </w:r>
    </w:p>
    <w:p>
      <w:pPr>
        <w:spacing w:after="0" w:line="185" w:lineRule="exact"/>
        <w:rPr>
          <w:rFonts w:ascii="Times New Roman" w:cs="Times New Roman" w:eastAsia="Times New Roman" w:hAnsi="Times New Roman"/>
          <w:sz w:val="18"/>
          <w:szCs w:val="18"/>
          <w:color w:val="auto"/>
        </w:rPr>
      </w:pPr>
    </w:p>
    <w:p>
      <w:pPr>
        <w:ind w:left="4" w:right="680" w:firstLine="1428"/>
        <w:spacing w:after="0" w:line="282" w:lineRule="auto"/>
        <w:tabs>
          <w:tab w:leader="none" w:pos="168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officers or directors, any affiliate or family member of any of the Company’s officers or directors, any members or partners of the Sponsor or their affiliates, any affiliates of the Sponsor, or any employees of such affiliates;</w:t>
      </w:r>
    </w:p>
    <w:p>
      <w:pPr>
        <w:spacing w:after="0" w:line="161"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69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gift to a member of such individual’s immediate family or to a trust, the beneficiary of which is a member of such individual’s immediate family, an affiliate of such individual or to a charitable organization;</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virtue of the laws of descent and distribution upon death of such person;</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pursuant to a qualified domestic relations order;</w:t>
      </w:r>
    </w:p>
    <w:p>
      <w:pPr>
        <w:spacing w:after="0" w:line="225" w:lineRule="exact"/>
        <w:rPr>
          <w:rFonts w:ascii="Times New Roman" w:cs="Times New Roman" w:eastAsia="Times New Roman" w:hAnsi="Times New Roman"/>
          <w:sz w:val="18"/>
          <w:szCs w:val="18"/>
          <w:color w:val="auto"/>
        </w:rPr>
      </w:pPr>
    </w:p>
    <w:p>
      <w:pPr>
        <w:ind w:left="4" w:right="180" w:firstLine="1428"/>
        <w:spacing w:after="0" w:line="266" w:lineRule="auto"/>
        <w:tabs>
          <w:tab w:leader="none" w:pos="168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private sales or transfers made in connection with any forward purchase agreement or similar arrangement or in connection with the consummation of an initial Business Combination at prices no greater than the price at which the Ordinary Shares or Warrants were originally purchased;</w:t>
      </w:r>
    </w:p>
    <w:p>
      <w:pPr>
        <w:spacing w:after="0" w:line="175" w:lineRule="exact"/>
        <w:rPr>
          <w:rFonts w:ascii="Times New Roman" w:cs="Times New Roman" w:eastAsia="Times New Roman" w:hAnsi="Times New Roman"/>
          <w:sz w:val="18"/>
          <w:szCs w:val="18"/>
          <w:color w:val="auto"/>
        </w:rPr>
      </w:pPr>
    </w:p>
    <w:p>
      <w:pPr>
        <w:ind w:left="1664" w:hanging="232"/>
        <w:spacing w:after="0"/>
        <w:tabs>
          <w:tab w:leader="none" w:pos="166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laws of the Cayman Islands or the limited liability company agreement of the Sponsor upon dissolution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liquidation prior to the consummation of a Business Combination; and</w:t>
      </w:r>
    </w:p>
    <w:p>
      <w:pPr>
        <w:spacing w:after="0" w:line="225"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subsequent to the consummation of an initial Business Combination, the Company completes a liquidation, merger, share exchange or other similar transaction which results in all of its shareholders having the right to exchange their Ordinary Shares for cash, securities or other property;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case of clauses (a) through (f), these transferees (the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enter into a written agreement with the Company agreeing to be bound by the transfer restrictions in this Agreement and the other restrictions contained in the letter agreement, dated as of the date hereof, by and among the Company, the Sponsor and the Company’s officers and directors.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Working Capital Warrants.</w:t>
      </w:r>
      <w:r>
        <w:rPr>
          <w:rFonts w:ascii="Times New Roman" w:cs="Times New Roman" w:eastAsia="Times New Roman" w:hAnsi="Times New Roman"/>
          <w:sz w:val="18"/>
          <w:szCs w:val="18"/>
          <w:color w:val="auto"/>
        </w:rPr>
        <w:t xml:space="preserve"> Each of the Working Capital Warrants shall be identical to the Private Placement Warrants.</w:t>
      </w:r>
    </w:p>
    <w:p>
      <w:pPr>
        <w:spacing w:after="0" w:line="225" w:lineRule="exact"/>
        <w:rPr>
          <w:sz w:val="20"/>
          <w:szCs w:val="20"/>
          <w:color w:val="auto"/>
        </w:rPr>
      </w:pPr>
    </w:p>
    <w:p>
      <w:pPr>
        <w:ind w:left="624" w:hanging="184"/>
        <w:spacing w:after="0"/>
        <w:tabs>
          <w:tab w:leader="none" w:pos="6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xml:space="preserve"> Each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and in the last sentence of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The term “Warrant Price” as used in this Agreement shall mean the price per share (including in cash or by payment of Warrants pursuant to a “cashless exercise,” to the extent permitted hereunder) described in the prior sentence at which the Ordinary Shares may be purchased at the time a Warrant is exercised. The Company in its sole discretion may lower the Warrant Price at any time prior to the Expiration Date (as defined below) for a period of not less than fifteen (15) Business Days (unless otherwise required by the Commission, any national securities exchange on which the Warrants are listed or applicable law), provided, that the Company shall provide at least five</w:t>
      </w:r>
    </w:p>
    <w:p>
      <w:pPr>
        <w:spacing w:after="0" w:line="2" w:lineRule="exact"/>
        <w:rPr>
          <w:sz w:val="20"/>
          <w:szCs w:val="20"/>
          <w:color w:val="auto"/>
        </w:rPr>
      </w:pPr>
    </w:p>
    <w:p>
      <w:pPr>
        <w:ind w:left="4" w:right="340" w:hanging="4"/>
        <w:spacing w:after="0" w:line="260"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of such reduction to Registered Holders of the Warrants and, provided further that any such reduction shall be identical among all of the Warrants.</w:t>
      </w:r>
    </w:p>
    <w:p>
      <w:pPr>
        <w:spacing w:after="0" w:line="177" w:lineRule="exact"/>
        <w:rPr>
          <w:sz w:val="20"/>
          <w:szCs w:val="20"/>
          <w:color w:val="auto"/>
        </w:rPr>
      </w:pPr>
    </w:p>
    <w:p>
      <w:pPr>
        <w:ind w:left="4" w:firstLine="991"/>
        <w:spacing w:after="0" w:line="29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Duration of Warrants.</w:t>
      </w:r>
      <w:r>
        <w:rPr>
          <w:rFonts w:ascii="Times New Roman" w:cs="Times New Roman" w:eastAsia="Times New Roman" w:hAnsi="Times New Roman"/>
          <w:sz w:val="17"/>
          <w:szCs w:val="17"/>
          <w:color w:val="auto"/>
        </w:rPr>
        <w:t xml:space="preserve"> A Warrant may be exercised only during the period (the “</w:t>
      </w:r>
      <w:r>
        <w:rPr>
          <w:rFonts w:ascii="Times New Roman" w:cs="Times New Roman" w:eastAsia="Times New Roman" w:hAnsi="Times New Roman"/>
          <w:sz w:val="17"/>
          <w:szCs w:val="17"/>
          <w:b w:val="1"/>
          <w:bCs w:val="1"/>
          <w:i w:val="1"/>
          <w:iCs w:val="1"/>
          <w:color w:val="auto"/>
        </w:rPr>
        <w:t>Exercise Period</w:t>
      </w:r>
      <w:r>
        <w:rPr>
          <w:rFonts w:ascii="Times New Roman" w:cs="Times New Roman" w:eastAsia="Times New Roman" w:hAnsi="Times New Roman"/>
          <w:sz w:val="17"/>
          <w:szCs w:val="17"/>
          <w:color w:val="auto"/>
        </w:rPr>
        <w:t>”) commencing on the later of: (i) the date that is thirty (30) days after the first date on which the Company completes a merger, share exchange, asset acquisition, share purchase, reorganization or similar business combination, involving the Company and one or more businesses (a “</w:t>
      </w:r>
      <w:r>
        <w:rPr>
          <w:rFonts w:ascii="Times New Roman" w:cs="Times New Roman" w:eastAsia="Times New Roman" w:hAnsi="Times New Roman"/>
          <w:sz w:val="17"/>
          <w:szCs w:val="17"/>
          <w:b w:val="1"/>
          <w:bCs w:val="1"/>
          <w:i w:val="1"/>
          <w:iCs w:val="1"/>
          <w:color w:val="auto"/>
        </w:rPr>
        <w:t>Business Combination</w:t>
      </w:r>
      <w:r>
        <w:rPr>
          <w:rFonts w:ascii="Times New Roman" w:cs="Times New Roman" w:eastAsia="Times New Roman" w:hAnsi="Times New Roman"/>
          <w:sz w:val="17"/>
          <w:szCs w:val="17"/>
          <w:color w:val="auto"/>
        </w:rPr>
        <w:t>”), and (ii) the date that is</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277" w:name="page278"/>
    <w:bookmarkEnd w:id="277"/>
    <w:p>
      <w:pPr>
        <w:ind w:left="4"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twelve (12) months from the date of the closing of the Offering, and terminating on the earliest to occur of: (x) 5:00 p.m., New York City time on the date that is five (5) years after the date on which the Company completes its initial Business Combination, (y) the liquidation of the Company, and</w:t>
      </w:r>
    </w:p>
    <w:p>
      <w:pPr>
        <w:spacing w:after="0" w:line="1" w:lineRule="exact"/>
        <w:rPr>
          <w:sz w:val="20"/>
          <w:szCs w:val="20"/>
          <w:color w:val="auto"/>
        </w:rPr>
      </w:pPr>
    </w:p>
    <w:p>
      <w:pPr>
        <w:ind w:left="4" w:hanging="4"/>
        <w:spacing w:after="0" w:line="268" w:lineRule="auto"/>
        <w:tabs>
          <w:tab w:leader="none" w:pos="249"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with respect to the Private Placement Warrants and the Working Capital Warrants, 5:00 p.m., New York City time on the Redemption Date (as defined below) as provided in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hereof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exercise of any Warrant shall be subject to the satisfaction of any applicable conditions, as set forth in </w:t>
      </w:r>
      <w:r>
        <w:rPr>
          <w:rFonts w:ascii="Times New Roman" w:cs="Times New Roman" w:eastAsia="Times New Roman" w:hAnsi="Times New Roman"/>
          <w:sz w:val="17"/>
          <w:szCs w:val="17"/>
          <w:u w:val="single" w:color="auto"/>
          <w:color w:val="auto"/>
        </w:rPr>
        <w:t>subsection 3.3.2</w:t>
      </w:r>
      <w:r>
        <w:rPr>
          <w:rFonts w:ascii="Times New Roman" w:cs="Times New Roman" w:eastAsia="Times New Roman" w:hAnsi="Times New Roman"/>
          <w:sz w:val="17"/>
          <w:szCs w:val="17"/>
          <w:color w:val="auto"/>
        </w:rPr>
        <w:t xml:space="preserve"> below, with respect to an effective registration statement. Except with respect to the right to receive the Redemption Price (as defined below) (other than with respect to a Private Placement Warrant or a Working Capital Warrant) in the event of a redemption (as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hereof), each outstanding Warrant (other than a Private Placement Warrant or a Working Capital Warrant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Times New Roman" w:cs="Times New Roman" w:eastAsia="Times New Roman" w:hAnsi="Times New Roman"/>
          <w:sz w:val="18"/>
          <w:szCs w:val="18"/>
          <w:b w:val="1"/>
          <w:bCs w:val="1"/>
          <w:i w:val="1"/>
          <w:iCs w:val="1"/>
          <w:color w:val="auto"/>
        </w:rPr>
        <w:t>Book-Entry Warrants</w:t>
      </w:r>
      <w:r>
        <w:rPr>
          <w:rFonts w:ascii="Times New Roman" w:cs="Times New Roman" w:eastAsia="Times New Roman" w:hAnsi="Times New Roman"/>
          <w:sz w:val="18"/>
          <w:szCs w:val="18"/>
          <w:color w:val="auto"/>
        </w:rPr>
        <w:t>”) on the records of the Depositary to an account of the Warrant Agent at the Depositary designated for such purposes in writing by the Warrant Agent to the Depositary from time to time, (ii) an election to purchase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Ordinary Shares pursuant to the exercise of a Warrant, properly completed and executed by the Registered Holder on the reverse of the Definitive Warrant Certificate or, in the case of a Book-Entry Warrant Certificate, properly delivered by the Participant in accordance with the Depositary’s procedures, and (iii)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88" w:lineRule="exact"/>
        <w:rPr>
          <w:sz w:val="20"/>
          <w:szCs w:val="20"/>
          <w:color w:val="auto"/>
        </w:rPr>
      </w:pPr>
    </w:p>
    <w:p>
      <w:pPr>
        <w:ind w:left="4" w:right="20" w:firstLine="1428"/>
        <w:spacing w:after="0" w:line="282" w:lineRule="auto"/>
        <w:tabs>
          <w:tab w:leader="none" w:pos="168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lawful money of the United States, in good certified check or good bank draft payable to the Warrant Agent or by wire transfer of immediately available funds;</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69" w:lineRule="auto"/>
        <w:tabs>
          <w:tab w:leader="none" w:pos="1681"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Private Placement Warrant or Working Capital Warrant, so long as such Private Placement Warrant or Working Capital Warrant is held by the Sponsor or its Permitted Transferees, by surrendering the Warrants for that number of Ordinary Shares equal to the quotient obtained by dividing (x) the product of the number of Ordinary Shares underlying the Warrants, multiplied by the excess of the “Sponsor Exercise Fair Market Value,” as defined in this </w:t>
      </w:r>
      <w:r>
        <w:rPr>
          <w:rFonts w:ascii="Times New Roman" w:cs="Times New Roman" w:eastAsia="Times New Roman" w:hAnsi="Times New Roman"/>
          <w:sz w:val="17"/>
          <w:szCs w:val="17"/>
          <w:u w:val="single" w:color="auto"/>
          <w:color w:val="auto"/>
        </w:rPr>
        <w:t>subsection 3.3.1(c)</w:t>
      </w:r>
      <w:r>
        <w:rPr>
          <w:rFonts w:ascii="Times New Roman" w:cs="Times New Roman" w:eastAsia="Times New Roman" w:hAnsi="Times New Roman"/>
          <w:sz w:val="17"/>
          <w:szCs w:val="17"/>
          <w:color w:val="auto"/>
        </w:rPr>
        <w:t xml:space="preserve">, over the Warrant Price by (y) the Fair Market Value. Solely for purposes of this </w:t>
      </w:r>
      <w:r>
        <w:rPr>
          <w:rFonts w:ascii="Times New Roman" w:cs="Times New Roman" w:eastAsia="Times New Roman" w:hAnsi="Times New Roman"/>
          <w:sz w:val="17"/>
          <w:szCs w:val="17"/>
          <w:u w:val="single" w:color="auto"/>
          <w:color w:val="auto"/>
        </w:rPr>
        <w:t>subsection 3.3.1(c)</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Sponsor Exercise Fair Market Value</w:t>
      </w:r>
      <w:r>
        <w:rPr>
          <w:rFonts w:ascii="Times New Roman" w:cs="Times New Roman" w:eastAsia="Times New Roman" w:hAnsi="Times New Roman"/>
          <w:sz w:val="17"/>
          <w:szCs w:val="17"/>
          <w:color w:val="auto"/>
        </w:rPr>
        <w:t>” shall mean the average reported closing price of the Ordinary Shares for the ten</w:t>
      </w:r>
    </w:p>
    <w:p>
      <w:pPr>
        <w:spacing w:after="0" w:line="2"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ending on the third trading day prior to the date on which notice of exercise of the Warrant is sent to the Warrant Agent;</w:t>
      </w:r>
    </w:p>
    <w:p>
      <w:pPr>
        <w:spacing w:after="0" w:line="206"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hereof with respect to a Make-Whole Exercise; or</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Ordinary Shares on Exercise</w:t>
      </w:r>
      <w:r>
        <w:rPr>
          <w:rFonts w:ascii="Times New Roman" w:cs="Times New Roman" w:eastAsia="Times New Roman" w:hAnsi="Times New Roman"/>
          <w:sz w:val="18"/>
          <w:szCs w:val="18"/>
          <w:color w:val="auto"/>
        </w:rPr>
        <w:t xml:space="preserve">. As soon as practicable after the exercise of any Warrant and the clearance of the funds in payment of the Warrant Price (if payment is pursuant to </w:t>
      </w:r>
      <w:r>
        <w:rPr>
          <w:rFonts w:ascii="Times New Roman" w:cs="Times New Roman" w:eastAsia="Times New Roman" w:hAnsi="Times New Roman"/>
          <w:sz w:val="18"/>
          <w:szCs w:val="18"/>
          <w:u w:val="single" w:color="auto"/>
          <w:color w:val="auto"/>
        </w:rPr>
        <w:t>subsection 3.3.1(a))</w:t>
      </w:r>
      <w:r>
        <w:rPr>
          <w:rFonts w:ascii="Times New Roman" w:cs="Times New Roman" w:eastAsia="Times New Roman" w:hAnsi="Times New Roman"/>
          <w:sz w:val="18"/>
          <w:szCs w:val="18"/>
          <w:color w:val="auto"/>
        </w:rPr>
        <w:t>, the Company shall issue to the Registered Holder of such Warrant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78" w:name="page279"/>
    <w:bookmarkEnd w:id="27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current, subject to the Company’s satisfying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In no event will the Company be required to net cash settle the Warrant exercise. The Company may require holders of Public Warrants to settle the Warrant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92" w:lineRule="exact"/>
        <w:rPr>
          <w:sz w:val="20"/>
          <w:szCs w:val="20"/>
          <w:color w:val="auto"/>
        </w:rPr>
      </w:pPr>
    </w:p>
    <w:p>
      <w:pPr>
        <w:ind w:left="4" w:right="1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Ordinary Shares issued upon the proper exercise of a Warrant in conformity with this Agreement shall be validly issued, fully paid and non-assessable.</w:t>
      </w:r>
    </w:p>
    <w:p>
      <w:pPr>
        <w:spacing w:after="0" w:line="162" w:lineRule="exact"/>
        <w:rPr>
          <w:sz w:val="20"/>
          <w:szCs w:val="20"/>
          <w:color w:val="auto"/>
        </w:rPr>
      </w:pPr>
    </w:p>
    <w:p>
      <w:pPr>
        <w:ind w:left="4" w:right="1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xml:space="preserve">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87" w:lineRule="exact"/>
        <w:rPr>
          <w:sz w:val="20"/>
          <w:szCs w:val="20"/>
          <w:color w:val="auto"/>
        </w:rPr>
      </w:pPr>
    </w:p>
    <w:p>
      <w:pPr>
        <w:ind w:left="4" w:right="60" w:firstLine="1432"/>
        <w:spacing w:after="0" w:line="268" w:lineRule="auto"/>
        <w:rPr>
          <w:sz w:val="20"/>
          <w:szCs w:val="20"/>
          <w:color w:val="auto"/>
        </w:rPr>
      </w:pPr>
      <w:r>
        <w:rPr>
          <w:rFonts w:ascii="Times New Roman" w:cs="Times New Roman" w:eastAsia="Times New Roman" w:hAnsi="Times New Roman"/>
          <w:sz w:val="17"/>
          <w:szCs w:val="17"/>
          <w:color w:val="auto"/>
        </w:rPr>
        <w:t xml:space="preserve">3.3.5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xml:space="preserve">. A holder of a Warrant may notify the Company in writing in the event it elects to be subject to the provisions contained in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no holder of a Warrant shall be subject to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specify)(the “</w:t>
      </w:r>
      <w:r>
        <w:rPr>
          <w:rFonts w:ascii="Times New Roman" w:cs="Times New Roman" w:eastAsia="Times New Roman" w:hAnsi="Times New Roman"/>
          <w:sz w:val="17"/>
          <w:szCs w:val="17"/>
          <w:b w:val="1"/>
          <w:bCs w:val="1"/>
          <w:i w:val="1"/>
          <w:iCs w:val="1"/>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Percentage</w:t>
      </w:r>
      <w:r>
        <w:rPr>
          <w:rFonts w:ascii="Times New Roman" w:cs="Times New Roman" w:eastAsia="Times New Roman" w:hAnsi="Times New Roman"/>
          <w:sz w:val="17"/>
          <w:szCs w:val="17"/>
          <w:color w:val="auto"/>
        </w:rPr>
        <w:t>”) of the Ordinary Shares outstanding immediately after giving effect to such exercise. For purposes of the foregoing sentence, the aggregate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w:t>
      </w:r>
    </w:p>
    <w:p>
      <w:pPr>
        <w:ind w:left="4" w:right="20" w:hanging="4"/>
        <w:spacing w:after="0" w:line="250" w:lineRule="auto"/>
        <w:tabs>
          <w:tab w:leader="none" w:pos="25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w:t>
      </w:r>
    </w:p>
    <w:p>
      <w:pPr>
        <w:spacing w:after="0" w:line="3"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increase shall not be effective until the sixty-first (61st) day after such notice is delivered to the Company.</w:t>
      </w:r>
    </w:p>
    <w:p>
      <w:pPr>
        <w:spacing w:after="0" w:line="187" w:lineRule="exact"/>
        <w:rPr>
          <w:sz w:val="20"/>
          <w:szCs w:val="20"/>
          <w:color w:val="auto"/>
        </w:rPr>
      </w:pPr>
    </w:p>
    <w:p>
      <w:pPr>
        <w:ind w:left="624" w:hanging="184"/>
        <w:spacing w:after="0"/>
        <w:tabs>
          <w:tab w:leader="none" w:pos="6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Share Capitalizations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Split-Ups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below, the number of outstanding Ordinary Shares is increased by a share capitalization payable in Ordinary Shares, or by a</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79" w:name="page280"/>
    <w:bookmarkEnd w:id="27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split-up of Ordinary Shares or other similar event, then, on the effective date of such share capitalization, split-up or similar event, the number of Ordinary Shares issuable on exercise of each Warrant shall be increased in proportion to such increase in the outstanding Ordinary Shares. A rights offering made to all or substantially all holders of the Ordinary Shares entitling holders to purchase Ordinary Shares at a price less than the “Historical Fair Market Value” (as defined below) shall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(1) minus the quotient of (x) the price per Ordinary Share paid in such rights offering divided by (y) the Historical Fair Market Value. For purposes of this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 “</w:t>
      </w:r>
      <w:r>
        <w:rPr>
          <w:rFonts w:ascii="Times New Roman" w:cs="Times New Roman" w:eastAsia="Times New Roman" w:hAnsi="Times New Roman"/>
          <w:sz w:val="18"/>
          <w:szCs w:val="18"/>
          <w:b w:val="1"/>
          <w:bCs w:val="1"/>
          <w:i w:val="1"/>
          <w:iCs w:val="1"/>
          <w:color w:val="auto"/>
        </w:rPr>
        <w:t>Historical Fair Market Value</w:t>
      </w:r>
      <w:r>
        <w:rPr>
          <w:rFonts w:ascii="Times New Roman" w:cs="Times New Roman" w:eastAsia="Times New Roman" w:hAnsi="Times New Roman"/>
          <w:sz w:val="18"/>
          <w:szCs w:val="18"/>
          <w:color w:val="auto"/>
        </w:rPr>
        <w:t>” means the volume weighted average price of the Ordinary Shares as reported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spacing w:after="0" w:line="190" w:lineRule="exact"/>
        <w:rPr>
          <w:sz w:val="20"/>
          <w:szCs w:val="20"/>
          <w:color w:val="auto"/>
        </w:rPr>
      </w:pPr>
    </w:p>
    <w:p>
      <w:pPr>
        <w:ind w:left="4" w:firstLine="1432"/>
        <w:spacing w:after="0" w:line="267"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Extraordinary Dividends</w:t>
      </w:r>
      <w:r>
        <w:rPr>
          <w:rFonts w:ascii="Times New Roman" w:cs="Times New Roman" w:eastAsia="Times New Roman" w:hAnsi="Times New Roman"/>
          <w:sz w:val="17"/>
          <w:szCs w:val="17"/>
          <w:color w:val="auto"/>
        </w:rPr>
        <w:t xml:space="preserve">. If the Company, at any time while the Warrants are outstanding and unexpired, shall pay a dividend or make a distribution in cash, securities or other assets to all or substantially all of the holders of Ordinary Shares on account of such Ordinary Shares (or other of the Company’s share capital into which the Warrants are convertible), other than (a) as described in </w:t>
      </w:r>
      <w:r>
        <w:rPr>
          <w:rFonts w:ascii="Times New Roman" w:cs="Times New Roman" w:eastAsia="Times New Roman" w:hAnsi="Times New Roman"/>
          <w:sz w:val="17"/>
          <w:szCs w:val="17"/>
          <w:u w:val="single" w:color="auto"/>
          <w:color w:val="auto"/>
        </w:rPr>
        <w:t>subsection 4.1.1</w:t>
      </w:r>
      <w:r>
        <w:rPr>
          <w:rFonts w:ascii="Times New Roman" w:cs="Times New Roman" w:eastAsia="Times New Roman" w:hAnsi="Times New Roman"/>
          <w:sz w:val="17"/>
          <w:szCs w:val="17"/>
          <w:color w:val="auto"/>
        </w:rPr>
        <w:t xml:space="preserve"> above, (b) Ordinary Cash Dividends (as defined below), (c) to satisfy the redemption rights of the holders of Ordinary Shares in connection with a proposed initial Business Combination, (d) to satisfy the redemption rights of the holders of Ordinary Shares in connection with a shareholder vote to amend the Company’s amended and restated memorandum and articles of association (as amended from time to time, the “</w:t>
      </w:r>
      <w:r>
        <w:rPr>
          <w:rFonts w:ascii="Times New Roman" w:cs="Times New Roman" w:eastAsia="Times New Roman" w:hAnsi="Times New Roman"/>
          <w:sz w:val="17"/>
          <w:szCs w:val="17"/>
          <w:b w:val="1"/>
          <w:bCs w:val="1"/>
          <w:i w:val="1"/>
          <w:iCs w:val="1"/>
          <w:color w:val="auto"/>
        </w:rPr>
        <w:t>Charter</w:t>
      </w:r>
      <w:r>
        <w:rPr>
          <w:rFonts w:ascii="Times New Roman" w:cs="Times New Roman" w:eastAsia="Times New Roman" w:hAnsi="Times New Roman"/>
          <w:sz w:val="17"/>
          <w:szCs w:val="17"/>
          <w:color w:val="auto"/>
        </w:rPr>
        <w:t>”) (A) to modify the substance or timing of the Company’s obligation to allow redemption in connection with the Company’s initial business combination or to redeem 100% of the Ordinary Shares included in the Units sold in the Offering (the “</w:t>
      </w:r>
      <w:r>
        <w:rPr>
          <w:rFonts w:ascii="Times New Roman" w:cs="Times New Roman" w:eastAsia="Times New Roman" w:hAnsi="Times New Roman"/>
          <w:sz w:val="17"/>
          <w:szCs w:val="17"/>
          <w:b w:val="1"/>
          <w:bCs w:val="1"/>
          <w:i w:val="1"/>
          <w:iCs w:val="1"/>
          <w:color w:val="auto"/>
        </w:rPr>
        <w:t>Public Shares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if the Company does not complete the Business Combination within the period set forth in the Charter or (B) with respect to any other material provisions relating to shareholders’ rights or pre-initial Business Combination activity or</w:t>
      </w:r>
    </w:p>
    <w:p>
      <w:pPr>
        <w:spacing w:after="0" w:line="5" w:lineRule="exact"/>
        <w:rPr>
          <w:sz w:val="20"/>
          <w:szCs w:val="20"/>
          <w:color w:val="auto"/>
        </w:rPr>
      </w:pPr>
    </w:p>
    <w:p>
      <w:pPr>
        <w:ind w:left="4" w:hanging="4"/>
        <w:spacing w:after="0" w:line="251" w:lineRule="auto"/>
        <w:tabs>
          <w:tab w:leader="none" w:pos="24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Ordinary Cash Dividends</w:t>
      </w:r>
      <w:r>
        <w:rPr>
          <w:rFonts w:ascii="Times New Roman" w:cs="Times New Roman" w:eastAsia="Times New Roman" w:hAnsi="Times New Roman"/>
          <w:sz w:val="18"/>
          <w:szCs w:val="18"/>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(as adjusted to appropriately reflect any of the events referred to in other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excluding cash dividends or cash distributions that resulted in an adjustment to the Warrant Price or to the number of Ordinary Shares issuable on exercise of each Warrant) does not exceed $0.50 (being 5% of the offering price of the Units in the Offering) but only with respect to the amount of the aggregate cash dividends or cash distributions equal to or less than $0.50. Solely for purposes of illustration, if the Company, at a time while the Warrants are outstanding and unexpired, pays a cash dividend of $0.35 and previously paid an aggregate of $0.40 of cash dividends and cash distributions on the Ordinary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spacing w:after="0" w:line="19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Warrant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4.3.1 Whenever the number of Ordinary Shares purchasable upon the exercise of the Warrants is adjusted, as provided in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80" w:name="page281"/>
    <w:bookmarkEnd w:id="280"/>
    <w:p>
      <w:pPr>
        <w:ind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4.3.2 If (x) the Company issues additional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and, in the case of any such issuance to the initial shareholders (as defined in the Prospectus) or their affiliates, without taking into account any Class B Ordinary Shares (as defined below) held by such shareholders or their affiliates, as applicable, prior to such issuance (the “</w:t>
      </w:r>
      <w:r>
        <w:rPr>
          <w:rFonts w:ascii="Times New Roman" w:cs="Times New Roman" w:eastAsia="Times New Roman" w:hAnsi="Times New Roman"/>
          <w:sz w:val="18"/>
          <w:szCs w:val="18"/>
          <w:b w:val="1"/>
          <w:bCs w:val="1"/>
          <w:i w:val="1"/>
          <w:iCs w:val="1"/>
          <w:color w:val="auto"/>
        </w:rPr>
        <w:t>Newly Issued Price</w:t>
      </w:r>
      <w:r>
        <w:rPr>
          <w:rFonts w:ascii="Times New Roman" w:cs="Times New Roman" w:eastAsia="Times New Roman" w:hAnsi="Times New Roman"/>
          <w:sz w:val="18"/>
          <w:szCs w:val="18"/>
          <w:color w:val="auto"/>
        </w:rPr>
        <w:t>”)), (y) the aggregate gross proceeds from such issuances represent more than 60% of the total equity proceeds, and interest thereon, available for funding the initial Business Combination on the date of the consummation of our initial business combination (net of redemptions), and (z) the volume weighted average trading price of the Ordinary Shares during the 10 trading day period starting on the trading day prior to the day on which the Company consummates the Business Combination (such price, the “</w:t>
      </w:r>
      <w:r>
        <w:rPr>
          <w:rFonts w:ascii="Times New Roman" w:cs="Times New Roman" w:eastAsia="Times New Roman" w:hAnsi="Times New Roman"/>
          <w:sz w:val="18"/>
          <w:szCs w:val="18"/>
          <w:b w:val="1"/>
          <w:bCs w:val="1"/>
          <w:i w:val="1"/>
          <w:iCs w:val="1"/>
          <w:color w:val="auto"/>
        </w:rPr>
        <w:t>Market Value</w:t>
      </w:r>
      <w:r>
        <w:rPr>
          <w:rFonts w:ascii="Times New Roman" w:cs="Times New Roman" w:eastAsia="Times New Roman" w:hAnsi="Times New Roman"/>
          <w:sz w:val="18"/>
          <w:szCs w:val="18"/>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below shall be adjusted (to the nearest cent) to be equal to 180% of the higher of the Market Value and the Newly Issued Price and the $10.00 per share redemption trigger price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be adjusted (to the nearest cent) to be equal to the higher of the Market Value and the Newly Issued Price.</w:t>
      </w:r>
    </w:p>
    <w:p>
      <w:pPr>
        <w:spacing w:after="0" w:line="190"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Replacement of Securities upon Reorganization, etc</w:t>
      </w:r>
      <w:r>
        <w:rPr>
          <w:rFonts w:ascii="Times New Roman" w:cs="Times New Roman" w:eastAsia="Times New Roman" w:hAnsi="Times New Roman"/>
          <w:sz w:val="17"/>
          <w:szCs w:val="17"/>
          <w:color w:val="auto"/>
        </w:rPr>
        <w:t xml:space="preserve">. In case of any reclassification or reorganization of the outstanding Ordinary Shares (other than a change under </w:t>
      </w:r>
      <w:r>
        <w:rPr>
          <w:rFonts w:ascii="Times New Roman" w:cs="Times New Roman" w:eastAsia="Times New Roman" w:hAnsi="Times New Roman"/>
          <w:sz w:val="17"/>
          <w:szCs w:val="17"/>
          <w:u w:val="single" w:color="auto"/>
          <w:color w:val="auto"/>
        </w:rPr>
        <w:t>subsections 4.1.1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hereof or that solely affects the par value of such Ordinary Shares), or in the case of any merger or consolidation of the Company with or into another entity or conversion of the Company as another entity (other than a consolidation or merger in which the Company is the continuing corporation and is not a subsidiary of another entity whose shareholders did not own all or substantially all of the Ordinary Shares of the Company in substantially the same proportions immediately before such transaction and that does not result in any reclassification or reorganization of the outstanding Ordinary Shares), or in the case of any sale or conveyance to another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 w:cs="Times New Roman" w:eastAsia="Times New Roman" w:hAnsi="Times New Roman"/>
          <w:sz w:val="17"/>
          <w:szCs w:val="17"/>
          <w:b w:val="1"/>
          <w:bCs w:val="1"/>
          <w:i w:val="1"/>
          <w:iCs w:val="1"/>
          <w:color w:val="auto"/>
        </w:rPr>
        <w:t>Alternative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if the holders of the Ordinary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Ordinary Shares in such consolidation or merger that affirmatively make such election, and (ii) if a tender, exchange or redemption offer shall have been made to and accepted by the holders of the Ordinary Shares (other than a tender, exchange or redemption offer made by the Company in connection with redemption rights held by shareholders of the Company as provided for in the Charter or as a result of the redemption of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w:t>
      </w:r>
    </w:p>
    <w:p>
      <w:pPr>
        <w:spacing w:after="0" w:line="20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13d-3 under the Exchange Act (or any successor rule)) more than 65% of the outstanding Ordinary Shares, the holder of a Warrant shall be entitled to receive as the Alternative Issuance,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adjustments (from and after the consummation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81" w:name="page282"/>
    <w:bookmarkEnd w:id="281"/>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tender or exchange offer) as nearly equivalent as possible to the adjustments provided for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less than 70% of the consideration receivable by the holders of the Ordinary Shares in the applicable event is payable in the form of capital stock or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(but in no event less than zero) of (i) the Warrant Price in effect prior to such reduction minus (ii) (A) the Per Share Consideration (as defined below) minus (B) the Black-Scholes Warrant Value (as defined below). The “</w:t>
      </w:r>
      <w:r>
        <w:rPr>
          <w:rFonts w:ascii="Times New Roman" w:cs="Times New Roman" w:eastAsia="Times New Roman" w:hAnsi="Times New Roman"/>
          <w:sz w:val="18"/>
          <w:szCs w:val="18"/>
          <w:b w:val="1"/>
          <w:bCs w:val="1"/>
          <w:i w:val="1"/>
          <w:iCs w:val="1"/>
          <w:color w:val="auto"/>
        </w:rPr>
        <w:t>Black-Scholes Warrant Value</w:t>
      </w:r>
      <w:r>
        <w:rPr>
          <w:rFonts w:ascii="Times New Roman" w:cs="Times New Roman" w:eastAsia="Times New Roman" w:hAnsi="Times New Roman"/>
          <w:sz w:val="18"/>
          <w:szCs w:val="18"/>
          <w:color w:val="auto"/>
        </w:rPr>
        <w:t>” means the value of a Warrant immediately prior to the consummation of the applicable event based on the Black-Scholes Warrant Model for a Capped American Call on Bloomberg Financial Markets (“</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For purposes of calculating such amount,</w:t>
      </w:r>
    </w:p>
    <w:p>
      <w:pPr>
        <w:spacing w:after="0" w:line="6" w:lineRule="exact"/>
        <w:rPr>
          <w:sz w:val="20"/>
          <w:szCs w:val="20"/>
          <w:color w:val="auto"/>
        </w:rPr>
      </w:pPr>
    </w:p>
    <w:p>
      <w:pPr>
        <w:ind w:left="4" w:right="20" w:hanging="4"/>
        <w:spacing w:after="0" w:line="251" w:lineRule="auto"/>
        <w:tabs>
          <w:tab w:leader="none" w:pos="25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shall be taken into account, (2) the price of each Ordinary Share shall be the volume weighted average price of the Ordinary Shares as reported during the ten (10) trading day period ending on the trading day prior to the effective date of the applicable event, (3) the assumed volatility shall be the 90 day volatility obtained from the HVT function on Bloomberg determined as of the trading day immediately prior to the day of the announcement of the applicable event, and (4) the assumed risk-free interest rate shall correspond to the U.S. Treasury rate for a period equal to the remaining term of the Warrant. “</w:t>
      </w:r>
      <w:r>
        <w:rPr>
          <w:rFonts w:ascii="Times New Roman" w:cs="Times New Roman" w:eastAsia="Times New Roman" w:hAnsi="Times New Roman"/>
          <w:sz w:val="18"/>
          <w:szCs w:val="18"/>
          <w:b w:val="1"/>
          <w:bCs w:val="1"/>
          <w:i w:val="1"/>
          <w:iCs w:val="1"/>
          <w:color w:val="auto"/>
        </w:rPr>
        <w:t>Per Share Consideration</w:t>
      </w:r>
      <w:r>
        <w:rPr>
          <w:rFonts w:ascii="Times New Roman" w:cs="Times New Roman" w:eastAsia="Times New Roman" w:hAnsi="Times New Roman"/>
          <w:sz w:val="18"/>
          <w:szCs w:val="18"/>
          <w:color w:val="auto"/>
        </w:rPr>
        <w:t xml:space="preserve">” means (i) if the consideration paid to holders of the Ordinary Shares consists exclusively of cash, the amount of such cash per Ordinary Share, and (ii) in all other cases, the volume weighted average price of the Ordinary Shares as reported during the ten (10) trading day period ending on the trading day prior to the effective date of the applicable event. If any reclassification or reorganization also results in a change in Ordinary Shares covered by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then such adjustment shall be made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9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9"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0"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The form of Warrant need not be changed because of any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82" w:name="page283"/>
    <w:bookmarkEnd w:id="28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xml:space="preserve"> For the avoidance of doubt, no adjustment shall be made to the terms of the Warrants solely as a result of an adjustment to the conversion ratio of the Company’s Class B ordinary shares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into Ordinary Shares or the conversion of the Class B Ordinary Shares into Ordinary Shares, in each case, pursuant to the Charter.</w:t>
      </w:r>
    </w:p>
    <w:p>
      <w:pPr>
        <w:spacing w:after="0" w:line="176" w:lineRule="exact"/>
        <w:rPr>
          <w:sz w:val="20"/>
          <w:szCs w:val="20"/>
          <w:color w:val="auto"/>
        </w:rPr>
      </w:pPr>
    </w:p>
    <w:p>
      <w:pPr>
        <w:ind w:left="620" w:hanging="184"/>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Times New Roman" w:cs="Times New Roman" w:eastAsia="Times New Roman" w:hAnsi="Times New Roman"/>
          <w:sz w:val="18"/>
          <w:szCs w:val="18"/>
          <w:u w:val="single" w:color="auto"/>
          <w:color w:val="auto"/>
        </w:rPr>
        <w:t>provided further, however,</w:t>
      </w:r>
      <w:r>
        <w:rPr>
          <w:rFonts w:ascii="Times New Roman" w:cs="Times New Roman" w:eastAsia="Times New Roman" w:hAnsi="Times New Roman"/>
          <w:sz w:val="18"/>
          <w:szCs w:val="18"/>
          <w:color w:val="auto"/>
        </w:rPr>
        <w:t xml:space="preserve"> that in the event that a Warrant surrendered for transfer bears a restrictive legend (as in the case of the Private Placement Warrants and the Working Capital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8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Company, whenever required by the Warrant Agent, shall supply the Warrant Agent with Warrants duly executed on behalf of the Company for such purpose.</w:t>
      </w:r>
    </w:p>
    <w:p>
      <w:pPr>
        <w:spacing w:after="0" w:line="176"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have no effect on any transfer of Warrants on and after the Detachment Date.</w:t>
      </w:r>
    </w:p>
    <w:p>
      <w:pPr>
        <w:spacing w:after="0" w:line="180" w:lineRule="exact"/>
        <w:rPr>
          <w:sz w:val="20"/>
          <w:szCs w:val="20"/>
          <w:color w:val="auto"/>
        </w:rPr>
      </w:pPr>
    </w:p>
    <w:p>
      <w:pPr>
        <w:ind w:left="620" w:hanging="184"/>
        <w:spacing w:after="0"/>
        <w:tabs>
          <w:tab w:leader="none" w:pos="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 of Warrants for Cash.</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(as defined below) of $0.01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Reference Value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(b) there is an effective registration statement covering the Ordinary Shares issuable upon exercise of the Warrants, and a current prospectus relating thereto, available throughout the 30-day Redemption Period (as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Redemption of Warrants for Ordinary Shares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of $0.10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Reference Value equals or exceeds $10.00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(ii) if the Reference Value is less than $18.00 per share (subject to adjustment in compliance with Section 4 hereof), the Private Placement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83" w:name="page284"/>
    <w:bookmarkEnd w:id="28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Warrants and Working Capital Warrants are also concurrently called for redemption on the same terms as the outstanding Public Warrants. During the 30-day Redemption Period in connection with a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Registered Holders of the Warrants may elect to exercise their Warrants on a “cashless basis” and receive a number of Ordinary Shares determined by reference to the table below, based on the Redemption Date (calculated for purposes of the table as the period to expiration of the Warrants) and the “Redemption Fair Market Value” (as such term is defined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Make-Whole Exercise</w:t>
      </w:r>
      <w:r>
        <w:rPr>
          <w:rFonts w:ascii="Times New Roman" w:cs="Times New Roman" w:eastAsia="Times New Roman" w:hAnsi="Times New Roman"/>
          <w:sz w:val="18"/>
          <w:szCs w:val="18"/>
          <w:color w:val="auto"/>
        </w:rPr>
        <w:t xml:space="preserve">”). Solely for purposes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Redemption Fair Market Value</w:t>
      </w:r>
      <w:r>
        <w:rPr>
          <w:rFonts w:ascii="Times New Roman" w:cs="Times New Roman" w:eastAsia="Times New Roman" w:hAnsi="Times New Roman"/>
          <w:sz w:val="18"/>
          <w:szCs w:val="18"/>
          <w:color w:val="auto"/>
        </w:rPr>
        <w:t xml:space="preserve">” shall mean the volume weighted average price of the Ordinary Shares for the ten (10) trading days immediately following the date on which notice of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is sent to the Registered Holders. In connection with any redemption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Company shall provide the Registered Holders with the Redemption Fair Market Value no later than one (1) Business Day after the ten (10) trading day period described above ends.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1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Redemption Fair Market Value of Ordinary Shares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(period to expiration of warrants)</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10.00</w:t>
            </w:r>
          </w:p>
        </w:tc>
        <w:tc>
          <w:tcPr>
            <w:tcW w:w="18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2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13.00</w:t>
            </w:r>
          </w:p>
        </w:tc>
        <w:tc>
          <w:tcPr>
            <w:tcW w:w="160" w:type="dxa"/>
            <w:vAlign w:val="bottom"/>
          </w:tcPr>
          <w:p>
            <w:pPr>
              <w:spacing w:after="0"/>
              <w:rPr>
                <w:sz w:val="12"/>
                <w:szCs w:val="12"/>
                <w:color w:val="auto"/>
              </w:rPr>
            </w:pPr>
          </w:p>
        </w:tc>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16.00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17.00</w:t>
            </w:r>
          </w:p>
        </w:tc>
        <w:tc>
          <w:tcPr>
            <w:tcW w:w="1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³</w:t>
            </w:r>
            <w:r>
              <w:rPr>
                <w:rFonts w:ascii="Times New Roman" w:cs="Times New Roman" w:eastAsia="Times New Roman" w:hAnsi="Times New Roman"/>
                <w:sz w:val="14"/>
                <w:szCs w:val="14"/>
                <w:b w:val="1"/>
                <w:bCs w:val="1"/>
                <w:color w:val="auto"/>
                <w:w w:val="98"/>
              </w:rPr>
              <w:t>$18.00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0.281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0.277</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0.358</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0.272</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0.268</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0.287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0.263</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0.258</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0.330</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0.252</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0.221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0.246</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0.269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0.325</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0.239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0.205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0.232</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0.257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0.320</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0.196</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0.224</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0.316</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0.351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0.185</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0.214</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0.268</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0.350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0.204</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0.348</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0.193</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0.223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0.252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0.304</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0.146</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0.179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0.271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0.298</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0.164</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0.291</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0.146</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0.282</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0.125</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0.162</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0.237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0.272</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0.336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0.065</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0.099</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0.178</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0.259</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0.296</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0.331</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months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0.034</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0.065</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0.104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0.243</w:t>
            </w:r>
          </w:p>
        </w:tc>
        <w:tc>
          <w:tcPr>
            <w:tcW w:w="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0.286</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0.115</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0.233</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0.323</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Ordinary Shares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If the number of shares issuable upon exercise of a Warrant is adjusted pursuant to Section 4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Section 4.4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Section 4.1.2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Ordinary Shares per Warrant (subject to adjustment).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84" w:name="page285"/>
    <w:bookmarkEnd w:id="28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Date Fixed for, and Notice of, Redemption; Redemption Price; Reference Value</w:t>
      </w:r>
      <w:r>
        <w:rPr>
          <w:rFonts w:ascii="Times New Roman" w:cs="Times New Roman" w:eastAsia="Times New Roman" w:hAnsi="Times New Roman"/>
          <w:sz w:val="18"/>
          <w:szCs w:val="18"/>
          <w:color w:val="auto"/>
        </w:rPr>
        <w:t>. In the event that the Company elects to redeem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Warrants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Company shall fix a date for the redemption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Notice of redemption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mailed by first class mail, postage prepaid, by the Company not less than thirty (30) days prior to the Redemption Date (such period,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Period</w:t>
      </w:r>
      <w:r>
        <w:rPr>
          <w:rFonts w:ascii="Times New Roman" w:cs="Times New Roman" w:eastAsia="Times New Roman" w:hAnsi="Times New Roman"/>
          <w:sz w:val="18"/>
          <w:szCs w:val="18"/>
          <w:color w:val="auto"/>
        </w:rPr>
        <w:t>”) to the Registered Holders of the Warrants to be redeemed at their last addresses as they shall appear on the registration books.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Any notice mailed in the manner herein provided shall be conclusively presumed to have been duly given whether or not the Registered Holder received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notice. As used in this Agreement, (a)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shall mean the price per Warrant at which any Warrants are redeemed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Sections 6.1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6.2</w:t>
      </w:r>
      <w:r>
        <w:rPr>
          <w:rFonts w:ascii="Times New Roman" w:cs="Times New Roman" w:eastAsia="Times New Roman" w:hAnsi="Times New Roman"/>
          <w:sz w:val="17"/>
          <w:szCs w:val="17"/>
          <w:color w:val="auto"/>
        </w:rPr>
        <w:t xml:space="preserve"> and (b) “</w:t>
      </w:r>
      <w:r>
        <w:rPr>
          <w:rFonts w:ascii="Times New Roman" w:cs="Times New Roman" w:eastAsia="Times New Roman" w:hAnsi="Times New Roman"/>
          <w:sz w:val="17"/>
          <w:szCs w:val="17"/>
          <w:b w:val="1"/>
          <w:bCs w:val="1"/>
          <w:i w:val="1"/>
          <w:iCs w:val="1"/>
          <w:color w:val="auto"/>
        </w:rPr>
        <w:t>Reference Value</w:t>
      </w:r>
      <w:r>
        <w:rPr>
          <w:rFonts w:ascii="Times New Roman" w:cs="Times New Roman" w:eastAsia="Times New Roman" w:hAnsi="Times New Roman"/>
          <w:sz w:val="17"/>
          <w:szCs w:val="17"/>
          <w:color w:val="auto"/>
        </w:rPr>
        <w:t>” shall mean the last reported sales price of the Ordinary Shares for any twenty (20) trading days within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thirty (30) trading-day period ending on the third trading day prior to the date on which notice of the redemption is given.</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(or on a “cashless basis” in accordance with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at any time after notice of redemption shall have been given by the Company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prior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Redemption Date. On and after the Redemption Date, the record holder of the Warrants shall have no further rights except to receive, upon surrender</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Warrants, the Redemption Price.</w:t>
      </w:r>
    </w:p>
    <w:p>
      <w:pPr>
        <w:spacing w:after="0" w:line="207"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Exclusion of Private Placement Warrants and Working Capital Warrants</w:t>
      </w:r>
      <w:r>
        <w:rPr>
          <w:rFonts w:ascii="Times New Roman" w:cs="Times New Roman" w:eastAsia="Times New Roman" w:hAnsi="Times New Roman"/>
          <w:sz w:val="18"/>
          <w:szCs w:val="18"/>
          <w:color w:val="auto"/>
        </w:rPr>
        <w:t xml:space="preserve">. The Company agrees that the redemption rights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apply to the Private Placement Warrants or the Working Capital Warrants if at the time of the redemption such Private Placement Warrants or Working Capital Warrants continue to be held by the Sponsor or any of its Permitted Transferees, as applicable. However, once such Private Placement Warrants or Working Capital Warrants are transferred (other than to Permitted Transferees under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Company may redeem the Private Placement Warrants and the Working Capital Warrants, provided that the criteria for redemption are met, including the opportunity of the holder of such Private Placement Warrants or Working Capital Warrants to exercise the Private Placement Warrants and the Working Capital Warrants prior to redemption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Private Placement Warrants and Working Capital Warrants that are transferred to persons other than Permitted Transferees shall upon such transfer cease to be Private Placement Warrants or Working Capital Warrants and shall become Public Warrants under this Agreement.</w:t>
      </w:r>
    </w:p>
    <w:p>
      <w:pPr>
        <w:spacing w:after="0" w:line="188" w:lineRule="exact"/>
        <w:rPr>
          <w:sz w:val="20"/>
          <w:szCs w:val="20"/>
          <w:color w:val="auto"/>
        </w:rPr>
      </w:pPr>
    </w:p>
    <w:p>
      <w:pPr>
        <w:ind w:left="624" w:hanging="184"/>
        <w:spacing w:after="0"/>
        <w:tabs>
          <w:tab w:leader="none" w:pos="6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76"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Ordinary Shares; Cashless Exercise at Company’s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Registration of the Ordinary Shares</w:t>
      </w:r>
      <w:r>
        <w:rPr>
          <w:rFonts w:ascii="Times New Roman" w:cs="Times New Roman" w:eastAsia="Times New Roman" w:hAnsi="Times New Roman"/>
          <w:sz w:val="18"/>
          <w:szCs w:val="18"/>
          <w:color w:val="auto"/>
        </w:rPr>
        <w:t>. The Company agrees that as soon as practicable, but in no event later than fifteen</w:t>
      </w:r>
    </w:p>
    <w:p>
      <w:pPr>
        <w:spacing w:after="0" w:line="27" w:lineRule="exact"/>
        <w:rPr>
          <w:sz w:val="20"/>
          <w:szCs w:val="20"/>
          <w:color w:val="auto"/>
        </w:rPr>
      </w:pPr>
    </w:p>
    <w:p>
      <w:pPr>
        <w:jc w:val="both"/>
        <w:ind w:left="4" w:right="20" w:hanging="4"/>
        <w:spacing w:after="0" w:line="253" w:lineRule="auto"/>
        <w:tabs>
          <w:tab w:leader="none" w:pos="34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of its initial Business Combination, it shall use its best efforts to file with the Commission a registration statement registering, under the Securities Act, the issuance of the Ordinary Shares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285" w:name="page286"/>
    <w:bookmarkEnd w:id="28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Ordinary Shares issuable upon exercise of the Warrants, to exercise such Warrants on a “cashless basis,” by exchanging the Warrants (in accordance with Section 3(a)(9) of the Securities Act (or any successor rule) or another exemption) for that number of Ordinary Shares equal to the quotient obtained by dividing (x) the product of the number of Ordinary Shares underlying the Warrants, multiplied by the excess of the “Fair Market Value” (as defined below) over the Warrant Price by (y) the Fair Market Value. Solely for purposes of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“Fair Market Value” shall mean the average last reported sales price of the Ordinary Shares for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Times New Roman" w:cs="Times New Roman" w:eastAsia="Times New Roman" w:hAnsi="Times New Roman"/>
          <w:sz w:val="18"/>
          <w:szCs w:val="18"/>
          <w:u w:val="single" w:color="auto"/>
          <w:color w:val="auto"/>
        </w:rPr>
        <w:t>subsection 7.4.2</w:t>
      </w:r>
      <w:r>
        <w:rPr>
          <w:rFonts w:ascii="Times New Roman" w:cs="Times New Roman" w:eastAsia="Times New Roman" w:hAnsi="Times New Roman"/>
          <w:sz w:val="18"/>
          <w:szCs w:val="18"/>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Times New Roman" w:cs="Times New Roman" w:eastAsia="Times New Roman" w:hAnsi="Times New Roman"/>
          <w:sz w:val="18"/>
          <w:szCs w:val="18"/>
          <w:u w:val="single" w:color="auto"/>
          <w:color w:val="auto"/>
        </w:rPr>
        <w:t>subsection 7.4.1.</w:t>
      </w:r>
    </w:p>
    <w:p>
      <w:pPr>
        <w:spacing w:after="0" w:line="193"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Cashless Exercise at Company’s Option</w:t>
      </w:r>
      <w:r>
        <w:rPr>
          <w:rFonts w:ascii="Times New Roman" w:cs="Times New Roman" w:eastAsia="Times New Roman" w:hAnsi="Times New Roman"/>
          <w:sz w:val="18"/>
          <w:szCs w:val="18"/>
          <w:color w:val="auto"/>
        </w:rPr>
        <w:t xml:space="preserve">. If the Ordinary Shares are at the time of any exercise of a Warrant not listed on a national securities exchange such that they satisfy the definition of “covered securities”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and (i)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or (ii) if the Company does not so elect, the Company agrees to use its best efforts to register or qualify for sale the Ordinary Shares issuable upon exercise of the Public Warrants under the blue sky laws of the state of residence of the exercising Public Warrant holder to the extent an exemption is not available.</w:t>
      </w:r>
    </w:p>
    <w:p>
      <w:pPr>
        <w:spacing w:after="0" w:line="192" w:lineRule="exact"/>
        <w:rPr>
          <w:sz w:val="20"/>
          <w:szCs w:val="20"/>
          <w:color w:val="auto"/>
        </w:rPr>
      </w:pPr>
    </w:p>
    <w:p>
      <w:pPr>
        <w:ind w:left="620" w:hanging="184"/>
        <w:spacing w:after="0"/>
        <w:tabs>
          <w:tab w:leader="none" w:pos="6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Ordinary Shares.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86" w:name="page287"/>
    <w:bookmarkEnd w:id="28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83" w:lineRule="exact"/>
        <w:rPr>
          <w:sz w:val="20"/>
          <w:szCs w:val="20"/>
          <w:color w:val="auto"/>
        </w:rPr>
      </w:pPr>
    </w:p>
    <w:p>
      <w:pPr>
        <w:ind w:right="100" w:firstLine="1432"/>
        <w:spacing w:after="0" w:line="312" w:lineRule="auto"/>
        <w:rPr>
          <w:sz w:val="20"/>
          <w:szCs w:val="20"/>
          <w:color w:val="auto"/>
        </w:rPr>
      </w:pPr>
      <w:r>
        <w:rPr>
          <w:rFonts w:ascii="Times New Roman" w:cs="Times New Roman" w:eastAsia="Times New Roman" w:hAnsi="Times New Roman"/>
          <w:sz w:val="17"/>
          <w:szCs w:val="17"/>
          <w:color w:val="auto"/>
        </w:rPr>
        <w:t xml:space="preserve">8.2.2 </w:t>
      </w:r>
      <w:r>
        <w:rPr>
          <w:rFonts w:ascii="Times New Roman" w:cs="Times New Roman" w:eastAsia="Times New Roman" w:hAnsi="Times New Roman"/>
          <w:sz w:val="17"/>
          <w:szCs w:val="17"/>
          <w:u w:val="single" w:color="auto"/>
          <w:color w:val="auto"/>
        </w:rPr>
        <w:t>Notice of Successor Warrant Agent.</w:t>
      </w:r>
      <w:r>
        <w:rPr>
          <w:rFonts w:ascii="Times New Roman" w:cs="Times New Roman" w:eastAsia="Times New Roman" w:hAnsi="Times New Roman"/>
          <w:sz w:val="17"/>
          <w:szCs w:val="17"/>
          <w:color w:val="auto"/>
        </w:rPr>
        <w:t xml:space="preserve"> In the event a successor Warrant Agent shall be appointed, the Company shall give notice thereof to the predecessor Warrant Agent and the Transfer Agent for the Ordinary Shares not later than the effective date of any such appointment.</w:t>
      </w:r>
    </w:p>
    <w:p>
      <w:pPr>
        <w:spacing w:after="0" w:line="140" w:lineRule="exact"/>
        <w:rPr>
          <w:sz w:val="20"/>
          <w:szCs w:val="20"/>
          <w:color w:val="auto"/>
        </w:rPr>
      </w:pPr>
    </w:p>
    <w:p>
      <w:pPr>
        <w:jc w:val="both"/>
        <w:ind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xml:space="preserve">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76"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Chief Operating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87"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xml:space="preserve"> The Warrant Agent shall be liable hereunder only for its own gross negligence, willful misconduct, fraud or bad faith. The Company agrees to indemnify the Warrant Agent and save it harmless against any and all liabilities, including judgments, out of pocket costs and reasonable outside counsel fees, for anything done or omitted by the Warrant Agent in the execution of this Agreement, except as a result of the Warrant Agent’s gross negligence, willful misconduct, fraud or bad faith.</w:t>
      </w:r>
    </w:p>
    <w:p>
      <w:pPr>
        <w:spacing w:after="0" w:line="180"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18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xml:space="preserve">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287" w:name="page288"/>
    <w:bookmarkEnd w:id="287"/>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Warrant Agent has no right of set-off or any other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3" w:lineRule="exact"/>
        <w:rPr>
          <w:sz w:val="20"/>
          <w:szCs w:val="20"/>
          <w:color w:val="auto"/>
        </w:rPr>
      </w:pPr>
    </w:p>
    <w:p>
      <w:pPr>
        <w:ind w:left="620" w:hanging="184"/>
        <w:spacing w:after="0"/>
        <w:tabs>
          <w:tab w:leader="none" w:pos="6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John Martin</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Joel L. Rubinstein, Esq. and Elliott M. Smith, Esq.</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joel.rubinstein@whitecase.com, elliott.smith@whitecase.com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Tina Pappas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tpappas@jefferies.com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Attn: Christian Nagler, Esq.</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christian.nagler@kirkland.com</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The validity, interpretation, and performance of this Agreement and of the Warrants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288" w:name="page289"/>
    <w:bookmarkEnd w:id="28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xml:space="preserve">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xml:space="preserve">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The section headings herein are for convenience only and are not part of this Agreement and shall not affect the interpretation thereof.</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by the parties hereto without the consent of any Registered Holder (i) for the purpose of (x) curing any ambiguity or to correct any defective provision contained herein, including to conform the provisions hereof to the description of the terms of the Warrants and this Agreement set forth in the Prospectus, (y) adjusting the definition of “Ordinary Cash Dividend” as contemplated by and in accordance with the second sentence of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xml:space="preserve"> or (z) adding or changing any other provisions with respect to matters or questions arising under this Agreement as the parties may deem necessary or desirable and that the parties deem shall not adversely affect the interest of the Registered Holders, and (ii) to provide for the delivery of an Alternative Issuance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All other modifications or amendments, including any modification or amendment to increase the Warrant Price or shorten the Exercise Period shall require the vote or written consent of the Registered Holders of 50% of the number of the then outstanding Public Warrants and, solely with respect to any amendment to the terms of the Private Placement Warrants or Working Capital Warrants or any provision of this Agreement with respect to the Private Placement Warrants or Working Capital Warrants, 50% of the number of then outstanding Private Placement Warrants and Working Capital Warrants. Notwithstanding the foregoing, the Company may lower the Warrant Price or extend the duration of the Exercise Period pursuant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respectively, without the consent of the Registered Holders.</w:t>
      </w:r>
    </w:p>
    <w:p>
      <w:pPr>
        <w:spacing w:after="0" w:line="19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as of the date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VPC IMPACT ACQUISITION HOLDINGS</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CONTINENTAL STOCK TRANSFER &amp;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xml:space="preserve">TRUST COMPANY, </w:t>
      </w:r>
      <w:r>
        <w:rPr>
          <w:rFonts w:ascii="Times New Roman" w:cs="Times New Roman" w:eastAsia="Times New Roman" w:hAnsi="Times New Roman"/>
          <w:sz w:val="18"/>
          <w:szCs w:val="18"/>
          <w:color w:val="auto"/>
        </w:rPr>
        <w:t>as Warrant Agent</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Agreement</w:t>
      </w:r>
      <w:r>
        <w:rPr>
          <w:rFonts w:ascii="Times New Roman" w:cs="Times New Roman" w:eastAsia="Times New Roman" w:hAnsi="Times New Roman"/>
          <w:sz w:val="18"/>
          <w:szCs w:val="18"/>
          <w:color w:val="auto"/>
        </w:rPr>
        <w:t>]</w:t>
      </w:r>
    </w:p>
    <w:p>
      <w:pPr>
        <w:sectPr>
          <w:pgSz w:w="11900" w:h="16838" w:orient="portrait"/>
          <w:cols w:equalWidth="0" w:num="1">
            <w:col w:w="9600"/>
          </w:cols>
          <w:pgMar w:left="880" w:top="270" w:right="141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LEGEND</w:t>
      </w:r>
    </w:p>
    <w:p>
      <w:pPr>
        <w:spacing w:after="0" w:line="22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AND AMONG VPC IMPACT ACQUISITION HOLDINGS (THE “COMPANY”), VPC IMPACT ACQUISITION HOLDINGS SPONSOR, LLC AND THE OTHER SIGNATORIES THERETO, THE SECURITIES REPRESENTED BY THIS CERTIFICATE MAY NOT BE SOLD OR TRANSFERRED PRIOR TO THE DATE THAT IS THIRTY (30) DAYS AFTER THE DATE UPON WHICH THE COMPANY COMPLETES ITS INITIAL BUSINESS COMBINATION (AS DEFINED IN SECTION 3 OF THE WARRANT AGREEMENT REFERRED TO HEREIN) EXCEPT TO A PERMITTED TRANSFEREE (AS DEFINED IN SECTION 2 OF THE WARRANT AGREEMENT) WHO AGREES IN WRITING WITH THE COMPANY TO BE SUBJECT TO SUCH TRANSFER PROVISIONS.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SECURITIES EVIDENCED BY THIS CERTIFICATE AND ORDINARY SHARES OF THE COMPANY ISSUED UPON EXERCISE OF SUCH SECURITIES SHALL BE ENTITLED TO REGISTRATION RIGHTS UNDER A REGISTRATION RIGHTS AGREEMENT TO BE EXECUTED BY THE COMPANY.</w:t>
      </w:r>
    </w:p>
    <w:p>
      <w:pPr>
        <w:sectPr>
          <w:pgSz w:w="11900" w:h="16838" w:orient="portrait"/>
          <w:cols w:equalWidth="0" w:num="1">
            <w:col w:w="11000"/>
          </w:cols>
          <w:pgMar w:left="440" w:top="266" w:right="45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 EXERCISE PERIOD PROVIDED FOR IN THE WARRANT AGREEMENT DESCRIBED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Under the Laws of the Cayman Islands</w:t>
      </w:r>
    </w:p>
    <w:p>
      <w:pPr>
        <w:spacing w:after="0" w:line="20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color w:val="auto"/>
        </w:rPr>
        <w:t xml:space="preserve">CUSIP </w:t>
      </w:r>
      <w:r>
        <w:rPr>
          <w:rFonts w:ascii="Times New Roman" w:cs="Times New Roman" w:eastAsia="Times New Roman" w:hAnsi="Times New Roman"/>
          <w:sz w:val="17"/>
          <w:szCs w:val="17"/>
          <w:color w:val="auto"/>
        </w:rPr>
        <w:t>G9441E 118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440"/>
        <w:spacing w:after="0"/>
        <w:tabs>
          <w:tab w:leader="none" w:pos="4100" w:val="left"/>
          <w:tab w:leader="none" w:pos="8360" w:val="left"/>
        </w:tabs>
        <w:rPr>
          <w:sz w:val="20"/>
          <w:szCs w:val="20"/>
          <w:color w:val="auto"/>
        </w:rPr>
      </w:pPr>
      <w:r>
        <w:rPr>
          <w:rFonts w:ascii="Times New Roman" w:cs="Times New Roman" w:eastAsia="Times New Roman" w:hAnsi="Times New Roman"/>
          <w:sz w:val="18"/>
          <w:szCs w:val="18"/>
          <w:b w:val="1"/>
          <w:bCs w:val="1"/>
          <w:color w:val="auto"/>
        </w:rPr>
        <w:t>This Warrant Certificate certifies that</w:t>
      </w:r>
      <w:r>
        <w:rPr>
          <w:sz w:val="20"/>
          <w:szCs w:val="20"/>
          <w:color w:val="auto"/>
        </w:rPr>
        <w:tab/>
      </w:r>
      <w:r>
        <w:rPr>
          <w:rFonts w:ascii="Times New Roman" w:cs="Times New Roman" w:eastAsia="Times New Roman" w:hAnsi="Times New Roman"/>
          <w:sz w:val="18"/>
          <w:szCs w:val="18"/>
          <w:color w:val="auto"/>
        </w:rPr>
        <w:t>, or registered assigns, is the registered holder of</w:t>
      </w:r>
      <w:r>
        <w:rPr>
          <w:sz w:val="20"/>
          <w:szCs w:val="20"/>
          <w:color w:val="auto"/>
        </w:rPr>
        <w:tab/>
      </w:r>
      <w:r>
        <w:rPr>
          <w:rFonts w:ascii="Times New Roman" w:cs="Times New Roman" w:eastAsia="Times New Roman" w:hAnsi="Times New Roman"/>
          <w:sz w:val="18"/>
          <w:szCs w:val="18"/>
          <w:color w:val="auto"/>
        </w:rPr>
        <w:t>warrants evidenced hereby (the</w:t>
      </w:r>
    </w:p>
    <w:p>
      <w:pPr>
        <w:spacing w:after="0" w:line="3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and each, a</w:t>
      </w:r>
      <w:r>
        <w:rPr>
          <w:rFonts w:ascii="Times New Roman" w:cs="Times New Roman" w:eastAsia="Times New Roman" w:hAnsi="Times New Roman"/>
          <w:sz w:val="17"/>
          <w:szCs w:val="17"/>
          <w:b w:val="1"/>
          <w:bCs w:val="1"/>
          <w:color w:val="auto"/>
        </w:rPr>
        <w:t xml:space="preserve"> “Warrant”</w:t>
      </w:r>
      <w:r>
        <w:rPr>
          <w:rFonts w:ascii="Times New Roman" w:cs="Times New Roman" w:eastAsia="Times New Roman" w:hAnsi="Times New Roman"/>
          <w:sz w:val="17"/>
          <w:szCs w:val="17"/>
          <w:color w:val="auto"/>
        </w:rPr>
        <w:t>) to purchase Class A Ordinary Shares, $0.0001 par value per share (the</w:t>
      </w:r>
      <w:r>
        <w:rPr>
          <w:rFonts w:ascii="Times New Roman" w:cs="Times New Roman" w:eastAsia="Times New Roman" w:hAnsi="Times New Roman"/>
          <w:sz w:val="17"/>
          <w:szCs w:val="17"/>
          <w:b w:val="1"/>
          <w:bCs w:val="1"/>
          <w:color w:val="auto"/>
        </w:rPr>
        <w:t xml:space="preserve"> “Ordinary Shares”</w:t>
      </w:r>
      <w:r>
        <w:rPr>
          <w:rFonts w:ascii="Times New Roman" w:cs="Times New Roman" w:eastAsia="Times New Roman" w:hAnsi="Times New Roman"/>
          <w:sz w:val="17"/>
          <w:szCs w:val="17"/>
          <w:color w:val="auto"/>
        </w:rPr>
        <w:t>), of VPC Impact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Acquisition Holdings, a Cayman Islands exempted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7"/>
          <w:szCs w:val="17"/>
          <w:b w:val="1"/>
          <w:bCs w:val="1"/>
          <w:color w:val="auto"/>
        </w:rPr>
        <w:t>“Warrant Price”</w:t>
      </w:r>
      <w:r>
        <w:rPr>
          <w:rFonts w:ascii="Times New Roman" w:cs="Times New Roman" w:eastAsia="Times New Roman" w:hAnsi="Times New Roman"/>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ectPr>
          <w:pgSz w:w="11900" w:h="16838" w:orient="portrait"/>
          <w:cols w:equalWidth="0" w:num="1">
            <w:col w:w="11020"/>
          </w:cols>
          <w:pgMar w:left="440" w:top="266" w:right="439" w:bottom="1440" w:gutter="0" w:footer="0" w:header="0"/>
        </w:sectPr>
      </w:pPr>
    </w:p>
    <w:bookmarkStart w:id="292" w:name="page293"/>
    <w:bookmarkEnd w:id="2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VPC IMPACT ACQUISITION HOLDINGS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60"/>
          </w:cols>
          <w:pgMar w:left="1440" w:top="270" w:right="1199" w:bottom="1440" w:gutter="0" w:footer="0" w:header="0"/>
        </w:sectPr>
      </w:pPr>
    </w:p>
    <w:bookmarkStart w:id="293" w:name="page294"/>
    <w:bookmarkEnd w:id="29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Warrant Certificate]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Warrants evidenced by this Warrant Certificate are part of a duly authorized issue of Warrants entitling the holder on exercise to receive Ordinary Shares and are issued or to be issued pursuant to a Warrant Agreement dated as of [ ]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xml:space="preserve">),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meaning the Registered Holders or Registered Holder, respectively) of the Warrants. A copy of the Warrant Agreement may be obtained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w:t>
      </w:r>
    </w:p>
    <w:p>
      <w:pPr>
        <w:spacing w:after="0" w:line="27" w:lineRule="exact"/>
        <w:rPr>
          <w:sz w:val="20"/>
          <w:szCs w:val="20"/>
          <w:color w:val="auto"/>
        </w:rPr>
      </w:pPr>
    </w:p>
    <w:p>
      <w:pPr>
        <w:ind w:left="4" w:right="160" w:hanging="4"/>
        <w:spacing w:after="0" w:line="260" w:lineRule="auto"/>
        <w:tabs>
          <w:tab w:leader="none" w:pos="2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8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0" w:lineRule="exact"/>
        <w:rPr>
          <w:sz w:val="20"/>
          <w:szCs w:val="20"/>
          <w:color w:val="auto"/>
        </w:rPr>
      </w:pPr>
    </w:p>
    <w:p>
      <w:pPr>
        <w:jc w:val="both"/>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1024"/>
          </w:cols>
          <w:pgMar w:left="436" w:top="270" w:right="43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to Purchase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tenders payment for such Ordinary Shares to the order of VPC Impact Acquisition Holdings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whose address is and that such Ordinary Shares be delivered to whose address is . If said number of shares is less than all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purchasable hereunder, the undersigned requests that a new Warrant Certificate representing the remaining balance of such Ordinary</w:t>
      </w:r>
    </w:p>
    <w:p>
      <w:pPr>
        <w:spacing w:after="0" w:line="200" w:lineRule="exact"/>
        <w:rPr>
          <w:sz w:val="20"/>
          <w:szCs w:val="20"/>
          <w:color w:val="auto"/>
        </w:rPr>
      </w:pPr>
    </w:p>
    <w:p>
      <w:pPr>
        <w:spacing w:after="0" w:line="205" w:lineRule="exact"/>
        <w:rPr>
          <w:sz w:val="20"/>
          <w:szCs w:val="20"/>
          <w:color w:val="auto"/>
        </w:rPr>
      </w:pPr>
    </w:p>
    <w:p>
      <w:pPr>
        <w:ind w:right="820"/>
        <w:spacing w:after="0" w:line="261" w:lineRule="auto"/>
        <w:rPr>
          <w:sz w:val="20"/>
          <w:szCs w:val="20"/>
          <w:color w:val="auto"/>
        </w:rPr>
      </w:pPr>
      <w:r>
        <w:rPr>
          <w:rFonts w:ascii="Times New Roman" w:cs="Times New Roman" w:eastAsia="Times New Roman" w:hAnsi="Times New Roman"/>
          <w:sz w:val="18"/>
          <w:szCs w:val="18"/>
          <w:color w:val="auto"/>
        </w:rPr>
        <w:t>Shares be registered in the name of , whose address is and that such Warrant Certificate be delivered to , whose address is .</w:t>
      </w:r>
    </w:p>
    <w:p>
      <w:pPr>
        <w:spacing w:after="0" w:line="200" w:lineRule="exact"/>
        <w:rPr>
          <w:sz w:val="20"/>
          <w:szCs w:val="20"/>
          <w:color w:val="auto"/>
        </w:rPr>
      </w:pPr>
    </w:p>
    <w:p>
      <w:pPr>
        <w:spacing w:after="0" w:line="223"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has been called for redemption by the Company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and a holder thereof elects to exercise its Warrant pursuant to a Make-Whole Exercise,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Warrant Agreement, as applicable.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Warrant is a Private Placement Warrant that is to be exercised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of the Warrant Agreement.</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Warrant is to be exercised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 the number of Ordinary Shares that this Warrant is exercisable for shall be determined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of the Warrant Agreement.</w:t>
      </w:r>
    </w:p>
    <w:p>
      <w:pPr>
        <w:spacing w:after="0" w:line="162"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980"/>
          </w:cols>
          <w:pgMar w:left="440" w:top="270" w:right="479" w:bottom="1440" w:gutter="0" w:footer="0" w:header="0"/>
        </w:sectPr>
      </w:pPr>
    </w:p>
    <w:bookmarkStart w:id="295" w:name="page296"/>
    <w:bookmarkEnd w:id="295"/>
    <w:p>
      <w:pPr>
        <w:spacing w:after="0"/>
        <w:tabs>
          <w:tab w:leader="none" w:pos="13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4806315</wp:posOffset>
            </wp:positionH>
            <wp:positionV relativeFrom="paragraph">
              <wp:posOffset>173990</wp:posOffset>
            </wp:positionV>
            <wp:extent cx="2185670" cy="1968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8567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acted as New York counsel to 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S-1 (File No. 333-248619)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offer and sale by the Company of 20,000,000 units of the Company, including up to 3,000,000 units which may be purchased from the Company upon the exercise of the over-allotment option to purchase additional units set forth in the Underwriting Agreement (as defined below)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with each Unit consisting of one of the Company’s Class A ordinary shares, par value $0.0001 per share (each, an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and one-half of one redeemable warrant (each, a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each whole Warrant entitling the holder to purchase one Ordinary Share.</w:t>
      </w:r>
    </w:p>
    <w:p>
      <w:pPr>
        <w:spacing w:after="0" w:line="19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issue of the Units.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81" w:lineRule="exact"/>
        <w:rPr>
          <w:sz w:val="20"/>
          <w:szCs w:val="20"/>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right="600" w:hanging="532"/>
        <w:spacing w:after="0" w:line="312" w:lineRule="auto"/>
        <w:tabs>
          <w:tab w:leader="none" w:pos="9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underwriting agreement to be entered into between the Company and the representative on behalf of each of the several underwriters named in Schedule I thereto, filed as Exhibit 1.1 to the Registration Statement (the “</w:t>
      </w:r>
      <w:r>
        <w:rPr>
          <w:rFonts w:ascii="Times New Roman" w:cs="Times New Roman" w:eastAsia="Times New Roman" w:hAnsi="Times New Roman"/>
          <w:sz w:val="17"/>
          <w:szCs w:val="17"/>
          <w:u w:val="single" w:color="auto"/>
          <w:color w:val="auto"/>
        </w:rPr>
        <w:t>Underwriting Agreement</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Unit certificate, filed as Exhibit 4.1 to 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Warrant certificate, filed as Exhibit 4.3 to the Registration Statement; and</w:t>
      </w:r>
    </w:p>
    <w:p>
      <w:pPr>
        <w:sectPr>
          <w:pgSz w:w="11900" w:h="16838" w:orient="portrait"/>
          <w:cols w:equalWidth="0" w:num="1">
            <w:col w:w="11020"/>
          </w:cols>
          <w:pgMar w:left="440" w:top="117" w:right="439" w:bottom="1440" w:gutter="0" w:footer="0" w:header="0"/>
        </w:sectPr>
      </w:pPr>
    </w:p>
    <w:bookmarkStart w:id="297" w:name="page298"/>
    <w:bookmarkEnd w:id="29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183515</wp:posOffset>
            </wp:positionV>
            <wp:extent cx="2185670" cy="1974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2185670" cy="197485"/>
                    </a:xfrm>
                    <a:prstGeom prst="rect">
                      <a:avLst/>
                    </a:prstGeom>
                    <a:noFill/>
                  </pic:spPr>
                </pic:pic>
              </a:graphicData>
            </a:graphic>
          </wp:anchor>
        </w:drawing>
        <w:t>September 16, 2020</w:t>
      </w:r>
    </w:p>
    <w:p>
      <w:pPr>
        <w:spacing w:after="0" w:line="158" w:lineRule="exact"/>
        <w:rPr>
          <w:sz w:val="20"/>
          <w:szCs w:val="20"/>
          <w:color w:val="auto"/>
        </w:rPr>
      </w:pPr>
    </w:p>
    <w:p>
      <w:pPr>
        <w:ind w:left="964" w:right="120" w:hanging="532"/>
        <w:spacing w:after="0" w:line="266" w:lineRule="auto"/>
        <w:tabs>
          <w:tab w:leader="none" w:pos="96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Warrant Agreement to be entered into by and between the Company and Continental Stock Transfer &amp; Trust Company, as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pursuant to which the Warrants will be issued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filed as Exhibit 4.4 to the Registration Statement.</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documents listed in clauses (b) through (e) above and the other documents that we have examined in connection therewith are referred to as the “Transaction Documents”.</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ind w:left="4"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addition, in rendering the opinions expressed below, we have assumed that: (i) each party to each Transaction Document is duly organized and validly existing and in good standing under the laws of its jurisdiction of incorporation or formation and has, and had at all relevant times, full power and authority to execute and deliver, and to perform its obligations under, each Transaction Document to which it is a party, (ii) that each Transaction Document has been or will be duly authorized, and will be executed and delivered, by all of the parties thereto, and each party to the each of the Transaction Documents has satisfied or will satisfy all other legal requirements that are applicable to it to the extent necessary to make each Transaction Document enforceable against it, (iii) that each Transaction Document will constitute the valid, binding and enforceable obligation of all of the parties thereto under all applicable laws; provided,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made as to the Company to the extent expressly addressed in our opinion in paragraphs 1 and 2 of this opinion letter, (iv) that the execution and delivery of, and the performance of its obligations under, each Transaction Document by each party thereto will not (A) contravene such party’s articles or certificate of incorporation, by-laws or similar organizational documents, (B) contravene any laws or governmental rules or regulations that may be applicable to such party or its assets,</w:t>
      </w:r>
    </w:p>
    <w:p>
      <w:pPr>
        <w:spacing w:after="0" w:line="5" w:lineRule="exact"/>
        <w:rPr>
          <w:sz w:val="20"/>
          <w:szCs w:val="20"/>
          <w:color w:val="auto"/>
        </w:rPr>
      </w:pPr>
    </w:p>
    <w:p>
      <w:pPr>
        <w:ind w:left="4" w:right="20" w:hanging="4"/>
        <w:spacing w:after="0" w:line="252" w:lineRule="auto"/>
        <w:tabs>
          <w:tab w:leader="none" w:pos="28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any judicial or administrative judgment, injunction, order or decree that is binding upon such party or its assets, or (D) breach or result in a default under any contract, indenture, lease, or other agreement or instrument applicable to or binding upon such party or its assets, (v) that all consents, approvals, licenses, authorizations, orders of, and all filings or registrations with, any governmental or regulatory authority or agency required under the laws of any jurisdiction for the execution and delivery of, and the performance of its obligations under, each Transaction Document by each party thereto have been or will be obtained or made and are in full force and effect and (vi) that there are no agreements or other arrangements that modify, supersede, novate, terminate or otherwise alter any of the terms of any Transaction Document.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796"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5085715</wp:posOffset>
            </wp:positionH>
            <wp:positionV relativeFrom="page">
              <wp:posOffset>183515</wp:posOffset>
            </wp:positionV>
            <wp:extent cx="2185670" cy="1974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2185670" cy="197485"/>
                    </a:xfrm>
                    <a:prstGeom prst="rect">
                      <a:avLst/>
                    </a:prstGeom>
                    <a:noFill/>
                  </pic:spPr>
                </pic:pic>
              </a:graphicData>
            </a:graphic>
          </wp:anchor>
        </w:drawing>
        <w:t>September 16, 2020</w:t>
      </w:r>
    </w:p>
    <w:p>
      <w:pPr>
        <w:spacing w:after="0" w:line="158"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Based upon the foregoing assumptions and assumptions set forth below, and subject to the qualifications and limitations stated herein, having considered such questions of law as we have deemed necessary as a basis for the opinions expressed below, we are of the opinion that:</w:t>
      </w:r>
    </w:p>
    <w:p>
      <w:pPr>
        <w:spacing w:after="0" w:line="67" w:lineRule="exact"/>
        <w:rPr>
          <w:sz w:val="20"/>
          <w:szCs w:val="20"/>
          <w:color w:val="auto"/>
        </w:rPr>
      </w:pPr>
    </w:p>
    <w:p>
      <w:pPr>
        <w:ind w:left="960" w:hanging="532"/>
        <w:spacing w:after="0" w:line="257" w:lineRule="auto"/>
        <w:tabs>
          <w:tab w:leader="none" w:pos="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becomes effective under the Securities Act and the Units have been issued and delivered by the Company pursuant to the Underwriting Agreement against the payment of the consideration set forth in the Underwriting Agreement, the Units will constitute valid and binding obligations of the Company, enforceable against the Company in accordance with their terms, subject to</w:t>
      </w:r>
    </w:p>
    <w:p>
      <w:pPr>
        <w:spacing w:after="0" w:line="1" w:lineRule="exact"/>
        <w:rPr>
          <w:rFonts w:ascii="Times New Roman" w:cs="Times New Roman" w:eastAsia="Times New Roman" w:hAnsi="Times New Roman"/>
          <w:sz w:val="18"/>
          <w:szCs w:val="18"/>
          <w:color w:val="auto"/>
        </w:rPr>
      </w:pPr>
    </w:p>
    <w:p>
      <w:pPr>
        <w:ind w:left="96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applicable bankruptcy, insolvency, receivership, conservatorship, liquidation, reorganization, moratorium, fraudulent transfer and other laws affecting the enforcement of creditors’ rights generally, and (ii) the application of general principles of equity (whether applied by a court in equity or at law).</w:t>
      </w:r>
    </w:p>
    <w:p>
      <w:pPr>
        <w:spacing w:after="0" w:line="91"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becomes effective under the Securities Act and the Warrants included in the Units have been delivered by the Company pursuant to the Underwriting Agreement against the payment of the consideration set forth in the Underwriting Agreement, the Warrants will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law of the State of New York. We do not express any opinion as to the laws of any other jurisdiction.</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Units pursuant to the Registration Statement and is not to be relied upon for any other purpose.</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our firm as counsel for the Company that has passed on the validity of the Units and Warrants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JR:EMS:RB:BL:RP:BM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796" w:right="45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337" w:lineRule="exact"/>
        <w:rPr>
          <w:sz w:val="20"/>
          <w:szCs w:val="20"/>
          <w:color w:val="auto"/>
        </w:rPr>
      </w:pPr>
    </w:p>
    <w:p>
      <w:pPr>
        <w:ind w:left="4"/>
        <w:spacing w:after="0"/>
        <w:tabs>
          <w:tab w:leader="none" w:pos="1264" w:val="left"/>
        </w:tabs>
        <w:rPr>
          <w:sz w:val="20"/>
          <w:szCs w:val="20"/>
          <w:color w:val="auto"/>
        </w:rPr>
      </w:pPr>
      <w:r>
        <w:rPr>
          <w:rFonts w:ascii="Times New Roman" w:cs="Times New Roman" w:eastAsia="Times New Roman" w:hAnsi="Times New Roman"/>
          <w:sz w:val="18"/>
          <w:szCs w:val="18"/>
          <w:color w:val="auto"/>
        </w:rPr>
        <w:t>Our ref</w:t>
      </w:r>
      <w:r>
        <w:rPr>
          <w:sz w:val="20"/>
          <w:szCs w:val="20"/>
          <w:color w:val="auto"/>
        </w:rPr>
        <w:tab/>
      </w:r>
      <w:r>
        <w:rPr>
          <w:rFonts w:ascii="Times New Roman" w:cs="Times New Roman" w:eastAsia="Times New Roman" w:hAnsi="Times New Roman"/>
          <w:sz w:val="17"/>
          <w:szCs w:val="17"/>
          <w:color w:val="auto"/>
        </w:rPr>
        <w:t>MUL/775797-000001/63902571v1</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Grand Cayman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KY1-1104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117"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color w:val="auto"/>
        </w:rPr>
        <w:t>We have acted as counsel as to Cayman Islands law to VPC Impact Acquisition Holdings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S-1,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purposes of, registering with the Commission under the Act, the offering and sale to the public of:</w:t>
      </w:r>
    </w:p>
    <w:p>
      <w:pPr>
        <w:spacing w:after="0" w:line="86" w:lineRule="exact"/>
        <w:rPr>
          <w:sz w:val="20"/>
          <w:szCs w:val="20"/>
          <w:color w:val="auto"/>
        </w:rPr>
      </w:pPr>
    </w:p>
    <w:p>
      <w:pPr>
        <w:ind w:left="544" w:hanging="544"/>
        <w:spacing w:after="0"/>
        <w:tabs>
          <w:tab w:leader="none" w:pos="54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23,000,000 units (including 3,000,000 units, which the several underwriters, for whom Jeffries LLC is acting as representative</w:t>
      </w:r>
    </w:p>
    <w:p>
      <w:pPr>
        <w:spacing w:after="0" w:line="27" w:lineRule="exact"/>
        <w:rPr>
          <w:rFonts w:ascii="Times New Roman" w:cs="Times New Roman" w:eastAsia="Times New Roman" w:hAnsi="Times New Roman"/>
          <w:sz w:val="18"/>
          <w:szCs w:val="18"/>
          <w:color w:val="auto"/>
        </w:rPr>
      </w:pPr>
    </w:p>
    <w:p>
      <w:pPr>
        <w:ind w:left="54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will have a 45-day option to purchase from the Company to cover over-allotments, if any)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at an offering price of US$10 per Unit, each Unit consisting of:</w:t>
      </w:r>
    </w:p>
    <w:p>
      <w:pPr>
        <w:spacing w:after="0" w:line="82"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A ordinary share of a par value of US$0.0001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one redeemable warrant, each whole warrant exercisable to purchase one Ordinary Share at a price of US$11.50 per Ordinary Share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Ordinary Shares and Warrants issued as part of the Units.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Registration Statement.</w:t>
      </w:r>
    </w:p>
    <w:p>
      <w:pPr>
        <w:spacing w:after="0" w:line="370" w:lineRule="exact"/>
        <w:rPr>
          <w:sz w:val="20"/>
          <w:szCs w:val="20"/>
          <w:color w:val="auto"/>
        </w:rPr>
      </w:pPr>
    </w:p>
    <w:p>
      <w:pPr>
        <w:ind w:left="544" w:hanging="544"/>
        <w:spacing w:after="0"/>
        <w:tabs>
          <w:tab w:leader="none" w:pos="54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certificate of incorporation dated 31 July 2020 and the memorandum and articles of association of the Company as registered or adopted on</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31 July 2020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44" w:right="5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written resolutions of the board of directors of the Company dated 3 August 2020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 the corporate records of the Company maintained at its registered office in the Cayman Islands.</w:t>
      </w:r>
    </w:p>
    <w:p>
      <w:pPr>
        <w:sectPr>
          <w:pgSz w:w="11900" w:h="16838" w:orient="portrait"/>
          <w:cols w:equalWidth="0" w:num="1">
            <w:col w:w="11024"/>
          </w:cols>
          <w:pgMar w:left="436" w:top="117" w:right="439" w:bottom="1440" w:gutter="0" w:footer="0" w:header="0"/>
        </w:sectPr>
      </w:pPr>
    </w:p>
    <w:bookmarkStart w:id="300" w:name="page301"/>
    <w:bookmarkEnd w:id="30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color w:val="auto"/>
        </w:rPr>
        <w:t>A certificate of good standing with respect to the Company issued by the Registrar of Companies (the “</w:t>
      </w: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A draft of the form of the unit certificate representing the Units (the “</w:t>
      </w:r>
      <w:r>
        <w:rPr>
          <w:rFonts w:ascii="Times New Roman" w:cs="Times New Roman" w:eastAsia="Times New Roman" w:hAnsi="Times New Roman"/>
          <w:sz w:val="17"/>
          <w:szCs w:val="17"/>
          <w:b w:val="1"/>
          <w:bCs w:val="1"/>
          <w:color w:val="auto"/>
        </w:rPr>
        <w:t>Unit Certificate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A draft of the form of the warrant agreement and the warrant certificate constituting the Warrants (the “</w:t>
      </w:r>
      <w:r>
        <w:rPr>
          <w:rFonts w:ascii="Times New Roman" w:cs="Times New Roman" w:eastAsia="Times New Roman" w:hAnsi="Times New Roman"/>
          <w:sz w:val="17"/>
          <w:szCs w:val="17"/>
          <w:b w:val="1"/>
          <w:bCs w:val="1"/>
          <w:color w:val="auto"/>
        </w:rPr>
        <w:t>Warrant Documents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A draft of the underwriting agreement between the Company and the Representative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documents listed in paragraphs 1.6 to 1.8 inclusive above shall be referred to collectively herein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544" w:hanging="544"/>
        <w:spacing w:after="0"/>
        <w:tabs>
          <w:tab w:leader="none" w:pos="54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8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67"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Documents are, or will be, legal, valid, binding and enforceable against all relevant parties in accordance with their terms under the laws of the State of New York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and all other relevant laws (other than, with respect to the Company, the laws of the Cayman Islands).</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81" w:lineRule="exact"/>
        <w:rPr>
          <w:sz w:val="20"/>
          <w:szCs w:val="20"/>
          <w:color w:val="auto"/>
        </w:rPr>
      </w:pPr>
    </w:p>
    <w:p>
      <w:pPr>
        <w:ind w:left="544" w:right="5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131"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301" w:name="page302"/>
    <w:bookmarkEnd w:id="301"/>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 the Units, the Warrants or the Ordinary Shares.</w:t>
      </w:r>
    </w:p>
    <w:p>
      <w:pPr>
        <w:spacing w:after="0" w:line="67"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67"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Law (2020 Revision) and the Terrorism Law (2018 Revision), respectively).</w:t>
      </w:r>
    </w:p>
    <w:p>
      <w:pPr>
        <w:spacing w:after="0" w:line="8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2.10</w:t>
        <w:tab/>
        <w:t>There is nothing under any law (other than the laws of the Cayman Islands) which would or might affect the opinions set out below. Specifically, we have made no independent investigation of the Relevant Law.</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2.11</w:t>
        <w:tab/>
        <w:t>The Company will receive money or money’s worth in consideration for the issue of the Ordinary Shares and none of the Ordinary Shares were or will be issued for less than par value.</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 letter.</w:t>
      </w:r>
    </w:p>
    <w:p>
      <w:pPr>
        <w:spacing w:after="0" w:line="306" w:lineRule="exact"/>
        <w:rPr>
          <w:sz w:val="20"/>
          <w:szCs w:val="20"/>
          <w:color w:val="auto"/>
        </w:rPr>
      </w:pPr>
    </w:p>
    <w:p>
      <w:pPr>
        <w:ind w:left="544" w:hanging="544"/>
        <w:spacing w:after="0"/>
        <w:tabs>
          <w:tab w:leader="none" w:pos="544"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67" w:lineRule="exact"/>
        <w:rPr>
          <w:sz w:val="20"/>
          <w:szCs w:val="20"/>
          <w:color w:val="auto"/>
        </w:rPr>
      </w:pPr>
    </w:p>
    <w:p>
      <w:pPr>
        <w:ind w:left="544" w:right="2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Ordinary Shares to be offered and issued by the Company as contemplated by the Registration Statement have been duly authorised for issue, and when issued by the Company against payment in full of the consideration as set out in the Registration Statement and in accordance with the terms set out in the Registration Statement, such Ordinary Shares will be validly issued, fully paid and non-assessable. As a matter of Cayman Islands law, a share is only issued when it has been entered in the register of members (shareholders).</w:t>
      </w:r>
    </w:p>
    <w:p>
      <w:pPr>
        <w:spacing w:after="0" w:line="85"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execution, delivery and performance of the Unit Certificate and the Warrant Documents have been authorised by and on behalf of the Company and, once the Unit Certificate and the Warrant Documents have been executed and delivered by any director or officer of the Company, the Unit Certificate and the Warrant Documents will be duly executed and delivered on behalf of the Company and will constitute the legal, valid and binding obligations of the Company enforceable in accordance with their terms.</w:t>
      </w:r>
    </w:p>
    <w:p>
      <w:pPr>
        <w:spacing w:after="0" w:line="324" w:lineRule="exact"/>
        <w:rPr>
          <w:sz w:val="20"/>
          <w:szCs w:val="20"/>
          <w:color w:val="auto"/>
        </w:rPr>
      </w:pPr>
    </w:p>
    <w:p>
      <w:pPr>
        <w:ind w:left="544" w:hanging="544"/>
        <w:spacing w:after="0"/>
        <w:tabs>
          <w:tab w:leader="none" w:pos="544"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127"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enforceable</w:t>
      </w:r>
      <w:r>
        <w:rPr>
          <w:rFonts w:ascii="Times New Roman" w:cs="Times New Roman" w:eastAsia="Times New Roman" w:hAnsi="Times New Roman"/>
          <w:sz w:val="18"/>
          <w:szCs w:val="18"/>
          <w:color w:val="auto"/>
        </w:rPr>
        <w:t>” as used above means that the obligations assumed by the Company under the Documents are of a type which the courts of the Cayman Islands will enforce. It does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02" w:name="page303"/>
    <w:bookmarkEnd w:id="302"/>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mean that those obligations will necessarily be enforced in all circumstances in accordance with their terms. In particular:</w:t>
      </w:r>
    </w:p>
    <w:p>
      <w:pPr>
        <w:spacing w:after="0" w:line="131" w:lineRule="exact"/>
        <w:rPr>
          <w:sz w:val="20"/>
          <w:szCs w:val="20"/>
          <w:color w:val="auto"/>
        </w:rPr>
      </w:pPr>
    </w:p>
    <w:p>
      <w:pPr>
        <w:ind w:left="1180" w:right="160" w:hanging="644"/>
        <w:spacing w:after="0" w:line="282" w:lineRule="auto"/>
        <w:tabs>
          <w:tab w:leader="none" w:pos="11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67"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67" w:lineRule="exact"/>
        <w:rPr>
          <w:sz w:val="20"/>
          <w:szCs w:val="20"/>
          <w:color w:val="auto"/>
        </w:rPr>
      </w:pPr>
    </w:p>
    <w:p>
      <w:pPr>
        <w:ind w:left="540" w:right="2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65"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Under Cayman Islands law, the register of members (shareholders)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92" w:lineRule="exact"/>
        <w:rPr>
          <w:sz w:val="20"/>
          <w:szCs w:val="20"/>
          <w:color w:val="auto"/>
        </w:rPr>
      </w:pPr>
    </w:p>
    <w:p>
      <w:pPr>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81" w:lineRule="exact"/>
        <w:rPr>
          <w:sz w:val="20"/>
          <w:szCs w:val="20"/>
          <w:color w:val="auto"/>
        </w:rPr>
      </w:pPr>
    </w:p>
    <w:p>
      <w:pPr>
        <w:ind w:left="540" w:right="1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In this opinion letter, the phrase “non-assessable” means, with respect to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headings “Legal Matters”, “Risk Factors”, “Shareholders’ Suits” and “Enforcement of Civil Liabilities”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03" w:name="page304"/>
    <w:bookmarkEnd w:id="30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04" w:name="page305"/>
    <w:bookmarkEnd w:id="30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VPC Impact Acquisition Holdings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33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Maples and Calder</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Cayman Islands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VPC Impact Acquisition Holdings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80" w:lineRule="exact"/>
        <w:rPr>
          <w:sz w:val="20"/>
          <w:szCs w:val="20"/>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131" w:lineRule="exact"/>
        <w:rPr>
          <w:sz w:val="20"/>
          <w:szCs w:val="20"/>
          <w:color w:val="auto"/>
        </w:rPr>
      </w:pPr>
    </w:p>
    <w:p>
      <w:pPr>
        <w:ind w:left="544" w:right="120" w:hanging="544"/>
        <w:spacing w:after="0" w:line="282" w:lineRule="auto"/>
        <w:tabs>
          <w:tab w:leader="none" w:pos="54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mortgages or charges over its property or assets other than those entered in the register of mortgages and charges of the Company.</w:t>
      </w:r>
    </w:p>
    <w:p>
      <w:pPr>
        <w:spacing w:after="0" w:line="67" w:lineRule="exact"/>
        <w:rPr>
          <w:sz w:val="20"/>
          <w:szCs w:val="20"/>
          <w:color w:val="auto"/>
        </w:rPr>
      </w:pPr>
    </w:p>
    <w:p>
      <w:pPr>
        <w:ind w:left="544" w:right="180" w:hanging="544"/>
        <w:spacing w:after="0" w:line="282" w:lineRule="auto"/>
        <w:tabs>
          <w:tab w:leader="none" w:pos="5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67" w:lineRule="exact"/>
        <w:rPr>
          <w:sz w:val="20"/>
          <w:szCs w:val="20"/>
          <w:color w:val="auto"/>
        </w:rPr>
      </w:pPr>
    </w:p>
    <w:p>
      <w:pPr>
        <w:ind w:left="544" w:right="120" w:hanging="544"/>
        <w:spacing w:after="0" w:line="261" w:lineRule="auto"/>
        <w:tabs>
          <w:tab w:leader="none" w:pos="5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US$22,100 divided into 200,000,000 Class A ordinary shares of a par value of US$0.0001 each, 20,000,000 Class B ordinary shares of a par value of US$0.0001 each and 1,000,000 preference shares of a par value of US$0.0001 each. The issued share capital of the Company is 5,750,000 Class B ordinary shares, which have been duly authorised and are validly issued as fully-paid and non-assessable.</w:t>
      </w:r>
    </w:p>
    <w:p>
      <w:pPr>
        <w:spacing w:after="0" w:line="81" w:lineRule="exact"/>
        <w:rPr>
          <w:sz w:val="20"/>
          <w:szCs w:val="20"/>
          <w:color w:val="auto"/>
        </w:rPr>
      </w:pPr>
    </w:p>
    <w:p>
      <w:pPr>
        <w:ind w:left="544" w:hanging="544"/>
        <w:spacing w:after="0"/>
        <w:tabs>
          <w:tab w:leader="none" w:pos="54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have not restricted the powers of the directors of the Company in any way.</w:t>
      </w:r>
    </w:p>
    <w:p>
      <w:pPr>
        <w:spacing w:after="0" w:line="135" w:lineRule="exact"/>
        <w:rPr>
          <w:sz w:val="20"/>
          <w:szCs w:val="20"/>
          <w:color w:val="auto"/>
        </w:rPr>
      </w:pPr>
    </w:p>
    <w:p>
      <w:pPr>
        <w:ind w:left="544" w:right="220" w:hanging="544"/>
        <w:spacing w:after="0" w:line="282" w:lineRule="auto"/>
        <w:tabs>
          <w:tab w:leader="none" w:pos="5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the Resolutions and at the date of this certificate were and are as follows: John Martin and Gordon Watson.</w:t>
      </w:r>
    </w:p>
    <w:p>
      <w:pPr>
        <w:spacing w:after="0" w:line="67" w:lineRule="exact"/>
        <w:rPr>
          <w:sz w:val="20"/>
          <w:szCs w:val="20"/>
          <w:color w:val="auto"/>
        </w:rPr>
      </w:pPr>
    </w:p>
    <w:p>
      <w:pPr>
        <w:ind w:left="544" w:right="40" w:hanging="544"/>
        <w:spacing w:after="0" w:line="261" w:lineRule="auto"/>
        <w:tabs>
          <w:tab w:leader="none" w:pos="54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305" w:name="page306"/>
    <w:bookmarkEnd w:id="305"/>
    <w:p>
      <w:pPr>
        <w:ind w:left="544" w:right="60" w:hanging="544"/>
        <w:spacing w:after="0" w:line="261" w:lineRule="auto"/>
        <w:tabs>
          <w:tab w:leader="none" w:pos="54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85" w:lineRule="exact"/>
        <w:rPr>
          <w:sz w:val="20"/>
          <w:szCs w:val="20"/>
          <w:color w:val="auto"/>
        </w:rPr>
      </w:pPr>
    </w:p>
    <w:p>
      <w:pPr>
        <w:ind w:left="544" w:right="700" w:hanging="544"/>
        <w:spacing w:after="0" w:line="266" w:lineRule="auto"/>
        <w:tabs>
          <w:tab w:leader="none" w:pos="54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81" w:lineRule="exact"/>
        <w:rPr>
          <w:sz w:val="20"/>
          <w:szCs w:val="20"/>
          <w:color w:val="auto"/>
        </w:rPr>
      </w:pPr>
    </w:p>
    <w:p>
      <w:pPr>
        <w:ind w:left="544" w:right="120" w:hanging="544"/>
        <w:spacing w:after="0" w:line="289" w:lineRule="auto"/>
        <w:tabs>
          <w:tab w:leader="none" w:pos="544"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of my knowledge and belief, having made due inquiry, the Company is not the subject of legal, arbitral, administrative or other proceedings in any jurisdiction.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63" w:lineRule="exact"/>
        <w:rPr>
          <w:rFonts w:ascii="Times New Roman" w:cs="Times New Roman" w:eastAsia="Times New Roman" w:hAnsi="Times New Roman"/>
          <w:sz w:val="17"/>
          <w:szCs w:val="17"/>
          <w:color w:val="auto"/>
        </w:rPr>
      </w:pPr>
    </w:p>
    <w:p>
      <w:pPr>
        <w:ind w:left="544" w:right="340"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67" w:lineRule="exact"/>
        <w:rPr>
          <w:rFonts w:ascii="Times New Roman" w:cs="Times New Roman" w:eastAsia="Times New Roman" w:hAnsi="Times New Roman"/>
          <w:sz w:val="18"/>
          <w:szCs w:val="18"/>
          <w:color w:val="auto"/>
        </w:rPr>
      </w:pPr>
    </w:p>
    <w:p>
      <w:pPr>
        <w:ind w:left="544" w:right="60"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authorised and duly executed and delivered by or on behalf of all relevant parties in accordance with all relevant laws.</w:t>
      </w:r>
    </w:p>
    <w:p>
      <w:pPr>
        <w:spacing w:after="0" w:line="67" w:lineRule="exact"/>
        <w:rPr>
          <w:rFonts w:ascii="Times New Roman" w:cs="Times New Roman" w:eastAsia="Times New Roman" w:hAnsi="Times New Roman"/>
          <w:sz w:val="18"/>
          <w:szCs w:val="18"/>
          <w:color w:val="auto"/>
        </w:rPr>
      </w:pPr>
    </w:p>
    <w:p>
      <w:pPr>
        <w:ind w:left="544" w:right="360"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Cayman Islands to subscribe for any of the Ordinary Shares.</w:t>
      </w:r>
    </w:p>
    <w:p>
      <w:pPr>
        <w:spacing w:after="0" w:line="67"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to be issued pursuant to the Registration Statement have been, or will be, duly registered, and will continue to be registered, in the Company’s register of members (shareholders).</w:t>
      </w:r>
    </w:p>
    <w:p>
      <w:pPr>
        <w:spacing w:after="0" w:line="67" w:lineRule="exact"/>
        <w:rPr>
          <w:rFonts w:ascii="Times New Roman" w:cs="Times New Roman" w:eastAsia="Times New Roman" w:hAnsi="Times New Roman"/>
          <w:sz w:val="18"/>
          <w:szCs w:val="18"/>
          <w:color w:val="auto"/>
        </w:rPr>
      </w:pPr>
    </w:p>
    <w:p>
      <w:pPr>
        <w:ind w:left="544" w:right="300"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67" w:lineRule="exact"/>
        <w:rPr>
          <w:rFonts w:ascii="Times New Roman" w:cs="Times New Roman" w:eastAsia="Times New Roman" w:hAnsi="Times New Roman"/>
          <w:sz w:val="18"/>
          <w:szCs w:val="18"/>
          <w:color w:val="auto"/>
        </w:rPr>
      </w:pPr>
    </w:p>
    <w:p>
      <w:pPr>
        <w:ind w:left="544" w:right="120" w:hanging="544"/>
        <w:spacing w:after="0" w:line="282" w:lineRule="auto"/>
        <w:tabs>
          <w:tab w:leader="none" w:pos="5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37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306" w:name="page307"/>
    <w:bookmarkEnd w:id="30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confirm that you may continue to rely on this certificate as being true and correct on the day that you issue the Opinion unless I shall have previously notified you in writing personally to the contrary.</w:t>
      </w:r>
    </w:p>
    <w:p>
      <w:pPr>
        <w:spacing w:after="0" w:line="2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Gordon Watson</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440" w:top="270" w:right="61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among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Jefferies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several underwriters (each, an “</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of up to 23,000,000 of the Company’s units (including up to 3,000,000 units that may be purchased to cover over-allotments, if any)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of the Company’s Class A ordinary shares, par value $0.0001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and one-half of one redeemable warrant. Each whole warrant (each,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entitles the holder thereof to purchase one Class A Ordinary Share at a price of $11.50 per share, subject to adjustment as described in the Prospectus (as defined below). The Units will be sold in the Public Offering pursuant to a registration statement on Form S-1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and the Company has applied to have the Units listed on the New York Stock Exchange. Certain capitalized terms used herein are defined in paragraph 11 hereof.</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Public Offering and for other good and valuable consideration, the receipt and sufficiency of which are hereby acknowledged, each of VPC Impact Acquisition Holdings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the undersigned individuals, each of whom is a member of the Company’s board of directors and/or management team (each of the undersigned individuals,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hereby agrees with the Company as follows:</w:t>
      </w:r>
    </w:p>
    <w:p>
      <w:pPr>
        <w:spacing w:after="0" w:line="85" w:lineRule="exact"/>
        <w:rPr>
          <w:sz w:val="20"/>
          <w:szCs w:val="20"/>
          <w:color w:val="auto"/>
        </w:rPr>
      </w:pPr>
    </w:p>
    <w:p>
      <w:pPr>
        <w:ind w:left="1180" w:right="100" w:hanging="644"/>
        <w:spacing w:after="0" w:line="256" w:lineRule="auto"/>
        <w:tabs>
          <w:tab w:leader="none" w:pos="11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if the Company seeks shareholder approval of a proposed Business Combination, then in connection with such proposed Business Combination, it, he or she shall (i) vote any Ordinary Shares (as defined below) owned by it, him or her in favor of any proposed Business Combination and (ii) not redeem any Ordinary Shares owned by it, him or her in connection with such shareholder approval. If the Company seeks to consummate a proposed Business Combination by engaging in a tender offer, the Sponsor and each Insider agrees that it, he or she will not sell or tender any Ordinary Shares owned by it, him or her in connection therewith.</w:t>
      </w:r>
    </w:p>
    <w:p>
      <w:pPr>
        <w:spacing w:after="0" w:line="92" w:lineRule="exact"/>
        <w:rPr>
          <w:rFonts w:ascii="Times New Roman" w:cs="Times New Roman" w:eastAsia="Times New Roman" w:hAnsi="Times New Roman"/>
          <w:sz w:val="18"/>
          <w:szCs w:val="18"/>
          <w:color w:val="auto"/>
        </w:rPr>
      </w:pPr>
    </w:p>
    <w:p>
      <w:pPr>
        <w:ind w:left="1180" w:right="20" w:hanging="644"/>
        <w:spacing w:after="0" w:line="253" w:lineRule="auto"/>
        <w:tabs>
          <w:tab w:leader="none" w:pos="11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that in the event that the Company fails to consummate a Business Combination within 24 months from the closing of the Public Offering, or such later period approved by the Company’s shareholders in accordance with the Company’s amended and restated memorandum and articles of association (as it may be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the Sponsor and each Insider shall take all reasonable steps to cause the Company to (i) cease all operations except for the purpose of winding up, (ii) as promptly as reasonably possible but not more than ten (10) business days thereafter, redeem 100% of the Class A Ordinary Shares sold as part of the Units in the Public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at a per-share price, payable in cash, equal to the aggregate amount then on deposit in the Trust Account (as defined below), including interest earned on the funds held in the Trust Account (less taxes payable and up to $100,000 of interest to pay dissolution expenses), divided by the number of then outstanding Offering Shares, which redemption will completely extinguish all Public Shareholders’ (as defined below) rights as shareholders (including the right to receive further liquidating distributions, if any), and (iii) as promptly as reasonably possible following such redemption, subject to the approval of the Company’s remaining shareholders and the Company’s board of directors, liquidate and dissolve, subject in the case of clauses (ii) and (iii) to the Company’s obligations under Cayman</w:t>
      </w:r>
    </w:p>
    <w:p>
      <w:pPr>
        <w:sectPr>
          <w:pgSz w:w="11900" w:h="16838" w:orient="portrait"/>
          <w:cols w:equalWidth="0" w:num="1">
            <w:col w:w="11020"/>
          </w:cols>
          <w:pgMar w:left="440" w:top="117" w:right="439" w:bottom="1440" w:gutter="0" w:footer="0" w:header="0"/>
        </w:sectPr>
      </w:pPr>
    </w:p>
    <w:bookmarkStart w:id="308" w:name="page309"/>
    <w:bookmarkEnd w:id="308"/>
    <w:p>
      <w:pPr>
        <w:ind w:left="66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Islands law to provide for claims of creditors and in all cases subject to the other requirements of applicable law. The Sponsor and each Insider agrees to not propose any amendment to the Charter (A) to modify the substance or timing of the Company’s obligation to allow redemption in connection with our initial business combination or to redeem 100% of the Offering Shares if the Company does not complete a Business Combination within the required time period set forth in the Charter or (B) with respect to any other material provisions relating to shareholders’ rights or pre-initial Business Combination activity, unless the Company provides its Public Shareholders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84" w:lineRule="exact"/>
        <w:rPr>
          <w:sz w:val="20"/>
          <w:szCs w:val="20"/>
          <w:color w:val="auto"/>
        </w:rPr>
      </w:pPr>
    </w:p>
    <w:p>
      <w:pPr>
        <w:ind w:left="664" w:right="20"/>
        <w:spacing w:after="0" w:line="253" w:lineRule="auto"/>
        <w:rPr>
          <w:sz w:val="20"/>
          <w:szCs w:val="20"/>
          <w:color w:val="auto"/>
        </w:rPr>
      </w:pPr>
      <w:r>
        <w:rPr>
          <w:rFonts w:ascii="Times New Roman" w:cs="Times New Roman" w:eastAsia="Times New Roman" w:hAnsi="Times New Roman"/>
          <w:sz w:val="18"/>
          <w:szCs w:val="18"/>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Ordinary Shares held by it, him or her, if any, any redemption rights it, he or she may have in connection with (a) the consummation of a Business Combination, including, without limitation, any such rights available in the context of a shareholder vote to approve such Business Combination, or (b) a shareholder vote to approve an amendment to the Charter (A) to modify the substance or timing of the Company’s obligation to allow redemption in connection with our initial business combination or to redeem 100% of the Offering Shares if the Company has not consummated a Business Combination within the time period set forth in the Charter or (B) with respect to any other material provisions relating to shareholders’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95" w:lineRule="exact"/>
        <w:rPr>
          <w:sz w:val="20"/>
          <w:szCs w:val="20"/>
          <w:color w:val="auto"/>
        </w:rPr>
      </w:pPr>
    </w:p>
    <w:p>
      <w:pPr>
        <w:ind w:left="644" w:hanging="644"/>
        <w:spacing w:after="0" w:line="252" w:lineRule="auto"/>
        <w:tabs>
          <w:tab w:leader="none" w:pos="6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of the Commission promulgated thereunder, with respect to, any Units, Ordinary Shares (including, but not limited to, Founder Shares), Warrants or any securities convertible into, or exercisable, or exchangeable for, Ordinary Shares owned by it, him or her, (ii) enter into any swap or other arrangement that transfers to another, in whole or in part, any of the economic consequences of ownership of any Units, Ordinary Shares (including, but not limited to, Founder Shares), Warrants or any securities convertible into, or exercisable, or exchangeable for, Ordinary Shares owned by it, him or her, whether any such transaction is to be settled by delivery of such securities, in cash or otherwise, or (iii) publicly announce any intention to effect any transaction specified in clause (i) or (ii).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to any transfer permitted under paragraph 7(c) hereof or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12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4"/>
          </w:cols>
          <w:pgMar w:left="976" w:top="270" w:right="459" w:bottom="1440" w:gutter="0" w:footer="0" w:header="0"/>
        </w:sectPr>
      </w:pPr>
    </w:p>
    <w:bookmarkStart w:id="309" w:name="page310"/>
    <w:bookmarkEnd w:id="309"/>
    <w:p>
      <w:pPr>
        <w:ind w:left="644" w:hanging="644"/>
        <w:spacing w:after="0" w:line="267" w:lineRule="auto"/>
        <w:tabs>
          <w:tab w:leader="none" w:pos="64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of the liquidation of the Trust Account upon the failure of the Company to consummate its initial Business Combination within the time period set forth in the Charter, the Sponsor (the “</w:t>
      </w:r>
      <w:r>
        <w:rPr>
          <w:rFonts w:ascii="Times New Roman" w:cs="Times New Roman" w:eastAsia="Times New Roman" w:hAnsi="Times New Roman"/>
          <w:sz w:val="17"/>
          <w:szCs w:val="17"/>
          <w:b w:val="1"/>
          <w:bCs w:val="1"/>
          <w:i w:val="1"/>
          <w:iCs w:val="1"/>
          <w:color w:val="auto"/>
        </w:rPr>
        <w:t>Indemnitor</w:t>
      </w:r>
      <w:r>
        <w:rPr>
          <w:rFonts w:ascii="Times New Roman" w:cs="Times New Roman" w:eastAsia="Times New Roman" w:hAnsi="Times New Roman"/>
          <w:sz w:val="17"/>
          <w:szCs w:val="17"/>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Times New Roman" w:cs="Times New Roman" w:eastAsia="Times New Roman" w:hAnsi="Times New Roman"/>
          <w:sz w:val="17"/>
          <w:szCs w:val="17"/>
          <w:b w:val="1"/>
          <w:bCs w:val="1"/>
          <w:i w:val="1"/>
          <w:iCs w:val="1"/>
          <w:color w:val="auto"/>
        </w:rPr>
        <w:t>Target</w:t>
      </w:r>
      <w:r>
        <w:rPr>
          <w:rFonts w:ascii="Times New Roman" w:cs="Times New Roman" w:eastAsia="Times New Roman" w:hAnsi="Times New Roman"/>
          <w:sz w:val="17"/>
          <w:szCs w:val="17"/>
          <w:color w:val="auto"/>
        </w:rPr>
        <w:t>”); provided, however,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w:t>
      </w:r>
    </w:p>
    <w:p>
      <w:pPr>
        <w:ind w:left="644"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94" w:lineRule="exact"/>
        <w:rPr>
          <w:rFonts w:ascii="Times New Roman" w:cs="Times New Roman" w:eastAsia="Times New Roman" w:hAnsi="Times New Roman"/>
          <w:sz w:val="17"/>
          <w:szCs w:val="17"/>
          <w:color w:val="auto"/>
        </w:rPr>
      </w:pPr>
    </w:p>
    <w:p>
      <w:pPr>
        <w:ind w:left="644" w:hanging="644"/>
        <w:spacing w:after="0" w:line="267" w:lineRule="auto"/>
        <w:tabs>
          <w:tab w:leader="none" w:pos="64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Underwriters do not exercise their over-allotment option to purchase up to an additional 3,000,000 Units within 45 days from the date of the Prospectus (and as further described in the Prospectus), the Sponsor agrees to forfeit, at no cost, a number of Founder Shares equal to 750,000 multiplied by a fraction, (i) the numerator of which is 3,000,000 minus the number of Units purchased by the Underwriters upon the exercise of their over-allotment option, and (ii) the denominator of which is 3,000,000. The forfeiture will be adjusted to the extent that the over-allotment option is not exercised in full by the Underwriters so that the Founder Shares will represent an aggregate of 20.0% of the Company’s issued and outstanding Class A Ordinary Shares after the Public Offering (not including Class A Ordinary Shares underlying the Private Placement Warrants (as defined below)). The Initial Shareholders further agree that to the extent that the size of the Public Offering is increased or decreased, the Company will purchase or sell Units or effect a share repurchase or share capitalization, as applicable, immediately prior to the consummation of the Public Offering in such amount as to maintain the ownership of the Initial Shareholders prior to the Public Offering at 20.0% of its issued and outstanding Capital Shares upon the consummation of the Public Offering. In connection with such increase or decrease in the size of the Public Offering, then</w:t>
      </w:r>
    </w:p>
    <w:p>
      <w:pPr>
        <w:spacing w:after="0" w:line="2" w:lineRule="exact"/>
        <w:rPr>
          <w:rFonts w:ascii="Times New Roman" w:cs="Times New Roman" w:eastAsia="Times New Roman" w:hAnsi="Times New Roman"/>
          <w:sz w:val="17"/>
          <w:szCs w:val="17"/>
          <w:color w:val="auto"/>
        </w:rPr>
      </w:pPr>
    </w:p>
    <w:p>
      <w:pPr>
        <w:ind w:left="644"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references to 3,000,000 in the numerator and denominator of the formula in the first sentence of this paragraph shall be changed to a number equal to 15% of the number of Public Shares included in the Units issued in the Public Offering and (B) the reference to 750,000 in the formula set forth in the first sentence of this paragraph shall be adjusted to such number of Founder Shares that the Sponsor would have to surrender to the Company in order for the Initial Shareholders to hold an aggregate of 20.0% of the Company’s issued and outstanding Class A Ordinary Shares after the Public Offering (not including Class A Ordinary Shares underlying the Warrants or Private Placement Warrants).</w:t>
      </w:r>
    </w:p>
    <w:p>
      <w:pPr>
        <w:spacing w:after="0" w:line="95" w:lineRule="exact"/>
        <w:rPr>
          <w:rFonts w:ascii="Times New Roman" w:cs="Times New Roman" w:eastAsia="Times New Roman" w:hAnsi="Times New Roman"/>
          <w:sz w:val="17"/>
          <w:szCs w:val="17"/>
          <w:color w:val="auto"/>
        </w:rPr>
      </w:pPr>
    </w:p>
    <w:p>
      <w:pPr>
        <w:ind w:left="644" w:right="20" w:hanging="644"/>
        <w:spacing w:after="0" w:line="258" w:lineRule="auto"/>
        <w:tabs>
          <w:tab w:leader="none" w:pos="6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and acknowledges that: (i) the Underwriters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88" w:lineRule="exact"/>
        <w:rPr>
          <w:rFonts w:ascii="Times New Roman" w:cs="Times New Roman" w:eastAsia="Times New Roman" w:hAnsi="Times New Roman"/>
          <w:sz w:val="18"/>
          <w:szCs w:val="18"/>
          <w:color w:val="auto"/>
        </w:rPr>
      </w:pPr>
    </w:p>
    <w:p>
      <w:pPr>
        <w:ind w:left="644" w:right="140" w:hanging="644"/>
        <w:spacing w:after="0" w:line="289" w:lineRule="auto"/>
        <w:tabs>
          <w:tab w:leader="none" w:pos="64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Sponsor and each Insider agrees that it, he or she shall not Transfer any Founder Shares (or any Class A Ordinary Shares issuable upon conversion thereof) until the earlier of (A) one year after the completion of the Company’s initial Business Combination and (B) subsequent to the Business Combination, (x) if the closing price of the Class A Ordinary Shares equals or exceeds</w:t>
      </w:r>
    </w:p>
    <w:p>
      <w:pPr>
        <w:spacing w:after="0" w:line="90"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4"/>
          </w:cols>
          <w:pgMar w:left="976" w:top="270" w:right="459" w:bottom="1440" w:gutter="0" w:footer="0" w:header="0"/>
        </w:sectPr>
      </w:pPr>
    </w:p>
    <w:bookmarkStart w:id="310" w:name="page311"/>
    <w:bookmarkEnd w:id="310"/>
    <w:p>
      <w:pPr>
        <w:ind w:left="66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amalgamation, capital stock exchange, reorganization or other similar transaction that results in all of the Company’s Public Shareholders having the right to exchange their shares of Class A Ordinary Shares for cash, securities or other property (the “</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64" w:right="200" w:firstLine="8"/>
        <w:spacing w:after="0" w:line="266" w:lineRule="auto"/>
        <w:tabs>
          <w:tab w:leader="none" w:pos="91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it, he or she shall not Transfer any Private Placement Warrants (or any Class A Ordinary Shares underlying the Private Placement Warrants), until 30 days after the completion of a Business Combination (the “</w:t>
      </w:r>
      <w:r>
        <w:rPr>
          <w:rFonts w:ascii="Times New Roman" w:cs="Times New Roman" w:eastAsia="Times New Roman" w:hAnsi="Times New Roman"/>
          <w:sz w:val="18"/>
          <w:szCs w:val="18"/>
          <w:b w:val="1"/>
          <w:bCs w:val="1"/>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 Warrants Lock-up Period</w:t>
      </w:r>
      <w:r>
        <w:rPr>
          <w:rFonts w:ascii="Times New Roman" w:cs="Times New Roman" w:eastAsia="Times New Roman" w:hAnsi="Times New Roman"/>
          <w:sz w:val="18"/>
          <w:szCs w:val="18"/>
          <w:color w:val="auto"/>
        </w:rPr>
        <w:t>”, together with the Founder Shares Lock-up Period, the “</w:t>
      </w:r>
      <w:r>
        <w:rPr>
          <w:rFonts w:ascii="Times New Roman" w:cs="Times New Roman" w:eastAsia="Times New Roman" w:hAnsi="Times New Roman"/>
          <w:sz w:val="18"/>
          <w:szCs w:val="18"/>
          <w:b w:val="1"/>
          <w:bCs w:val="1"/>
          <w:i w:val="1"/>
          <w:iCs w:val="1"/>
          <w:color w:val="auto"/>
        </w:rPr>
        <w:t>Lock-up Periods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4" w:firstLine="8"/>
        <w:spacing w:after="0" w:line="252" w:lineRule="auto"/>
        <w:tabs>
          <w:tab w:leader="none" w:pos="90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paragraphs 7(a) and (b), Transfers of the Founder Shares, Private Placement Warrants and the Class A Ordinary Shares underlying the Private Placement Warrants that are held by the Sponsor, any Insider or any of their permitted transferees (that have complied with this paragraph 7(c)), are permitted (a) to the Company’s officers or directors, any affiliate or family member of any of the Company’s officers or directors, any members or partners of the Sponsor or their affiliates, any affiliates of the Sponsor, or any employees of such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Cayman Islands or the Sponsor’s limited liability company agreement upon dissolution of the Sponsor; or (h) in the event of the Company’s liquidation, merger, capital stock exchange or other similar transaction which results in all of the Company’s shareholders having the right to exchange their Class A Ordinary Shares for cash, securities or other property subsequent to the Company’s completion of an initial Business Combination;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98"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99" w:lineRule="exact"/>
        <w:rPr>
          <w:rFonts w:ascii="Times New Roman" w:cs="Times New Roman" w:eastAsia="Times New Roman" w:hAnsi="Times New Roman"/>
          <w:sz w:val="18"/>
          <w:szCs w:val="18"/>
          <w:color w:val="auto"/>
        </w:rPr>
      </w:pPr>
    </w:p>
    <w:p>
      <w:pPr>
        <w:ind w:left="644" w:right="120" w:hanging="644"/>
        <w:spacing w:after="0" w:line="261" w:lineRule="auto"/>
        <w:tabs>
          <w:tab w:leader="none" w:pos="6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w:t>
      </w:r>
    </w:p>
    <w:p>
      <w:pPr>
        <w:spacing w:after="0" w:line="112"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4"/>
          </w:cols>
          <w:pgMar w:left="976" w:top="270" w:right="439" w:bottom="1440" w:gutter="0" w:footer="0" w:header="0"/>
        </w:sectPr>
      </w:pPr>
    </w:p>
    <w:bookmarkStart w:id="311" w:name="page312"/>
    <w:bookmarkEnd w:id="311"/>
    <w:p>
      <w:pPr>
        <w:ind w:left="66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transaction that it is), other than the following, none of which will be made from the proceeds held in the Trust Account prior to the completion of the initial Business Combination: repayment of a loan and advances up to an aggregate of $300,000 made to the Company by the Sponsor; payment to the Sponsor for certain office space, utilities, secretarial and administrative support as may be reasonably required by the Company for a total of $10,000 per month; payment of customary fees to members of the board of directors of the Company for director service;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at a price of $1.00 per warrant at the option of the lender. Such warrants would be identical to the Private Placement Warrants, including as to exercise price, exercisability and exercise period.</w:t>
      </w:r>
    </w:p>
    <w:p>
      <w:pPr>
        <w:spacing w:after="0" w:line="95" w:lineRule="exact"/>
        <w:rPr>
          <w:sz w:val="20"/>
          <w:szCs w:val="20"/>
          <w:color w:val="auto"/>
        </w:rPr>
      </w:pPr>
    </w:p>
    <w:p>
      <w:pPr>
        <w:ind w:left="644" w:right="280" w:hanging="644"/>
        <w:spacing w:after="0" w:line="261" w:lineRule="auto"/>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81" w:lineRule="exact"/>
        <w:rPr>
          <w:rFonts w:ascii="Times New Roman" w:cs="Times New Roman" w:eastAsia="Times New Roman" w:hAnsi="Times New Roman"/>
          <w:sz w:val="18"/>
          <w:szCs w:val="18"/>
          <w:color w:val="auto"/>
        </w:rPr>
      </w:pPr>
    </w:p>
    <w:p>
      <w:pPr>
        <w:ind w:left="644" w:hanging="644"/>
        <w:spacing w:after="0" w:line="252" w:lineRule="auto"/>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capital stock exchange, asset acquisition, stock purchase, reorganization or similar business combination, involving the Company and one or more businesses; (ii)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mean the Class A Ordinary Shares and Class B ordinary shares, par value $0.0001 per share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5,750,000 Class B Ordinary Shares issued and outstanding (up to 750,000 of which are subject to complete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 forfeiture if the over-allotment option is not exercised by the Underwriters); (iv) “</w:t>
      </w:r>
      <w:r>
        <w:rPr>
          <w:rFonts w:ascii="Times New Roman" w:cs="Times New Roman" w:eastAsia="Times New Roman" w:hAnsi="Times New Roman"/>
          <w:sz w:val="18"/>
          <w:szCs w:val="18"/>
          <w:b w:val="1"/>
          <w:bCs w:val="1"/>
          <w:i w:val="1"/>
          <w:iCs w:val="1"/>
          <w:color w:val="auto"/>
        </w:rPr>
        <w:t>Initial Shareholders</w:t>
      </w:r>
      <w:r>
        <w:rPr>
          <w:rFonts w:ascii="Times New Roman" w:cs="Times New Roman" w:eastAsia="Times New Roman" w:hAnsi="Times New Roman"/>
          <w:sz w:val="18"/>
          <w:szCs w:val="18"/>
          <w:color w:val="auto"/>
        </w:rPr>
        <w:t>” shall mean the Sponsor and any Insider that holds Founder Shares; (v)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mean the 6,000,000 warrants (or 6,600,000 warrants if the over-allotment option is exercised in full) that the Sponsor has agreed to purchase for an aggregate purchase price of $6,000,000 (or $6,600,000 if the over-allotment option is exercised in full), or $1.00 per warrant, in a private placement that shall occur simultaneously with the consummation of the Public Offering; (vi) “</w:t>
      </w:r>
      <w:r>
        <w:rPr>
          <w:rFonts w:ascii="Times New Roman" w:cs="Times New Roman" w:eastAsia="Times New Roman" w:hAnsi="Times New Roman"/>
          <w:sz w:val="18"/>
          <w:szCs w:val="18"/>
          <w:b w:val="1"/>
          <w:bCs w:val="1"/>
          <w:i w:val="1"/>
          <w:iCs w:val="1"/>
          <w:color w:val="auto"/>
        </w:rPr>
        <w:t>Public Shareholders</w:t>
      </w:r>
      <w:r>
        <w:rPr>
          <w:rFonts w:ascii="Times New Roman" w:cs="Times New Roman" w:eastAsia="Times New Roman" w:hAnsi="Times New Roman"/>
          <w:sz w:val="18"/>
          <w:szCs w:val="18"/>
          <w:color w:val="auto"/>
        </w:rPr>
        <w:t>” shall mean the holders of securities issued in the Public Offering; (vii)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and the sale of the Private Placement Warrants shall be deposited; and (viii)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02" w:lineRule="exact"/>
        <w:rPr>
          <w:rFonts w:ascii="Times New Roman" w:cs="Times New Roman" w:eastAsia="Times New Roman" w:hAnsi="Times New Roman"/>
          <w:sz w:val="18"/>
          <w:szCs w:val="18"/>
          <w:color w:val="auto"/>
        </w:rPr>
      </w:pPr>
    </w:p>
    <w:p>
      <w:pPr>
        <w:ind w:left="644" w:right="40" w:hanging="644"/>
        <w:spacing w:after="0" w:line="266" w:lineRule="auto"/>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81" w:lineRule="exact"/>
        <w:rPr>
          <w:rFonts w:ascii="Times New Roman" w:cs="Times New Roman" w:eastAsia="Times New Roman" w:hAnsi="Times New Roman"/>
          <w:sz w:val="18"/>
          <w:szCs w:val="18"/>
          <w:color w:val="auto"/>
        </w:rPr>
      </w:pPr>
    </w:p>
    <w:p>
      <w:pPr>
        <w:ind w:left="644" w:hanging="644"/>
        <w:spacing w:after="0" w:line="266" w:lineRule="auto"/>
        <w:tabs>
          <w:tab w:leader="none" w:pos="6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w:t>
      </w:r>
    </w:p>
    <w:p>
      <w:pPr>
        <w:spacing w:after="0" w:line="10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4"/>
          </w:cols>
          <w:pgMar w:left="976" w:top="270" w:right="459" w:bottom="1440" w:gutter="0" w:footer="0" w:header="0"/>
        </w:sectPr>
      </w:pPr>
    </w:p>
    <w:bookmarkStart w:id="312" w:name="page313"/>
    <w:bookmarkEnd w:id="312"/>
    <w:p>
      <w:pPr>
        <w:jc w:val="both"/>
        <w:ind w:left="66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81" w:lineRule="exact"/>
        <w:rPr>
          <w:sz w:val="20"/>
          <w:szCs w:val="20"/>
          <w:color w:val="auto"/>
        </w:rPr>
      </w:pPr>
    </w:p>
    <w:p>
      <w:pPr>
        <w:ind w:left="644" w:right="20" w:hanging="644"/>
        <w:spacing w:after="0" w:line="261"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85" w:lineRule="exact"/>
        <w:rPr>
          <w:rFonts w:ascii="Times New Roman" w:cs="Times New Roman" w:eastAsia="Times New Roman" w:hAnsi="Times New Roman"/>
          <w:sz w:val="18"/>
          <w:szCs w:val="18"/>
          <w:color w:val="auto"/>
        </w:rPr>
      </w:pPr>
    </w:p>
    <w:p>
      <w:pPr>
        <w:ind w:left="644" w:hanging="644"/>
        <w:spacing w:after="0" w:line="261"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85"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67"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85" w:lineRule="exact"/>
        <w:rPr>
          <w:rFonts w:ascii="Times New Roman" w:cs="Times New Roman" w:eastAsia="Times New Roman" w:hAnsi="Times New Roman"/>
          <w:sz w:val="18"/>
          <w:szCs w:val="18"/>
          <w:color w:val="auto"/>
        </w:rPr>
      </w:pPr>
    </w:p>
    <w:p>
      <w:pPr>
        <w:ind w:left="644" w:hanging="644"/>
        <w:spacing w:after="0" w:line="258"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88"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81"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7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4"/>
          </w:cols>
          <w:pgMar w:left="976" w:top="270" w:right="479" w:bottom="1440" w:gutter="0" w:footer="0" w:header="0"/>
        </w:sectPr>
      </w:pPr>
    </w:p>
    <w:bookmarkStart w:id="313" w:name="page314"/>
    <w:bookmarkEnd w:id="313"/>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Sincerely,</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VPC IMPACT ACQUISITION HOLDINGS SPONSOR,</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20"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17145</wp:posOffset>
            </wp:positionV>
            <wp:extent cx="25203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Kurt Summers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Letter Agreement</w:t>
      </w: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70" w:right="71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Investment Management Trust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as of __________, 2020 by and between VPC Impact</w:t>
      </w:r>
    </w:p>
    <w:p>
      <w:pPr>
        <w:spacing w:after="0" w:line="3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Company’s registration statement on Form S-1, File No. 333-248619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prospectus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for the initial public offering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of the Company’s units (the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each of which consists of one Class A ordinary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$0.0001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and one-half of one redeemable warrant, has been declared effective as of the date hereof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 and</w:t>
      </w:r>
    </w:p>
    <w:p>
      <w:pPr>
        <w:spacing w:after="0" w:line="203"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UBS Securities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several underwriters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named therein; and</w:t>
      </w:r>
    </w:p>
    <w:p>
      <w:pPr>
        <w:spacing w:after="0" w:line="159"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WHEREAS, as described in the Prospectus, $200,000,000 of the gross proceeds of the Offering and sale of the Private Placement Warrants (as defined in the Underwriting Agreement) (or $230,000,000 if the Underwriters’ over-allotment option is exercised in full) will be delivered to the Trustee to be deposited and held in a segregated trust account located at all times in the United States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for the benefit of the Company and the holders of the Ordinary Shares included in the Units issued in the Offering as hereinafter provided (the amount to be delivered to the Trustee (and any interest subsequently earned thereon) is referred to herein as the “</w:t>
      </w:r>
      <w:r>
        <w:rPr>
          <w:rFonts w:ascii="Times New Roman" w:cs="Times New Roman" w:eastAsia="Times New Roman" w:hAnsi="Times New Roman"/>
          <w:sz w:val="17"/>
          <w:szCs w:val="17"/>
          <w:b w:val="1"/>
          <w:bCs w:val="1"/>
          <w:i w:val="1"/>
          <w:iCs w:val="1"/>
          <w:color w:val="auto"/>
        </w:rPr>
        <w:t>Property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shareholders for whose benefit the Trustee shall hold the Property will be referred to as the “</w:t>
      </w:r>
      <w:r>
        <w:rPr>
          <w:rFonts w:ascii="Times New Roman" w:cs="Times New Roman" w:eastAsia="Times New Roman" w:hAnsi="Times New Roman"/>
          <w:sz w:val="17"/>
          <w:szCs w:val="17"/>
          <w:b w:val="1"/>
          <w:bCs w:val="1"/>
          <w:i w:val="1"/>
          <w:iCs w:val="1"/>
          <w:color w:val="auto"/>
        </w:rPr>
        <w:t>Public Shareholders</w:t>
      </w:r>
      <w:r>
        <w:rPr>
          <w:rFonts w:ascii="Times New Roman" w:cs="Times New Roman" w:eastAsia="Times New Roman" w:hAnsi="Times New Roman"/>
          <w:sz w:val="17"/>
          <w:szCs w:val="17"/>
          <w:color w:val="auto"/>
        </w:rPr>
        <w:t>,” and the Public Shareholders and the Company will be referred to together as the “</w:t>
      </w:r>
      <w:r>
        <w:rPr>
          <w:rFonts w:ascii="Times New Roman" w:cs="Times New Roman" w:eastAsia="Times New Roman" w:hAnsi="Times New Roman"/>
          <w:sz w:val="17"/>
          <w:szCs w:val="17"/>
          <w:b w:val="1"/>
          <w:bCs w:val="1"/>
          <w:i w:val="1"/>
          <w:iCs w:val="1"/>
          <w:color w:val="auto"/>
        </w:rPr>
        <w:t>Beneficiaries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Underwriting Agreement, a portion of the Property equal to $7,000,000, or $8,050,000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Times New Roman" w:cs="Times New Roman" w:eastAsia="Times New Roman" w:hAnsi="Times New Roman"/>
          <w:sz w:val="18"/>
          <w:szCs w:val="18"/>
          <w:b w:val="1"/>
          <w:bCs w:val="1"/>
          <w:i w:val="1"/>
          <w:iCs w:val="1"/>
          <w:color w:val="auto"/>
        </w:rPr>
        <w:t>Deferred Discount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IT IS AGREED:</w:t>
      </w:r>
    </w:p>
    <w:p>
      <w:pPr>
        <w:spacing w:after="0" w:line="225" w:lineRule="exact"/>
        <w:rPr>
          <w:sz w:val="20"/>
          <w:szCs w:val="20"/>
          <w:color w:val="auto"/>
        </w:rPr>
      </w:pPr>
    </w:p>
    <w:p>
      <w:pPr>
        <w:ind w:left="620" w:hanging="184"/>
        <w:spacing w:after="0"/>
        <w:tabs>
          <w:tab w:leader="none" w:pos="6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225"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and at a brokerage institution selected by the Trustee that is reasonably satisfactory to the Company;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25"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ectPr>
          <w:pgSz w:w="11900" w:h="16838" w:orient="portrait"/>
          <w:cols w:equalWidth="0" w:num="1">
            <w:col w:w="11020"/>
          </w:cols>
          <w:pgMar w:left="440" w:top="117" w:right="439" w:bottom="1440" w:gutter="0" w:footer="0" w:header="0"/>
        </w:sectPr>
      </w:pPr>
    </w:p>
    <w:bookmarkStart w:id="315" w:name="page316"/>
    <w:bookmarkEnd w:id="315"/>
    <w:p>
      <w:pPr>
        <w:ind w:right="380" w:firstLine="987"/>
        <w:spacing w:after="0" w:line="282"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 and receive, when due, all interest or other income arising from the Property, which shall become part of the “Property,” as such term is used herein;</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Company and the Representative of all communications received by the Trustee with respect to any Property requiring action by the Company;</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1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to do so;</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monthly written statements of the activities of, and amounts in, the Trust Account reflecting all receipts and disbursements of the Trust Account;</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liquidation of the Trust Account only after and promptly after (x) receipt of, and only in accordance with the terms of, a letter from the Company (“</w:t>
      </w:r>
      <w:r>
        <w:rPr>
          <w:rFonts w:ascii="Times New Roman" w:cs="Times New Roman" w:eastAsia="Times New Roman" w:hAnsi="Times New Roman"/>
          <w:sz w:val="18"/>
          <w:szCs w:val="18"/>
          <w:b w:val="1"/>
          <w:bCs w:val="1"/>
          <w:i w:val="1"/>
          <w:iCs w:val="1"/>
          <w:color w:val="auto"/>
        </w:rPr>
        <w:t>Termination Letter</w:t>
      </w:r>
      <w:r>
        <w:rPr>
          <w:rFonts w:ascii="Times New Roman" w:cs="Times New Roman" w:eastAsia="Times New Roman" w:hAnsi="Times New Roman"/>
          <w:sz w:val="18"/>
          <w:szCs w:val="18"/>
          <w:color w:val="auto"/>
        </w:rPr>
        <w:t xml:space="preserve">”)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applicable, signed on behalf of the Company by its Chief Executive Officer, Chief Financial Officer, President, Executive Vice President, Vice President, Secretary or Chairman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or other authorized officer of the Company, and, in the case of Exhibit A, acknowledged and agreed to by the Representative, and complete the liquidation of the Trust Account and distribute the Property in the Trust Account, including interest earned on the funds held in the Trust Account (less taxes payable and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Property in the Trust Account, including interest earned on the funds held in the Trust Account (less taxes payable and up to $100,000 of interest to pay dissolution expenses), shall be distributed to the Public Shareholders of record as of such date;</w:t>
      </w:r>
    </w:p>
    <w:p>
      <w:pPr>
        <w:spacing w:after="0" w:line="189" w:lineRule="exact"/>
        <w:rPr>
          <w:rFonts w:ascii="Times New Roman" w:cs="Times New Roman" w:eastAsia="Times New Roman" w:hAnsi="Times New Roman"/>
          <w:sz w:val="18"/>
          <w:szCs w:val="18"/>
          <w:color w:val="auto"/>
        </w:rPr>
      </w:pPr>
    </w:p>
    <w:p>
      <w:pPr>
        <w:ind w:right="20" w:firstLine="987"/>
        <w:spacing w:after="0" w:line="253" w:lineRule="auto"/>
        <w:tabs>
          <w:tab w:leader="none" w:pos="120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Tax Payment Withdrawal Instruction</w:t>
      </w:r>
      <w:r>
        <w:rPr>
          <w:rFonts w:ascii="Times New Roman" w:cs="Times New Roman" w:eastAsia="Times New Roman" w:hAnsi="Times New Roman"/>
          <w:sz w:val="18"/>
          <w:szCs w:val="18"/>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94"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Shareholder Redemption Withdrawal Instruction</w:t>
      </w:r>
      <w:r>
        <w:rPr>
          <w:rFonts w:ascii="Times New Roman" w:cs="Times New Roman" w:eastAsia="Times New Roman" w:hAnsi="Times New Roman"/>
          <w:sz w:val="18"/>
          <w:szCs w:val="18"/>
          <w:color w:val="auto"/>
        </w:rPr>
        <w:t xml:space="preserve">”), the Trustee shall distribute to the Public Shareholders on behalf of the Company the amount requested by the Company to be used to redeem Ordinary Shares from Public Shareholders properly submitted in connection with a shareholder vote to approve an amendment to the Company’s amended and restated memorandum and articles of association (A) to modify the substance or timing of the Company’s obligation to allow redemption in connection with the Company’s initial business combination or to redeem 100% of the Ordinary Shares included in the Units sold in the Offering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if the Company has not consummated an initial Business Combination within such time as is described in the Company’s amended and restated memorandum and articles of association or (B) with respect to any other material provisions relating to shareholders’ rights or pre- 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16" w:name="page317"/>
    <w:bookmarkEnd w:id="316"/>
    <w:p>
      <w:pPr>
        <w:ind w:left="1200" w:hanging="213"/>
        <w:spacing w:after="0"/>
        <w:tabs>
          <w:tab w:leader="none" w:pos="12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make any withdrawals or distributions from the Trust Account other than pursuant to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225"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3"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w:t>
      </w:r>
    </w:p>
    <w:p>
      <w:pPr>
        <w:spacing w:after="0" w:line="5"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it shall notify the Company in writing of such claim (hereinafter referred to as the “</w:t>
      </w:r>
      <w:r>
        <w:rPr>
          <w:rFonts w:ascii="Times New Roman" w:cs="Times New Roman" w:eastAsia="Times New Roman" w:hAnsi="Times New Roman"/>
          <w:sz w:val="18"/>
          <w:szCs w:val="18"/>
          <w:b w:val="1"/>
          <w:bCs w:val="1"/>
          <w:i w:val="1"/>
          <w:iCs w:val="1"/>
          <w:color w:val="auto"/>
        </w:rPr>
        <w:t>Indemnified Claim</w:t>
      </w:r>
      <w:r>
        <w:rPr>
          <w:rFonts w:ascii="Times New Roman" w:cs="Times New Roman" w:eastAsia="Times New Roman" w:hAnsi="Times New Roman"/>
          <w:sz w:val="18"/>
          <w:szCs w:val="18"/>
          <w:color w:val="auto"/>
        </w:rPr>
        <w:t xml:space="preserve">”). The Trustee shall have the right to conduct and manage the defense against such Indemnified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86"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Trustee the fees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Times New Roman" w:cs="Times New Roman" w:eastAsia="Times New Roman" w:hAnsi="Times New Roman"/>
          <w:sz w:val="18"/>
          <w:szCs w:val="18"/>
          <w:u w:val="single" w:color="auto"/>
          <w:color w:val="auto"/>
        </w:rPr>
        <w:t>Sections 1(i)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Schedule A and as may be provided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w:t>
      </w:r>
    </w:p>
    <w:p>
      <w:pPr>
        <w:spacing w:after="0" w:line="183" w:lineRule="exact"/>
        <w:rPr>
          <w:rFonts w:ascii="Times New Roman" w:cs="Times New Roman" w:eastAsia="Times New Roman" w:hAnsi="Times New Roman"/>
          <w:sz w:val="18"/>
          <w:szCs w:val="18"/>
          <w:color w:val="auto"/>
        </w:rPr>
      </w:pPr>
    </w:p>
    <w:p>
      <w:pPr>
        <w:ind w:right="400" w:firstLine="987"/>
        <w:spacing w:after="0" w:line="261" w:lineRule="auto"/>
        <w:tabs>
          <w:tab w:leader="none" w:pos="124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shareholders regarding a merger, share exchange, asset acquisition, share purchase, reorganization or similar business combination involving the Company and one or more businesses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provide to the Trustee an affidavit or certificate of the inspector of elections for the shareholder meeting verifying the vote of such shareholders regarding such Business Combination;</w:t>
      </w:r>
    </w:p>
    <w:p>
      <w:pPr>
        <w:spacing w:after="0" w:line="179"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61"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agreed between the Company and the Representative, ensure that any Instruction Letter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delivered in connection with a Termination Letter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17" w:name="page318"/>
    <w:bookmarkEnd w:id="317"/>
    <w:p>
      <w:pPr>
        <w:ind w:firstLine="987"/>
        <w:spacing w:after="0" w:line="282" w:lineRule="auto"/>
        <w:tabs>
          <w:tab w:leader="none" w:pos="124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Instruct the Trustee to make only those distributions that are permitted under this Agreement, and refrain from instructing the Trustee to make any distributions that are not permitted under this Agreement; and</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Property, other than as directed in Section 1 hereof, and the Trustee shall have no liability to any third party except for liability arising out of the Trustee’s gross negligence, fraud or willful misconduct;</w:t>
      </w:r>
    </w:p>
    <w:p>
      <w:pPr>
        <w:spacing w:after="0" w:line="161"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right="460" w:firstLine="987"/>
        <w:spacing w:after="0" w:line="282" w:lineRule="auto"/>
        <w:tabs>
          <w:tab w:leader="none" w:pos="12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ind w:right="60" w:firstLine="987"/>
        <w:spacing w:after="0" w:line="254" w:lineRule="auto"/>
        <w:tabs>
          <w:tab w:leader="none" w:pos="121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accuracy of the information contained in the Registration Statement;</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assurance that any Business Combination entered into by the Company or any other action taken by the Company is as contemplated by the Registration Statement;</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61" w:lineRule="exact"/>
        <w:rPr>
          <w:rFonts w:ascii="Times New Roman" w:cs="Times New Roman" w:eastAsia="Times New Roman" w:hAnsi="Times New Roman"/>
          <w:sz w:val="18"/>
          <w:szCs w:val="18"/>
          <w:color w:val="auto"/>
        </w:rPr>
      </w:pPr>
    </w:p>
    <w:p>
      <w:pPr>
        <w:ind w:right="240" w:firstLine="987"/>
        <w:spacing w:after="0" w:line="266" w:lineRule="auto"/>
        <w:tabs>
          <w:tab w:leader="none" w:pos="120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Section 1(j) hereof;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18" w:name="page319"/>
    <w:bookmarkEnd w:id="318"/>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(k) Verify calculations, qualify or otherwise approve the Company’s written requests for distributions pursuant to </w:t>
      </w:r>
      <w:r>
        <w:rPr>
          <w:rFonts w:ascii="Times New Roman" w:cs="Times New Roman" w:eastAsia="Times New Roman" w:hAnsi="Times New Roman"/>
          <w:sz w:val="17"/>
          <w:szCs w:val="17"/>
          <w:u w:val="single" w:color="auto"/>
          <w:color w:val="auto"/>
        </w:rPr>
        <w:t>Sections 1(i)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3" w:lineRule="exact"/>
        <w:rPr>
          <w:sz w:val="20"/>
          <w:szCs w:val="20"/>
          <w:color w:val="auto"/>
        </w:rPr>
      </w:pPr>
    </w:p>
    <w:p>
      <w:pPr>
        <w:ind w:right="120" w:firstLine="436"/>
        <w:spacing w:after="0" w:line="259"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that the Trustee has completed the liquidation of the Trust Account and its obligations in accordance with the provisions of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hereof and distributed the Property in accordance with the provisions of the Termination Letter, this Agreement shall terminate except with respect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3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contains the entire agreement and understanding of the parties hereto with respect to the subject matter hereof. Except for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1(k)</w:t>
      </w:r>
      <w:r>
        <w:rPr>
          <w:rFonts w:ascii="Times New Roman" w:cs="Times New Roman" w:eastAsia="Times New Roman" w:hAnsi="Times New Roman"/>
          <w:sz w:val="18"/>
          <w:szCs w:val="18"/>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amendment will affect any Public Shareholder who has properly elected to redeem his or her Ordinary Shares in connection with a shareholder vote to amend this Agreement (A) to modify the substance or timing of the Company’s obligation to allow redemption in connection with the Company’s initial business combination or to redeem 100% of its Ordinary Shares if the Company does not complete its initial Business Combination within the time frame specified in the Company’s amended and restated memorandum and articles of association or (B) with respect to any other material provisions relating to shareholders’ rights or pre-initial Business Combination activity), this Agreement or any provision hereof may only be changed, amended or modified (other than to correct a typographical error) by a writing signed by each of the parties 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9" w:name="page320"/>
    <w:bookmarkEnd w:id="319"/>
    <w:p>
      <w:pPr>
        <w:ind w:left="-20" w:firstLine="987"/>
        <w:spacing w:after="0" w:line="266" w:lineRule="auto"/>
        <w:tabs>
          <w:tab w:leader="none" w:pos="122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1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cgonzalez@continentalstock.com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John Martin</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jmartin@victoryparkcapital.com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each case, with copies to:</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Joel L. Rubinstein</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Tina Pappas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tpappas@jefferies.com</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Attn: Christian Nagler</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Email: christian.nagler@kirkland.com</w:t>
      </w:r>
    </w:p>
    <w:p>
      <w:pPr>
        <w:spacing w:after="0" w:line="207" w:lineRule="exact"/>
        <w:rPr>
          <w:sz w:val="20"/>
          <w:szCs w:val="20"/>
          <w:color w:val="auto"/>
        </w:rPr>
      </w:pPr>
    </w:p>
    <w:p>
      <w:pPr>
        <w:ind w:left="-20" w:right="200" w:firstLine="987"/>
        <w:spacing w:after="0" w:line="261" w:lineRule="auto"/>
        <w:tabs>
          <w:tab w:leader="none" w:pos="119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320" w:name="page321"/>
    <w:bookmarkEnd w:id="320"/>
    <w:p>
      <w:pPr>
        <w:ind w:right="640" w:firstLine="987"/>
        <w:spacing w:after="0" w:line="282"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right="520" w:firstLine="987"/>
        <w:spacing w:after="0" w:line="266" w:lineRule="auto"/>
        <w:tabs>
          <w:tab w:leader="none" w:pos="124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acknowledges and agrees that the Representative on behalf of the Underwriters are third-party beneficiaries of this Agreement.</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specified herein, no party to this Agreement may assign its rights or delegate its obligations hereunder to any other person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duly executed this Investment Management Trust Agreement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Francis Wolf</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Management Trust Agreement</w:t>
      </w:r>
      <w:r>
        <w:rPr>
          <w:rFonts w:ascii="Times New Roman" w:cs="Times New Roman" w:eastAsia="Times New Roman" w:hAnsi="Times New Roman"/>
          <w:sz w:val="18"/>
          <w:szCs w:val="18"/>
          <w:color w:val="auto"/>
        </w:rPr>
        <w:t>]</w:t>
      </w:r>
    </w:p>
    <w:p>
      <w:pPr>
        <w:sectPr>
          <w:pgSz w:w="11900" w:h="16838" w:orient="portrait"/>
          <w:cols w:equalWidth="0" w:num="1">
            <w:col w:w="10100"/>
          </w:cols>
          <w:pgMar w:left="880" w:top="266" w:right="919" w:bottom="1440" w:gutter="0" w:footer="0" w:header="0"/>
        </w:sectPr>
      </w:pPr>
    </w:p>
    <w:bookmarkStart w:id="322" w:name="page323"/>
    <w:bookmarkEnd w:id="322"/>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Item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set-up fee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administration fee</w:t>
      </w:r>
    </w:p>
    <w:p>
      <w:pPr>
        <w:spacing w:after="0" w:line="200" w:lineRule="exact"/>
        <w:rPr>
          <w:sz w:val="20"/>
          <w:szCs w:val="20"/>
          <w:color w:val="auto"/>
        </w:rPr>
      </w:pPr>
    </w:p>
    <w:p>
      <w:pPr>
        <w:spacing w:after="0" w:line="22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Transaction processing fee for disbursements to Company under </w:t>
      </w:r>
      <w:r>
        <w:rPr>
          <w:rFonts w:ascii="Times New Roman" w:cs="Times New Roman" w:eastAsia="Times New Roman" w:hAnsi="Times New Roman"/>
          <w:sz w:val="18"/>
          <w:szCs w:val="18"/>
          <w:u w:val="single" w:color="auto"/>
          <w:color w:val="auto"/>
        </w:rPr>
        <w:t>Section 1</w:t>
      </w:r>
    </w:p>
    <w:p>
      <w:pPr>
        <w:spacing w:after="0" w:line="260" w:lineRule="auto"/>
        <w:rPr>
          <w:sz w:val="20"/>
          <w:szCs w:val="20"/>
          <w:color w:val="auto"/>
        </w:rPr>
      </w:pPr>
      <w:r>
        <w:rPr>
          <w:rFonts w:ascii="Times New Roman" w:cs="Times New Roman" w:eastAsia="Times New Roman" w:hAnsi="Times New Roman"/>
          <w:sz w:val="18"/>
          <w:szCs w:val="18"/>
          <w:color w:val="auto"/>
        </w:rPr>
        <w:t xml:space="preserve">Paying Agent services as required pursuant to </w:t>
      </w:r>
      <w:r>
        <w:rPr>
          <w:rFonts w:ascii="Times New Roman" w:cs="Times New Roman" w:eastAsia="Times New Roman" w:hAnsi="Times New Roman"/>
          <w:sz w:val="18"/>
          <w:szCs w:val="18"/>
          <w:u w:val="single" w:color="auto"/>
          <w:color w:val="auto"/>
        </w:rPr>
        <w:t>Section 1(i)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-210820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18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Time and method of payment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1"/>
        </w:trPr>
        <w:tc>
          <w:tcPr>
            <w:tcW w:w="20" w:type="dxa"/>
            <w:vAlign w:val="bottom"/>
          </w:tcPr>
          <w:p>
            <w:pPr>
              <w:spacing w:after="0"/>
              <w:rPr>
                <w:sz w:val="16"/>
                <w:szCs w:val="16"/>
                <w:color w:val="auto"/>
              </w:rPr>
            </w:pPr>
          </w:p>
        </w:tc>
        <w:tc>
          <w:tcPr>
            <w:tcW w:w="418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rPr>
              <w:t>Initial closing of Offering by wire transfer.</w:t>
            </w:r>
          </w:p>
        </w:tc>
        <w:tc>
          <w:tcPr>
            <w:tcW w:w="5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6"/>
                <w:szCs w:val="16"/>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Payable annually. First year fee payable, at initial closing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Offering by wire transfer, thereafter by wire transfer or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Billed to Company following disbursement made to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42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Company under Section 1</w:t>
            </w:r>
          </w:p>
        </w:tc>
        <w:tc>
          <w:tcPr>
            <w:tcW w:w="6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250.00</w:t>
            </w:r>
          </w:p>
        </w:tc>
      </w:tr>
      <w:tr>
        <w:trPr>
          <w:trHeight w:val="20"/>
        </w:trPr>
        <w:tc>
          <w:tcPr>
            <w:tcW w:w="1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Billed to Company upon delivery of service pursuant to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50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1(i) and 1(k)</w:t>
            </w:r>
          </w:p>
        </w:tc>
        <w:tc>
          <w:tcPr>
            <w:tcW w:w="270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Prevailing rates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-530860</wp:posOffset>
            </wp:positionV>
            <wp:extent cx="6995160" cy="274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-1087755</wp:posOffset>
            </wp:positionV>
            <wp:extent cx="6995160" cy="1454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4480" w:space="440"/>
            <w:col w:w="6040"/>
          </w:cols>
          <w:pgMar w:left="440" w:top="266" w:right="499" w:bottom="1440" w:gutter="0" w:footer="0" w:header="0"/>
        </w:sectPr>
      </w:pPr>
    </w:p>
    <w:bookmarkStart w:id="323" w:name="page324"/>
    <w:bookmarkEnd w:id="323"/>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4"/>
        <w:spacing w:after="0"/>
        <w:tabs>
          <w:tab w:leader="none" w:pos="118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left="4" w:right="480" w:firstLine="440"/>
        <w:spacing w:after="0" w:line="278"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Investment Management Trust Agreement between VPC Impact Acquisition Holdings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Continental Stock Transfer &amp; Trust Company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__________,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this is to advise you that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has entered into an agreement with ___________ (the “</w:t>
      </w:r>
      <w:r>
        <w:rPr>
          <w:rFonts w:ascii="Times New Roman" w:cs="Times New Roman" w:eastAsia="Times New Roman" w:hAnsi="Times New Roman"/>
          <w:sz w:val="18"/>
          <w:szCs w:val="18"/>
          <w:b w:val="1"/>
          <w:bCs w:val="1"/>
          <w:i w:val="1"/>
          <w:iCs w:val="1"/>
          <w:color w:val="auto"/>
        </w:rPr>
        <w:t>Target Business</w:t>
      </w:r>
      <w:r>
        <w:rPr>
          <w:rFonts w:ascii="Times New Roman" w:cs="Times New Roman" w:eastAsia="Times New Roman" w:hAnsi="Times New Roman"/>
          <w:sz w:val="18"/>
          <w:szCs w:val="18"/>
          <w:color w:val="auto"/>
        </w:rPr>
        <w:t>”) to consummate a business combination with Target Business (the</w:t>
      </w:r>
    </w:p>
    <w:p>
      <w:pPr>
        <w:spacing w:after="0" w:line="9"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seventy-two (72) hours in advance of the actual date (or such shorter period as you may agree) of the consummation of the Business Combination (the “</w:t>
      </w:r>
      <w:r>
        <w:rPr>
          <w:rFonts w:ascii="Times New Roman" w:cs="Times New Roman" w:eastAsia="Times New Roman" w:hAnsi="Times New Roman"/>
          <w:sz w:val="18"/>
          <w:szCs w:val="18"/>
          <w:b w:val="1"/>
          <w:bCs w:val="1"/>
          <w:i w:val="1"/>
          <w:iCs w:val="1"/>
          <w:color w:val="auto"/>
        </w:rPr>
        <w:t>Consummation Date</w:t>
      </w:r>
      <w:r>
        <w:rPr>
          <w:rFonts w:ascii="Times New Roman" w:cs="Times New Roman" w:eastAsia="Times New Roman" w:hAnsi="Times New Roman"/>
          <w:sz w:val="18"/>
          <w:szCs w:val="18"/>
          <w:color w:val="auto"/>
        </w:rPr>
        <w:t>”). Capitalized terms used but not defined herein shall have the meanings set forth in the Trust Agreement.</w:t>
      </w:r>
    </w:p>
    <w:p>
      <w:pPr>
        <w:spacing w:after="0" w:line="186" w:lineRule="exact"/>
        <w:rPr>
          <w:sz w:val="20"/>
          <w:szCs w:val="20"/>
          <w:color w:val="auto"/>
        </w:rPr>
      </w:pPr>
    </w:p>
    <w:p>
      <w:pPr>
        <w:jc w:val="both"/>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In accordance with the terms of the Trust Agreement, the Company hereby authorizes you to commence to liquidate all of the assets of the Trust Account, and to transfer the proceeds to a segregated account held by you on behalf of the Beneficiaries to the effect that, on the Consummation Date, all of the funds held in the Trust Operating Account will be immediately available for transfer to the account or accounts that the Company shall direct on the Consummation Date (including as directed to it by the Representative on behalf of the Underwriters (with respect to the Deferred Discount)).</w:t>
      </w:r>
    </w:p>
    <w:p>
      <w:pPr>
        <w:spacing w:after="0" w:line="164" w:lineRule="exact"/>
        <w:rPr>
          <w:sz w:val="20"/>
          <w:szCs w:val="20"/>
          <w:color w:val="auto"/>
        </w:rPr>
      </w:pPr>
    </w:p>
    <w:p>
      <w:pPr>
        <w:jc w:val="center"/>
        <w:ind w:right="176"/>
        <w:spacing w:after="0" w:line="276" w:lineRule="auto"/>
        <w:rPr>
          <w:sz w:val="20"/>
          <w:szCs w:val="20"/>
          <w:color w:val="auto"/>
        </w:rPr>
      </w:pPr>
      <w:r>
        <w:rPr>
          <w:rFonts w:ascii="Times New Roman" w:cs="Times New Roman" w:eastAsia="Times New Roman" w:hAnsi="Times New Roman"/>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Times New Roman" w:cs="Times New Roman" w:eastAsia="Times New Roman" w:hAnsi="Times New Roman"/>
          <w:sz w:val="17"/>
          <w:szCs w:val="17"/>
          <w:b w:val="1"/>
          <w:bCs w:val="1"/>
          <w:i w:val="1"/>
          <w:iCs w:val="1"/>
          <w:color w:val="auto"/>
        </w:rPr>
        <w:t>Notification</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ind w:left="4" w:hanging="4"/>
        <w:spacing w:after="0" w:line="251" w:lineRule="auto"/>
        <w:tabs>
          <w:tab w:leader="none" w:pos="26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you (a) a certificate by the Chief Executive Officer, Chief Financial Officer or Chief Operating Officer, which verifies that the Business Combination has been approved by a vote of the Company’s shareholders, if a vote is held and (b) a joint written instruction signed by the Company and the Representative with respect to the transfer of the funds held in the Trust Account, including payment of amounts owed to public shareholders who have properly exercised their redemption rights and payment of the Deferred Discount directly to the account or accounts directed by the Representative from the Trust Account (the “</w:t>
      </w:r>
      <w:r>
        <w:rPr>
          <w:rFonts w:ascii="Times New Roman" w:cs="Times New Roman" w:eastAsia="Times New Roman" w:hAnsi="Times New Roman"/>
          <w:sz w:val="18"/>
          <w:szCs w:val="18"/>
          <w:b w:val="1"/>
          <w:bCs w:val="1"/>
          <w:i w:val="1"/>
          <w:iCs w:val="1"/>
          <w:color w:val="auto"/>
        </w:rPr>
        <w:t>Instruction Letter</w:t>
      </w:r>
      <w:r>
        <w:rPr>
          <w:rFonts w:ascii="Times New Roman" w:cs="Times New Roman" w:eastAsia="Times New Roman" w:hAnsi="Times New Roman"/>
          <w:sz w:val="18"/>
          <w:szCs w:val="18"/>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9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Business Combination is not consummated on the Consummation Date described in the notice thereof and the Company has not notified you on or before the original Consummation Date of a new Consummation Date, then upon receipt by the Trustee of written instructions from the Company, the funds held in the Trust Account shall be reinvested as provided in Section 1(c) of the Trust Agreement on the business day immediately following the Consummation Date as set forth in such notice as soon thereafter as possible.</w:t>
      </w:r>
    </w:p>
    <w:p>
      <w:pPr>
        <w:sectPr>
          <w:pgSz w:w="11900" w:h="16838" w:orient="portrait"/>
          <w:cols w:equalWidth="0" w:num="1">
            <w:col w:w="10944"/>
          </w:cols>
          <w:pgMar w:left="436" w:top="266" w:right="519" w:bottom="1440" w:gutter="0" w:footer="0" w:header="0"/>
        </w:sectPr>
      </w:pPr>
    </w:p>
    <w:bookmarkStart w:id="324" w:name="page325"/>
    <w:bookmarkEnd w:id="324"/>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VPC Impact Acquisition Holdings</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325" w:name="page326"/>
    <w:bookmarkEnd w:id="32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4"/>
        <w:spacing w:after="0"/>
        <w:tabs>
          <w:tab w:leader="none" w:pos="118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ind w:left="4" w:right="4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1(i)</w:t>
      </w:r>
      <w:r>
        <w:rPr>
          <w:rFonts w:ascii="Times New Roman" w:cs="Times New Roman" w:eastAsia="Times New Roman" w:hAnsi="Times New Roman"/>
          <w:sz w:val="17"/>
          <w:szCs w:val="17"/>
          <w:color w:val="auto"/>
        </w:rPr>
        <w:t xml:space="preserve"> of the Investment Management Trust Agreement between VPC Impact Acquisition Holdings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Continental Stock Transfer &amp; Trust Company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_________,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this is to advise you that the</w:t>
      </w:r>
    </w:p>
    <w:p>
      <w:pPr>
        <w:spacing w:after="0" w:line="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Company has been unable to effect a business combination with a Target Business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186"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In accordance with the terms of the Trust Agreement, the Company hereby authorizes you to liquidate all of the assets in the Trust Account and to transfer the total proceeds into a segregated account held by you on behalf of the Beneficiaries to await distribution to the Public Shareholders. The Company has selected __________</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as the effective date for the purpose of determining when the Public Shareholders will be entitled to receive their</w:t>
      </w:r>
    </w:p>
    <w:p>
      <w:pPr>
        <w:spacing w:after="0" w:line="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share of the liquidation proceeds. You agree to be the Paying Agent of record and, in your separate capacity as Paying Agent, agree to distribute said funds directly to the Company’s Public Shareholders in accordance with the terms of the Trust Agreement and the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Times New Roman" w:cs="Times New Roman" w:eastAsia="Times New Roman" w:hAnsi="Times New Roman"/>
          <w:sz w:val="18"/>
          <w:szCs w:val="18"/>
          <w:u w:val="single" w:color="auto"/>
          <w:color w:val="auto"/>
        </w:rPr>
        <w:t>Section 1(i)</w:t>
      </w:r>
      <w:r>
        <w:rPr>
          <w:rFonts w:ascii="Times New Roman" w:cs="Times New Roman" w:eastAsia="Times New Roman" w:hAnsi="Times New Roman"/>
          <w:sz w:val="18"/>
          <w:szCs w:val="18"/>
          <w:color w:val="auto"/>
        </w:rPr>
        <w:t xml:space="preserve"> of the Trust Agreement.</w:t>
      </w:r>
    </w:p>
    <w:p>
      <w:pPr>
        <w:spacing w:after="0" w:line="214"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715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1" w:lineRule="exact"/>
        <w:rPr>
          <w:sz w:val="20"/>
          <w:szCs w:val="20"/>
          <w:color w:val="auto"/>
        </w:rPr>
      </w:pPr>
    </w:p>
    <w:p>
      <w:pPr>
        <w:ind w:left="424" w:hanging="424"/>
        <w:spacing w:after="0"/>
        <w:tabs>
          <w:tab w:leader="none" w:pos="424"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24 months from the closing of the Offering, or at a later date, if extended.</w:t>
      </w:r>
    </w:p>
    <w:p>
      <w:pPr>
        <w:sectPr>
          <w:pgSz w:w="11900" w:h="16838" w:orient="portrait"/>
          <w:cols w:equalWidth="0" w:num="1">
            <w:col w:w="10964"/>
          </w:cols>
          <w:pgMar w:left="436" w:top="266" w:right="499" w:bottom="1440" w:gutter="0" w:footer="0" w:header="0"/>
        </w:sectPr>
      </w:pPr>
    </w:p>
    <w:bookmarkStart w:id="326" w:name="page327"/>
    <w:bookmarkEnd w:id="3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left="760"/>
        <w:spacing w:after="0"/>
        <w:tabs>
          <w:tab w:leader="none" w:pos="11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Continental Stock Transfer &amp; Trust Company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dated as of ________, 2020 (the “</w:t>
      </w:r>
      <w:r>
        <w:rPr>
          <w:rFonts w:ascii="Times New Roman" w:cs="Times New Roman" w:eastAsia="Times New Roman" w:hAnsi="Times New Roman"/>
          <w:sz w:val="17"/>
          <w:szCs w:val="17"/>
          <w:b w:val="1"/>
          <w:bCs w:val="1"/>
          <w:i w:val="1"/>
          <w:iCs w:val="1"/>
          <w:color w:val="auto"/>
        </w:rPr>
        <w:t>Trust Agreement</w:t>
      </w:r>
      <w:r>
        <w:rPr>
          <w:rFonts w:ascii="Times New Roman" w:cs="Times New Roman" w:eastAsia="Times New Roman" w:hAnsi="Times New Roman"/>
          <w:sz w:val="17"/>
          <w:szCs w:val="17"/>
          <w:color w:val="auto"/>
        </w:rPr>
        <w:t>”), the Company hereby requests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deliver to the Company $_______ of the interest income earned on the Property as of the date hereof. Capitalized terms used but not defined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meanings set forth in the Trust Agreement.</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[WIRE INSTRUCTION INFORMATION]</w:t>
      </w:r>
    </w:p>
    <w:p>
      <w:pPr>
        <w:spacing w:after="0" w:line="2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ectPr>
          <w:pgSz w:w="11900" w:h="16838" w:orient="portrait"/>
          <w:cols w:equalWidth="0" w:num="1">
            <w:col w:w="10920"/>
          </w:cols>
          <w:pgMar w:left="440" w:top="266" w:right="539" w:bottom="1440" w:gutter="0" w:footer="0" w:header="0"/>
        </w:sectPr>
      </w:pPr>
    </w:p>
    <w:bookmarkStart w:id="327" w:name="page328"/>
    <w:bookmarkEnd w:id="3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&amp; Celeste Gonzalez</w:t>
      </w:r>
    </w:p>
    <w:p>
      <w:pPr>
        <w:spacing w:after="0" w:line="207" w:lineRule="exact"/>
        <w:rPr>
          <w:sz w:val="20"/>
          <w:szCs w:val="20"/>
          <w:color w:val="auto"/>
        </w:rPr>
      </w:pPr>
    </w:p>
    <w:p>
      <w:pPr>
        <w:ind w:right="5120" w:firstLine="771"/>
        <w:spacing w:after="0" w:line="498"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Trust Account - Shareholder Redemption Withdrawal Instruction</w:t>
      </w:r>
      <w:r>
        <w:rPr>
          <w:rFonts w:ascii="Times New Roman" w:cs="Times New Roman" w:eastAsia="Times New Roman" w:hAnsi="Times New Roman"/>
          <w:sz w:val="18"/>
          <w:szCs w:val="18"/>
          <w:color w:val="auto"/>
        </w:rPr>
        <w:t xml:space="preserve"> Dear Mr. Wolf and Ms. Gonzalez:</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1(k)</w:t>
      </w:r>
      <w:r>
        <w:rPr>
          <w:rFonts w:ascii="Times New Roman" w:cs="Times New Roman" w:eastAsia="Times New Roman" w:hAnsi="Times New Roman"/>
          <w:sz w:val="18"/>
          <w:szCs w:val="18"/>
          <w:color w:val="auto"/>
        </w:rPr>
        <w:t xml:space="preserve"> of the Investment Management Trust Agreement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_____,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to the redeeming Public Shareholders of the Company $____ of the principal and interest income earned on the Property as of the date hereof to</w:t>
      </w:r>
    </w:p>
    <w:p>
      <w:pPr>
        <w:spacing w:after="0" w:line="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a segregated account held by you on behalf of the Beneficiaries for distribution to the Public Shareholders who have requested redemption of their Ordinary Shares. Capitalized terms used but not defined herein shall have the meanings set forth in the Trust Agreement.</w:t>
      </w:r>
    </w:p>
    <w:p>
      <w:pPr>
        <w:spacing w:after="0" w:line="1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needs such funds to pay its Public Shareholders who have properly elected to have their Ordinary Shares redeemed by the Company in connection with a shareholder vote to approve an amendment to the Company’s amended and restated memorandum and articles of association (A) to modify the substance or timing of the Company’s obligation to allow redemption in connection with the Company’s initial business combination or to redeem 100% of its public Ordinary Shares if the Company has not consummated an initial Business Combination within such time as is described in the Company’s amended and restated memorandum and articles of association or (B) with respect to any other material provisions relating to shareholders’ rights or pre-initial Business Combination activity. As such, you are hereby directed and authorized to transfer (via wire transfer) such funds promptly upon your receipt of this letter.</w:t>
      </w:r>
    </w:p>
    <w:p>
      <w:pPr>
        <w:spacing w:after="0" w:line="2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VPC Impact Acquisition Holdings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Jefferies LLC</w:t>
      </w:r>
    </w:p>
    <w:p>
      <w:pPr>
        <w:sectPr>
          <w:pgSz w:w="11900" w:h="16838" w:orient="portrait"/>
          <w:cols w:equalWidth="0" w:num="1">
            <w:col w:w="11000"/>
          </w:cols>
          <w:pgMar w:left="440" w:top="266" w:right="45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_________, 2020, is made and entered into by and among VPC</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VPC Impact Acquisition Holdings Sponsor,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xml:space="preserve">”) and each of the undersigned parties listed on the signature page hereto under “Holders” (each such party, together with the Sponsor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5,750,000 Class B ordinary shares, par value $0.0001 per share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750,000 of which will be surrendered to the Company for no consideration depending on the extent to which the underwriters of the Company’s initial public offering exercise their over-allotment option;</w:t>
      </w:r>
    </w:p>
    <w:p>
      <w:pPr>
        <w:spacing w:after="0" w:line="1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Founder Shares are convertible into Class A ordinary shares of the Company, par value $0.0001 per share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the terms and conditions provided in the Company’s amended and restated memorandum and articles of association;</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date hereof, the Company and the Sponsor entered into that certain Private Placement Warrants Purchase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pursuant to which the Sponsor agreed to purchase an aggregate of 6,000,000 private placement warrants (or up to 6,600,000 warrants to the extent that the over-allotment option in connection with the Company’s initial public offering is exercised)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in a private placement transaction occurring simultaneously with the closing of the Company’s initial public offering;</w:t>
      </w:r>
    </w:p>
    <w:p>
      <w:pPr>
        <w:spacing w:after="0" w:line="179"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finance the Company’s transaction costs in connection with its search for and consummation of an initial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(as defined below), the Sponsor, its affiliates or any of the Company’s officers and directors may loan to the Company funds as the Company may require, of which up to $1,500,000 of such loans may be convertible into private placement-equivalent warrants (“</w:t>
      </w:r>
      <w:r>
        <w:rPr>
          <w:rFonts w:ascii="Times New Roman" w:cs="Times New Roman" w:eastAsia="Times New Roman" w:hAnsi="Times New Roman"/>
          <w:sz w:val="18"/>
          <w:szCs w:val="18"/>
          <w:b w:val="1"/>
          <w:bCs w:val="1"/>
          <w:i w:val="1"/>
          <w:iCs w:val="1"/>
          <w:color w:val="auto"/>
        </w:rPr>
        <w:t>Working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at a price of $1.00 per warrant at the option of the lender; and</w:t>
      </w:r>
    </w:p>
    <w:p>
      <w:pPr>
        <w:spacing w:after="0" w:line="176"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Holders desire to enter into this Agreement, pursuant to which the Company shall grant the Holders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with respect to certain securities of the Company, as set forth in this Agreement.</w:t>
      </w:r>
    </w:p>
    <w:p>
      <w:pPr>
        <w:spacing w:after="0" w:line="15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representations, covenants and agreements contained herein, and certain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i w:val="1"/>
          <w:iCs w:val="1"/>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any merger, share exchange, asset acquisition, share purchase, reorganization or other similar business combination with one or more businesses, involving the Company.</w:t>
      </w:r>
    </w:p>
    <w:p>
      <w:pPr>
        <w:sectPr>
          <w:pgSz w:w="11900" w:h="16838" w:orient="portrait"/>
          <w:cols w:equalWidth="0" w:num="1">
            <w:col w:w="11020"/>
          </w:cols>
          <w:pgMar w:left="440" w:top="117" w:right="439" w:bottom="1440" w:gutter="0" w:footer="0" w:header="0"/>
        </w:sectPr>
      </w:pPr>
    </w:p>
    <w:bookmarkStart w:id="329" w:name="page330"/>
    <w:bookmarkEnd w:id="3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have the meaning given in the Recitals hereto and shall be deemed to include the Ordinary Shares issuable upon conversion thereof.</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 shall mean, with respect to the Founder Shares and any Ordinary Shares issuable upon conversion thereof, the period ending on the earlier of (A) one year after the completion of the Company’s initial Business Combination and (B) subsequent to the completion of the Business Combination, (x) if the closing price of the Ordinary Shares equals or exceeds $12.00 per share (as adjusted for share splits, share capitalizations, reorganizations, recapitalizations and the like) for any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shall mean that certain letter agreement, dated as of the date hereof, by and among the Company, the Sponsor and each of the Company’s officers and directors.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Holder and the Company, and to any transferee thereafter.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Lock-up Period</w:t>
      </w:r>
      <w:r>
        <w:rPr>
          <w:rFonts w:ascii="Times New Roman" w:cs="Times New Roman" w:eastAsia="Times New Roman" w:hAnsi="Times New Roman"/>
          <w:sz w:val="18"/>
          <w:szCs w:val="18"/>
          <w:color w:val="auto"/>
        </w:rPr>
        <w:t>” shall mean, with respect to Private Placement Warrants, that are held by the initial purchasers of such Private Placement Warrants or their Permitted Transferees, and the Ordinary Shares issuable upon the exercise of the Private Placement Warrants, that are held by the initial purchasers of the Private Placement Warrants or their Permitted Transferees, the period ending 30 days after the completion of the Company’s initial Business Combination.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shall mean (a) the Ordinary Shares issued or issuable upon the conversion of the Founder Shares, (b) the Private Placement Warrants (including any Ordinary Shares issued or issuable upon the</w:t>
      </w:r>
    </w:p>
    <w:p>
      <w:pPr>
        <w:sectPr>
          <w:pgSz w:w="11900" w:h="16838" w:orient="portrait"/>
          <w:cols w:equalWidth="0" w:num="1">
            <w:col w:w="11000"/>
          </w:cols>
          <w:pgMar w:left="440" w:top="266" w:right="45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0"/>
          </w:cols>
          <w:pgMar w:left="440" w:top="266" w:right="459" w:bottom="1440" w:gutter="0" w:footer="0" w:header="0"/>
          <w:type w:val="continuous"/>
        </w:sectPr>
      </w:pPr>
    </w:p>
    <w:bookmarkStart w:id="330" w:name="page331"/>
    <w:bookmarkEnd w:id="3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exercise of the Private Placement Warrants), (c) any outstanding Ordinary Shares or any other equity security (including the Ordinary Shares issued or issuable upon the exercise of any other equity security) of the Company held by a Holder as of the date of this Agreement, (d) any equity securities (including the Ordinary Shares issued or issuable upon the exercise of any such equity security) of the Company issuable upon conversion of any working capital loans in an amount up to $1,500,000 made to the Company by a Holder (including the Working Capital Warrants and any Ordinary Shares issued or issuable upon the exercise of the Working Capital Warrants) and (e) any other equity security of the Company issued or issuable with respect to any such Ordinary Share by way of a share capitalization or share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93" w:lineRule="exact"/>
        <w:rPr>
          <w:sz w:val="20"/>
          <w:szCs w:val="20"/>
          <w:color w:val="auto"/>
        </w:rPr>
      </w:pPr>
    </w:p>
    <w:p>
      <w:pPr>
        <w:jc w:val="center"/>
        <w:ind w:right="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w:t>
      </w:r>
      <w:r>
        <w:rPr>
          <w:rFonts w:ascii="Times New Roman" w:cs="Times New Roman" w:eastAsia="Times New Roman" w:hAnsi="Times New Roman"/>
          <w:sz w:val="17"/>
          <w:szCs w:val="17"/>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right="340" w:firstLine="436"/>
        <w:spacing w:after="0" w:line="282" w:lineRule="auto"/>
        <w:tabs>
          <w:tab w:leader="none" w:pos="73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2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720" w:hanging="284"/>
        <w:spacing w:after="0"/>
        <w:tabs>
          <w:tab w:leader="none" w:pos="7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7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70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58"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 shall have the meaning given in the Recitals hereto.</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31" w:name="page332"/>
    <w:bookmarkEnd w:id="33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and Section 2.4 hereof, at any time and from time to time on or after the date the Company consummates the Business Combination, the Holders of at least fifteen percent (15%) of the then-outstanding number of Registrable Securities (the “</w:t>
      </w:r>
      <w:r>
        <w:rPr>
          <w:rFonts w:ascii="Times New Roman" w:cs="Times New Roman" w:eastAsia="Times New Roman" w:hAnsi="Times New Roman"/>
          <w:sz w:val="18"/>
          <w:szCs w:val="18"/>
          <w:b w:val="1"/>
          <w:bCs w:val="1"/>
          <w:i w:val="1"/>
          <w:iCs w:val="1"/>
          <w:color w:val="auto"/>
        </w:rPr>
        <w:t>Demanding Holders</w:t>
      </w:r>
      <w:r>
        <w:rPr>
          <w:rFonts w:ascii="Times New Roman" w:cs="Times New Roman" w:eastAsia="Times New Roman" w:hAnsi="Times New Roman"/>
          <w:sz w:val="18"/>
          <w:szCs w:val="18"/>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shall so notify the Company, in writing, within five</w:t>
      </w:r>
    </w:p>
    <w:p>
      <w:pPr>
        <w:spacing w:after="0" w:line="1" w:lineRule="exact"/>
        <w:rPr>
          <w:sz w:val="20"/>
          <w:szCs w:val="20"/>
          <w:color w:val="auto"/>
        </w:rPr>
      </w:pPr>
    </w:p>
    <w:p>
      <w:pPr>
        <w:ind w:left="4" w:right="60" w:hanging="4"/>
        <w:spacing w:after="0" w:line="251" w:lineRule="auto"/>
        <w:tabs>
          <w:tab w:leader="none" w:pos="25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Registration shall not be counted for such purposes unless a Form S-1 or any similar long-form registration statement that may be available at such time (“</w:t>
      </w:r>
      <w:r>
        <w:rPr>
          <w:rFonts w:ascii="Times New Roman" w:cs="Times New Roman" w:eastAsia="Times New Roman" w:hAnsi="Times New Roman"/>
          <w:sz w:val="18"/>
          <w:szCs w:val="18"/>
          <w:b w:val="1"/>
          <w:bCs w:val="1"/>
          <w:i w:val="1"/>
          <w:iCs w:val="1"/>
          <w:color w:val="auto"/>
        </w:rPr>
        <w:t>Form S-1</w:t>
      </w:r>
      <w:r>
        <w:rPr>
          <w:rFonts w:ascii="Times New Roman" w:cs="Times New Roman" w:eastAsia="Times New Roman" w:hAnsi="Times New Roman"/>
          <w:sz w:val="18"/>
          <w:szCs w:val="18"/>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w:t>
      </w:r>
    </w:p>
    <w:p>
      <w:pPr>
        <w:spacing w:after="0" w:line="193"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92" w:lineRule="exact"/>
        <w:rPr>
          <w:sz w:val="20"/>
          <w:szCs w:val="20"/>
          <w:color w:val="auto"/>
        </w:rPr>
      </w:pPr>
    </w:p>
    <w:p>
      <w:pPr>
        <w:ind w:left="4" w:firstLine="991"/>
        <w:spacing w:after="0" w:line="273" w:lineRule="auto"/>
        <w:rPr>
          <w:sz w:val="20"/>
          <w:szCs w:val="20"/>
          <w:color w:val="auto"/>
        </w:rPr>
      </w:pPr>
      <w:r>
        <w:rPr>
          <w:rFonts w:ascii="Times New Roman" w:cs="Times New Roman" w:eastAsia="Times New Roman" w:hAnsi="Times New Roman"/>
          <w:sz w:val="17"/>
          <w:szCs w:val="17"/>
          <w:color w:val="auto"/>
        </w:rPr>
        <w:t xml:space="preserve">2.1.3 </w:t>
      </w:r>
      <w:r>
        <w:rPr>
          <w:rFonts w:ascii="Times New Roman" w:cs="Times New Roman" w:eastAsia="Times New Roman" w:hAnsi="Times New Roman"/>
          <w:sz w:val="17"/>
          <w:szCs w:val="17"/>
          <w:u w:val="single" w:color="auto"/>
          <w:color w:val="auto"/>
        </w:rPr>
        <w:t>Underwritten Offering</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subsection 2.1.4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7"/>
          <w:szCs w:val="17"/>
          <w:u w:val="single" w:color="auto"/>
          <w:color w:val="auto"/>
        </w:rPr>
        <w:t>subsection 2.1.3</w:t>
      </w:r>
      <w:r>
        <w:rPr>
          <w:rFonts w:ascii="Times New Roman" w:cs="Times New Roman" w:eastAsia="Times New Roman" w:hAnsi="Times New Roman"/>
          <w:sz w:val="17"/>
          <w:szCs w:val="17"/>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17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332" w:name="page333"/>
    <w:bookmarkEnd w:id="332"/>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without exceeding the Maximum Number of Securities; and (iii) third, to the extent that the Maximum Number of Securities has not been reached under the foregoing clauses (i) and (ii), the Ordinary Shares or other equity securities that the Company desires to sell, which can be sold without exceeding the Maximum Number of Securities; and (iv) fourth, to the extent that the Maximum Number of Securities has not been reached under the foregoing clauses (i), (ii) and (iii),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97" w:lineRule="exact"/>
        <w:rPr>
          <w:sz w:val="20"/>
          <w:szCs w:val="20"/>
          <w:color w:val="auto"/>
        </w:rPr>
      </w:pPr>
    </w:p>
    <w:p>
      <w:pPr>
        <w:ind w:left="4" w:right="2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Demand Registration Withdrawal</w:t>
      </w:r>
      <w:r>
        <w:rPr>
          <w:rFonts w:ascii="Times New Roman" w:cs="Times New Roman" w:eastAsia="Times New Roman" w:hAnsi="Times New Roman"/>
          <w:sz w:val="18"/>
          <w:szCs w:val="18"/>
          <w:color w:val="auto"/>
        </w:rPr>
        <w:t xml:space="preserve">. A majority-in-interest of the Demanding Holders initiating a Demand Registration or a majority-in-interest of the Requesting Holders (if any), pursuant to a Registration under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other than a Registration Statement (i) filed in connection with any employee share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w:t>
      </w:r>
    </w:p>
    <w:p>
      <w:pPr>
        <w:spacing w:after="0" w:line="3" w:lineRule="exact"/>
        <w:rPr>
          <w:sz w:val="20"/>
          <w:szCs w:val="20"/>
          <w:color w:val="auto"/>
        </w:rPr>
      </w:pPr>
    </w:p>
    <w:p>
      <w:pPr>
        <w:ind w:left="4" w:right="20" w:hanging="4"/>
        <w:spacing w:after="0" w:line="251" w:lineRule="auto"/>
        <w:tabs>
          <w:tab w:leader="none" w:pos="34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shall enter into an underwriting agreement in customary form with the Underwriter(s) selected for such Underwritten Offering by the Company.</w:t>
      </w:r>
    </w:p>
    <w:p>
      <w:pPr>
        <w:spacing w:after="0" w:line="193"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33" w:name="page334"/>
    <w:bookmarkEnd w:id="333"/>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than the Holders of Registrable Securities hereunder (ii) the Registrable Securities as to which registration has been requested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68" w:lineRule="exact"/>
        <w:rPr>
          <w:sz w:val="20"/>
          <w:szCs w:val="20"/>
          <w:color w:val="auto"/>
        </w:rPr>
      </w:pPr>
    </w:p>
    <w:p>
      <w:pPr>
        <w:ind w:left="4" w:right="180" w:firstLine="1428"/>
        <w:spacing w:after="0" w:line="276" w:lineRule="auto"/>
        <w:tabs>
          <w:tab w:leader="none" w:pos="1681"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Registration is undertaken for the Company’s account, the Company shall include in any such Registration (A) first, the Ordinary Shares or other equity securities that the Company desires to sell, which can be sold without exceeding the Maximum Number of Securities;</w:t>
      </w:r>
    </w:p>
    <w:p>
      <w:pPr>
        <w:ind w:left="4" w:right="100" w:hanging="4"/>
        <w:spacing w:after="0" w:line="252" w:lineRule="auto"/>
        <w:tabs>
          <w:tab w:leader="none" w:pos="28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189" w:lineRule="exact"/>
        <w:rPr>
          <w:rFonts w:ascii="Times New Roman" w:cs="Times New Roman" w:eastAsia="Times New Roman" w:hAnsi="Times New Roman"/>
          <w:sz w:val="18"/>
          <w:szCs w:val="18"/>
          <w:color w:val="auto"/>
        </w:rPr>
      </w:pPr>
    </w:p>
    <w:p>
      <w:pPr>
        <w:ind w:left="4" w:firstLine="1428"/>
        <w:spacing w:after="0" w:line="253" w:lineRule="auto"/>
        <w:tabs>
          <w:tab w:leader="none" w:pos="169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pro rata based on the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0" w:lineRule="exact"/>
        <w:rPr>
          <w:sz w:val="20"/>
          <w:szCs w:val="20"/>
          <w:color w:val="auto"/>
        </w:rPr>
      </w:pPr>
    </w:p>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Registrations on Form S-3</w:t>
      </w:r>
      <w:r>
        <w:rPr>
          <w:rFonts w:ascii="Times New Roman" w:cs="Times New Roman" w:eastAsia="Times New Roman" w:hAnsi="Times New Roman"/>
          <w:sz w:val="17"/>
          <w:szCs w:val="17"/>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Times New Roman" w:cs="Times New Roman" w:eastAsia="Times New Roman" w:hAnsi="Times New Roman"/>
          <w:sz w:val="17"/>
          <w:szCs w:val="17"/>
          <w:b w:val="1"/>
          <w:bCs w:val="1"/>
          <w:i w:val="1"/>
          <w:iCs w:val="1"/>
          <w:color w:val="auto"/>
        </w:rPr>
        <w:t>Form S-3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w:t>
      </w:r>
    </w:p>
    <w:p>
      <w:pPr>
        <w:spacing w:after="0" w:line="2" w:lineRule="exact"/>
        <w:rPr>
          <w:sz w:val="20"/>
          <w:szCs w:val="20"/>
          <w:color w:val="auto"/>
        </w:rPr>
      </w:pPr>
    </w:p>
    <w:p>
      <w:pPr>
        <w:ind w:left="4" w:right="80" w:hanging="4"/>
        <w:spacing w:after="0" w:line="260" w:lineRule="auto"/>
        <w:tabs>
          <w:tab w:leader="none" w:pos="3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receipt by the Holder of the notice from the Company. As soon as practicable thereafter, but not more than twelve (12) days after the Company’s initial receipt of such written request for a Registration on Form S-3,</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334" w:name="page335"/>
    <w:bookmarkEnd w:id="33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to effect any such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Restrictions on Registration Rights</w:t>
      </w:r>
      <w:r>
        <w:rPr>
          <w:rFonts w:ascii="Times New Roman" w:cs="Times New Roman" w:eastAsia="Times New Roman" w:hAnsi="Times New Roman"/>
          <w:sz w:val="18"/>
          <w:szCs w:val="18"/>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defer its obligation in this manner more than once in any 12-month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General Procedures</w:t>
      </w:r>
      <w:r>
        <w:rPr>
          <w:rFonts w:ascii="Times New Roman" w:cs="Times New Roman" w:eastAsia="Times New Roman" w:hAnsi="Times New Roman"/>
          <w:sz w:val="17"/>
          <w:szCs w:val="17"/>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5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3"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5" w:name="page336"/>
    <w:bookmarkEnd w:id="33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0"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w:t>
      </w:r>
    </w:p>
    <w:p>
      <w:pPr>
        <w:spacing w:after="0" w:line="162"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0" w:lineRule="exact"/>
        <w:rPr>
          <w:sz w:val="20"/>
          <w:szCs w:val="20"/>
          <w:color w:val="auto"/>
        </w:rPr>
      </w:pPr>
    </w:p>
    <w:p>
      <w:pPr>
        <w:ind w:left="4" w:right="500" w:firstLine="991"/>
        <w:spacing w:after="0" w:line="266" w:lineRule="auto"/>
        <w:rPr>
          <w:sz w:val="20"/>
          <w:szCs w:val="20"/>
          <w:color w:val="auto"/>
        </w:rPr>
      </w:pPr>
      <w:r>
        <w:rPr>
          <w:rFonts w:ascii="Times New Roman" w:cs="Times New Roman" w:eastAsia="Times New Roman" w:hAnsi="Times New Roman"/>
          <w:sz w:val="18"/>
          <w:szCs w:val="18"/>
          <w:color w:val="auto"/>
        </w:rPr>
        <w:t>3.1.8 at least five (5) days prior to the filing of any Registration Statement or Prospectus or any amendment or supplement to such Registration Statement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76"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representatives or Underwriters enter into a confidentiality agreement, in form and substance reasonably satisfactory to the Company, prior to the release or disclosure of any such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94" w:lineRule="exact"/>
        <w:rPr>
          <w:sz w:val="20"/>
          <w:szCs w:val="20"/>
          <w:color w:val="auto"/>
        </w:rPr>
      </w:pPr>
    </w:p>
    <w:p>
      <w:pPr>
        <w:ind w:left="4" w:right="100" w:firstLine="991"/>
        <w:spacing w:after="0" w:line="289" w:lineRule="auto"/>
        <w:rPr>
          <w:sz w:val="20"/>
          <w:szCs w:val="20"/>
          <w:color w:val="auto"/>
        </w:rPr>
      </w:pPr>
      <w:r>
        <w:rPr>
          <w:rFonts w:ascii="Times New Roman" w:cs="Times New Roman" w:eastAsia="Times New Roman" w:hAnsi="Times New Roman"/>
          <w:sz w:val="17"/>
          <w:szCs w:val="17"/>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58" w:lineRule="exact"/>
        <w:rPr>
          <w:sz w:val="20"/>
          <w:szCs w:val="20"/>
          <w:color w:val="auto"/>
        </w:rPr>
      </w:pPr>
    </w:p>
    <w:p>
      <w:pPr>
        <w:ind w:left="4" w:right="260" w:firstLine="991"/>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3"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3.1.14 make available to its security holders, as soon as reasonably practicable, an earnings statement covering the period of at least twelve</w:t>
      </w:r>
    </w:p>
    <w:p>
      <w:pPr>
        <w:spacing w:after="0" w:line="27" w:lineRule="exact"/>
        <w:rPr>
          <w:sz w:val="20"/>
          <w:szCs w:val="20"/>
          <w:color w:val="auto"/>
        </w:rPr>
      </w:pPr>
    </w:p>
    <w:p>
      <w:pPr>
        <w:ind w:left="4" w:right="20" w:hanging="4"/>
        <w:spacing w:after="0" w:line="290" w:lineRule="auto"/>
        <w:tabs>
          <w:tab w:leader="none" w:pos="349"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beginning with the first day of the Company’s first full calendar quarter after the effective date of the Registration Statement which satisfies the provisions of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of the Securities Act and Rule 158 thereunder (or any successor rule promulgated thereafter by the Commission);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36" w:name="page337"/>
    <w:bookmarkEnd w:id="336"/>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3.1.16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Requirements for 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Suspension of Sales; Adverse Disclosure</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58" w:lineRule="auto"/>
        <w:rPr>
          <w:sz w:val="20"/>
          <w:szCs w:val="20"/>
          <w:color w:val="auto"/>
        </w:rPr>
      </w:pPr>
      <w:r>
        <w:rPr>
          <w:rFonts w:ascii="Times New Roman" w:cs="Times New Roman" w:eastAsia="Times New Roman" w:hAnsi="Times New Roman"/>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37" w:name="page338"/>
    <w:bookmarkEnd w:id="33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9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right="80" w:firstLine="991"/>
        <w:spacing w:after="0" w:line="281" w:lineRule="auto"/>
        <w:rPr>
          <w:sz w:val="20"/>
          <w:szCs w:val="20"/>
          <w:color w:val="auto"/>
        </w:rPr>
      </w:pPr>
      <w:r>
        <w:rPr>
          <w:rFonts w:ascii="Times New Roman" w:cs="Times New Roman" w:eastAsia="Times New Roman" w:hAnsi="Times New Roman"/>
          <w:sz w:val="17"/>
          <w:szCs w:val="17"/>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64"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38" w:name="page339"/>
    <w:bookmarkEnd w:id="338"/>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c/o Victory Park Capital Advisors, LLC, 150 North Riverside Plaza, Suite 5200, Chicago, Illinois 60606,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hereunder may not be assigned or delegated by the Company in whole or in part.</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39" w:name="page340"/>
    <w:bookmarkEnd w:id="33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PERFORMED ENTIRELY WITHIN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18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any amendment hereto or waiver hereof that adversely affects one Holder, solely in his, her or its capacity as a holder of the capital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w:t>
      </w:r>
    </w:p>
    <w:p>
      <w:pPr>
        <w:spacing w:after="0" w:line="27" w:lineRule="exact"/>
        <w:rPr>
          <w:sz w:val="20"/>
          <w:szCs w:val="20"/>
          <w:color w:val="auto"/>
        </w:rPr>
      </w:pPr>
    </w:p>
    <w:p>
      <w:pPr>
        <w:ind w:left="4" w:right="140" w:hanging="4"/>
        <w:spacing w:after="0" w:line="253" w:lineRule="auto"/>
        <w:tabs>
          <w:tab w:leader="none" w:pos="29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r>
        <w:rPr>
          <w:rFonts w:ascii="Times New Roman" w:cs="Times New Roman" w:eastAsia="Times New Roman" w:hAnsi="Times New Roman"/>
          <w:sz w:val="18"/>
          <w:szCs w:val="18"/>
          <w:color w:val="auto"/>
        </w:rPr>
        <w:t>, a Cayman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07"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66" w:right="47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 WARRANTS PURCHASE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PRIVATE PLACEMENT WARRANTS PURCHASE AGREEMENT, dated as of __________, 2020 (as it may from time to time be</w:t>
      </w:r>
    </w:p>
    <w:p>
      <w:pPr>
        <w:spacing w:after="0" w:line="27" w:lineRule="exact"/>
        <w:rPr>
          <w:sz w:val="20"/>
          <w:szCs w:val="20"/>
          <w:color w:val="auto"/>
        </w:rPr>
      </w:pPr>
    </w:p>
    <w:p>
      <w:pPr>
        <w:ind w:right="1000"/>
        <w:spacing w:after="0" w:line="260" w:lineRule="auto"/>
        <w:rPr>
          <w:sz w:val="20"/>
          <w:szCs w:val="20"/>
          <w:color w:val="auto"/>
        </w:rPr>
      </w:pPr>
      <w:r>
        <w:rPr>
          <w:rFonts w:ascii="Times New Roman" w:cs="Times New Roman" w:eastAsia="Times New Roman" w:hAnsi="Times New Roman"/>
          <w:sz w:val="18"/>
          <w:szCs w:val="18"/>
          <w:color w:val="auto"/>
        </w:rPr>
        <w:t>amended,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by and between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VPC Impact Acquisition Holdings Sponsor, LLC, a Cayman Islands limited liability company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color w:val="auto"/>
        </w:rPr>
        <w:t>WHEREAS, the Company intends to consummate an initial public offering of the Company’s units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each unit consisting of one Class A Ordinary Share, par value $0.0001 per share, of the Company (an “</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and one-half of one redeemable warrant. Each whole warrant entitles the holder to purchase one Ordinary Share at an exercise price of $11.50 per Ordinary Share. The Purchaser has agreed to purchase an aggregate of 6,000,000 warrants (or 6,600,000 in the aggregate if the over-allotment option in connection with the Public Offering is exercised in full)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each Private Placement Warrant entitling the holder to purchase one Ordinary Share at an exercise price of $11.50 per Share.</w:t>
      </w:r>
    </w:p>
    <w:p>
      <w:pPr>
        <w:spacing w:after="0" w:line="18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Authorization, Purchase and Sale; Terms of the Private Placement Warrants.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Authorization of the Private Placement Warrants</w:t>
      </w:r>
      <w:r>
        <w:rPr>
          <w:rFonts w:ascii="Times New Roman" w:cs="Times New Roman" w:eastAsia="Times New Roman" w:hAnsi="Times New Roman"/>
          <w:sz w:val="18"/>
          <w:szCs w:val="18"/>
          <w:color w:val="auto"/>
        </w:rPr>
        <w:t>. The Company has duly authorized the issuance and sale of the Private Placement Warrants to the Purchaser.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Purchase and Sale of the Private Placement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5" w:lineRule="auto"/>
        <w:tabs>
          <w:tab w:leader="none" w:pos="65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consummation of the Public Offering or on such earlier time and date as may be mutually agreed by the Purchaser and the Company (the “</w:t>
      </w:r>
      <w:r>
        <w:rPr>
          <w:rFonts w:ascii="Times New Roman" w:cs="Times New Roman" w:eastAsia="Times New Roman" w:hAnsi="Times New Roman"/>
          <w:sz w:val="18"/>
          <w:szCs w:val="18"/>
          <w:b w:val="1"/>
          <w:bCs w:val="1"/>
          <w:i w:val="1"/>
          <w:iCs w:val="1"/>
          <w:color w:val="auto"/>
        </w:rPr>
        <w:t>Initial Closing Date</w:t>
      </w:r>
      <w:r>
        <w:rPr>
          <w:rFonts w:ascii="Times New Roman" w:cs="Times New Roman" w:eastAsia="Times New Roman" w:hAnsi="Times New Roman"/>
          <w:sz w:val="18"/>
          <w:szCs w:val="18"/>
          <w:color w:val="auto"/>
        </w:rPr>
        <w:t>”), the Company shall issue and sell to the Purchaser, and the Purchaser shall purchase from the Company, an aggregate of 6,000,000 Private Placement Warrants at a price of $1.00 per warrant for an aggregate purchase price of $6,000,000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which shall be paid by wire transfer of immediately available funds to the Company at least one business day prior to the Initial Closing Date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Company’s wiring instructions. On the Initial Closing Date, upon the payment by the Purchaser of the Purchase Price, the Company, at its option, shall deliver a certificate evidencing the Private Placement Warrants purchased by the Purchaser on such date duly registered in the Purchaser’s name to the Purchaser, or effect such delivery in book-entry form.</w:t>
      </w:r>
    </w:p>
    <w:p>
      <w:pPr>
        <w:spacing w:after="0" w:line="80" w:lineRule="exact"/>
        <w:rPr>
          <w:rFonts w:ascii="Times New Roman" w:cs="Times New Roman" w:eastAsia="Times New Roman" w:hAnsi="Times New Roman"/>
          <w:sz w:val="18"/>
          <w:szCs w:val="18"/>
          <w:color w:val="auto"/>
        </w:rPr>
      </w:pPr>
    </w:p>
    <w:p>
      <w:pPr>
        <w:ind w:right="60" w:firstLine="436"/>
        <w:spacing w:after="0" w:line="253" w:lineRule="auto"/>
        <w:tabs>
          <w:tab w:leader="none" w:pos="70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consummation of the closing of the over-allotment option in connection with the Public Offering or on such earlier time and date as may be mutually agreed by the Purchaser and the Company (each such date, an “</w:t>
      </w:r>
      <w:r>
        <w:rPr>
          <w:rFonts w:ascii="Times New Roman" w:cs="Times New Roman" w:eastAsia="Times New Roman" w:hAnsi="Times New Roman"/>
          <w:sz w:val="18"/>
          <w:szCs w:val="18"/>
          <w:b w:val="1"/>
          <w:bCs w:val="1"/>
          <w:i w:val="1"/>
          <w:iCs w:val="1"/>
          <w:color w:val="auto"/>
        </w:rPr>
        <w:t>Over-allotment Closing Date</w:t>
      </w:r>
      <w:r>
        <w:rPr>
          <w:rFonts w:ascii="Times New Roman" w:cs="Times New Roman" w:eastAsia="Times New Roman" w:hAnsi="Times New Roman"/>
          <w:sz w:val="18"/>
          <w:szCs w:val="18"/>
          <w:color w:val="auto"/>
        </w:rPr>
        <w:t>”, and each Over-allotment Closing Date (if any) and the Initial Closing Date being sometimes referred to herein as a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the Company shall issue and sell to the Purchaser, and the Purchaser shall purchase from the Company, up to an aggregate of 600,000 additional Private Placement Warrants at a price of $1.00 per warrant for an aggregate purchase price of up to $600,000 (if the over-allotment option in connection with the Public Offering is exercised in full) (the “</w:t>
      </w:r>
      <w:r>
        <w:rPr>
          <w:rFonts w:ascii="Times New Roman" w:cs="Times New Roman" w:eastAsia="Times New Roman" w:hAnsi="Times New Roman"/>
          <w:sz w:val="18"/>
          <w:szCs w:val="18"/>
          <w:b w:val="1"/>
          <w:bCs w:val="1"/>
          <w:i w:val="1"/>
          <w:iCs w:val="1"/>
          <w:color w:val="auto"/>
        </w:rPr>
        <w:t>Over-allotment Purchase Price</w:t>
      </w:r>
      <w:r>
        <w:rPr>
          <w:rFonts w:ascii="Times New Roman" w:cs="Times New Roman" w:eastAsia="Times New Roman" w:hAnsi="Times New Roman"/>
          <w:sz w:val="18"/>
          <w:szCs w:val="18"/>
          <w:color w:val="auto"/>
        </w:rPr>
        <w:t>”). The Purchaser shall pay the Over-allotment Purchase Price by wire transfer of immediately available funds to the Company at least one business day prior to the Over-Allotment Closing Date in accordance with the Company’s wiring instructions. On the Over-allotment Closing Date, upon the payment by the Purchaser of the Over-allotment Purchase Price, the Company shall, at its option, deliver a certificate evidencing the Private Placement Warrants purchased by the Purchaser on such date duly registered in the Purchaser’s name to the Purchaser, or effect such delivery in book-entry form.</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Terms of the Private Placement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36"/>
        <w:spacing w:after="0" w:line="282"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Private Placement Warrant shall have the terms set forth in a Warrant Agreement to be entered into by the Company and a warrant agent in connection with the Public Offering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42" w:name="page343"/>
    <w:bookmarkEnd w:id="342"/>
    <w:p>
      <w:pPr>
        <w:jc w:val="both"/>
        <w:ind w:right="760" w:firstLine="436"/>
        <w:spacing w:after="0" w:line="266" w:lineRule="auto"/>
        <w:tabs>
          <w:tab w:leader="none" w:pos="70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time of the closing of the Public Offering, the Company and the Purchaser shall enter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pursuant to which the Company will grant certain registration rights to the Purchaser relating to the Private Placement Warrants and the Shares underlying the Private Placement Warrants.</w:t>
      </w:r>
    </w:p>
    <w:p>
      <w:pPr>
        <w:spacing w:after="0" w:line="172"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Representations and Warranties of the Company. </w:t>
      </w:r>
      <w:r>
        <w:rPr>
          <w:rFonts w:ascii="Times New Roman" w:cs="Times New Roman" w:eastAsia="Times New Roman" w:hAnsi="Times New Roman"/>
          <w:sz w:val="18"/>
          <w:szCs w:val="18"/>
          <w:color w:val="auto"/>
        </w:rPr>
        <w:t>As a material inducement to the Purchaser to enter into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Private Placement Warrants, the Company hereby represents and warrants to the Purchaser (which representations and warranties shall survive the Closing Date) that:</w:t>
      </w:r>
    </w:p>
    <w:p>
      <w:pPr>
        <w:spacing w:after="0" w:line="6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Incorporation and Corporate Power</w:t>
      </w:r>
      <w:r>
        <w:rPr>
          <w:rFonts w:ascii="Times New Roman" w:cs="Times New Roman" w:eastAsia="Times New Roman" w:hAnsi="Times New Roman"/>
          <w:sz w:val="18"/>
          <w:szCs w:val="18"/>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61" w:lineRule="auto"/>
        <w:tabs>
          <w:tab w:leader="none" w:pos="65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and the Private Placement Warrants have been duly authorized by the Company as of the Closing Date. This Agreement constitutes the valid and binding obligation of the Company, enforceable in accordance with its terms. Upon issuance in accordance with, and payment pursuant to, the terms of the Warrant Agreement and this Agreement, the Private Placement Warrants will constitute valid and binding obligations of the Company, enforceable in accordance with their terms as of the Closing Date.</w:t>
      </w:r>
    </w:p>
    <w:p>
      <w:pPr>
        <w:spacing w:after="0" w:line="179" w:lineRule="exact"/>
        <w:rPr>
          <w:rFonts w:ascii="Times New Roman" w:cs="Times New Roman" w:eastAsia="Times New Roman" w:hAnsi="Times New Roman"/>
          <w:sz w:val="18"/>
          <w:szCs w:val="18"/>
          <w:color w:val="auto"/>
        </w:rPr>
      </w:pPr>
    </w:p>
    <w:p>
      <w:pPr>
        <w:ind w:right="100" w:firstLine="436"/>
        <w:spacing w:after="0" w:line="254" w:lineRule="auto"/>
        <w:tabs>
          <w:tab w:leader="none" w:pos="70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the Closing Date (a) conflict with or result in a breach of the terms, conditions or provisions of, (b) constitute a default under, (c) result in the creation of any lien, security interest, charge or encumbrance upon the Company’s equity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8"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Title to Securities</w:t>
      </w:r>
      <w:r>
        <w:rPr>
          <w:rFonts w:ascii="Times New Roman" w:cs="Times New Roman" w:eastAsia="Times New Roman" w:hAnsi="Times New Roman"/>
          <w:sz w:val="18"/>
          <w:szCs w:val="18"/>
          <w:color w:val="auto"/>
        </w:rPr>
        <w:t>. Upon issuance in accordance with, and payment pursuant to, the terms hereof and the Warrant Agreement, and upon registration in the Company’s register of members, the Shares issuable upon exercise of the Private Placement Warrants will be duly and validly issued, fully paid and nonassessable. Upon issuance in accordance with, and payment pursuant to, the terms hereof and the Warrant Agreement, and upon registration in the Company’s register of members, the Purchaser will have good title to the Private Placement Warrants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18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Regulation D Qualification</w:t>
      </w:r>
      <w:r>
        <w:rPr>
          <w:rFonts w:ascii="Times New Roman" w:cs="Times New Roman" w:eastAsia="Times New Roman" w:hAnsi="Times New Roman"/>
          <w:sz w:val="18"/>
          <w:szCs w:val="18"/>
          <w:color w:val="auto"/>
        </w:rPr>
        <w:t>. Neither the Company nor, to its knowledge, any of its affiliates, members, officers, directors or beneficial shareholders of 20% or more of its outstanding securities, has experienced a disqualifying event as enumerated pursuant to Rule 506(d) of Regulation 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43" w:name="page344"/>
    <w:bookmarkEnd w:id="343"/>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Representations and Warranties of the Purchaser. </w:t>
      </w:r>
      <w:r>
        <w:rPr>
          <w:rFonts w:ascii="Times New Roman" w:cs="Times New Roman" w:eastAsia="Times New Roman" w:hAnsi="Times New Roman"/>
          <w:sz w:val="18"/>
          <w:szCs w:val="18"/>
          <w:color w:val="auto"/>
        </w:rPr>
        <w:t>As a material inducement to the Company to enter into this Agreement and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 the Private Placement Warrants to the Purchaser, the Purchaser hereby represents and warrants to the Company (which representations and warranties shall survive each Closing Date) that:</w:t>
      </w:r>
    </w:p>
    <w:p>
      <w:pPr>
        <w:spacing w:after="0" w:line="6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Requisite Authority</w:t>
      </w:r>
      <w:r>
        <w:rPr>
          <w:rFonts w:ascii="Times New Roman" w:cs="Times New Roman" w:eastAsia="Times New Roman" w:hAnsi="Times New Roman"/>
          <w:sz w:val="18"/>
          <w:szCs w:val="18"/>
          <w:color w:val="auto"/>
        </w:rPr>
        <w:t>. The Purchaser possesses all requisite power and authority necessary to carry out the transactions contemplated by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No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00" w:firstLine="436"/>
        <w:spacing w:after="0" w:line="266" w:lineRule="auto"/>
        <w:tabs>
          <w:tab w:leader="none" w:pos="65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0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6" w:lineRule="auto"/>
        <w:tabs>
          <w:tab w:leader="none" w:pos="65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acquiring the Private Placement Warrants and, upon exercise of the Private Placement Warrants, the Shares issuable upon such exercise (collectively,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for the Purchaser’s own account, for investment purposes only and not with a view towards, or for resale in connection with, any public sale or distribution thereof.</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70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an “accredited investor” as such term is defined in Rule 501(a)(3) of Regulation D, and the Purchaser has not experienced a disqualifying event as enumerated pursuant to Rule 506(d) of Regulation D under the Securities Act.</w:t>
      </w:r>
    </w:p>
    <w:p>
      <w:pPr>
        <w:spacing w:after="0" w:line="161"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7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79" w:lineRule="exact"/>
        <w:rPr>
          <w:rFonts w:ascii="Times New Roman" w:cs="Times New Roman" w:eastAsia="Times New Roman" w:hAnsi="Times New Roman"/>
          <w:sz w:val="18"/>
          <w:szCs w:val="18"/>
          <w:color w:val="auto"/>
        </w:rPr>
      </w:pPr>
    </w:p>
    <w:p>
      <w:pPr>
        <w:ind w:right="180" w:firstLine="436"/>
        <w:spacing w:after="0" w:line="282" w:lineRule="auto"/>
        <w:tabs>
          <w:tab w:leader="none" w:pos="74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did not decide to enter into this Agreement as a result of any general solicitation or general advertising within the meaning of Rule 502(c) under the Securities Act.</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3"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74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7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44" w:name="page345"/>
    <w:bookmarkEnd w:id="34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register the Securities under the Securities Act or any state securities laws or to comply with the terms and conditions of any exemption thereunder. While the Purchaser understands that Rule 144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SEC reflecting its status as an entity that is not a shell company.</w:t>
      </w:r>
    </w:p>
    <w:p>
      <w:pPr>
        <w:spacing w:after="0" w:line="188" w:lineRule="exact"/>
        <w:rPr>
          <w:sz w:val="20"/>
          <w:szCs w:val="20"/>
          <w:color w:val="auto"/>
        </w:rPr>
      </w:pPr>
    </w:p>
    <w:p>
      <w:pPr>
        <w:ind w:firstLine="436"/>
        <w:spacing w:after="0" w:line="256" w:lineRule="auto"/>
        <w:tabs>
          <w:tab w:leader="none" w:pos="84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such knowledge and experience in financial and business matters, knows of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Conditions of the Purchaser’s Obligations. </w:t>
      </w:r>
      <w:r>
        <w:rPr>
          <w:rFonts w:ascii="Times New Roman" w:cs="Times New Roman" w:eastAsia="Times New Roman" w:hAnsi="Times New Roman"/>
          <w:sz w:val="18"/>
          <w:szCs w:val="18"/>
          <w:color w:val="auto"/>
        </w:rPr>
        <w:t>The obligation of the Purchaser to purchase and pay for the Private Placement Warrants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fulfillment, on or before each Closing Date, of each of the following conditions:</w:t>
      </w:r>
    </w:p>
    <w:p>
      <w:pPr>
        <w:spacing w:after="0" w:line="5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in Section 2 shall be true and correct at and as of such Closing Date as though then made.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with all agreements, obligations and conditions contained in this Agreement that are required to be performed or complied with by it on or before such Closing Date.</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Company shall have entered into the Warrant Agreement with a warrant agent on terms satisfactory to the Purchaser.</w:t>
      </w:r>
    </w:p>
    <w:p>
      <w:pPr>
        <w:spacing w:after="0" w:line="32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 Conditions of the Company’s Obligations. </w:t>
      </w:r>
      <w:r>
        <w:rPr>
          <w:rFonts w:ascii="Times New Roman" w:cs="Times New Roman" w:eastAsia="Times New Roman" w:hAnsi="Times New Roman"/>
          <w:sz w:val="18"/>
          <w:szCs w:val="18"/>
          <w:color w:val="auto"/>
        </w:rPr>
        <w:t>The obligations of the Company to the Purchaser under this Agreement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on or before each Closing Date, of each of the following conditions:</w:t>
      </w:r>
    </w:p>
    <w:p>
      <w:pPr>
        <w:spacing w:after="0" w:line="5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Purchaser contained in Section 3 shall be true and correct at and as of such Closing Date as though then made.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162"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Corporate Consents</w:t>
      </w:r>
      <w:r>
        <w:rPr>
          <w:rFonts w:ascii="Times New Roman" w:cs="Times New Roman" w:eastAsia="Times New Roman" w:hAnsi="Times New Roman"/>
          <w:sz w:val="18"/>
          <w:szCs w:val="18"/>
          <w:color w:val="auto"/>
        </w:rPr>
        <w:t>. The Company shall have obtained the consent of its Board of Directors authorizing the execution, delivery and performance of this Agreement and the Warrant Agreement and the issuance and sale of the Private Placement Warrants hereunder.</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45" w:name="page346"/>
    <w:bookmarkEnd w:id="3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The Company shall have entered into the Warrant Agreement with a warrant agent on terms satisfactory to the Company.</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 Termination. </w:t>
      </w:r>
      <w:r>
        <w:rPr>
          <w:rFonts w:ascii="Times New Roman" w:cs="Times New Roman" w:eastAsia="Times New Roman" w:hAnsi="Times New Roman"/>
          <w:sz w:val="18"/>
          <w:szCs w:val="18"/>
          <w:color w:val="auto"/>
        </w:rPr>
        <w:t>This Agreement may be terminated at any time after December 31, 2020 upon the election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upon written notice to the other party if the closing of the Public Offering does not occur prior to such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 Survival of Representations and Warranties. </w:t>
      </w:r>
      <w:r>
        <w:rPr>
          <w:rFonts w:ascii="Times New Roman" w:cs="Times New Roman" w:eastAsia="Times New Roman" w:hAnsi="Times New Roman"/>
          <w:sz w:val="18"/>
          <w:szCs w:val="18"/>
          <w:color w:val="auto"/>
        </w:rPr>
        <w:t>All of the representations and warranties contained herein shall survive each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Definitions. </w:t>
      </w:r>
      <w:r>
        <w:rPr>
          <w:rFonts w:ascii="Times New Roman" w:cs="Times New Roman" w:eastAsia="Times New Roman" w:hAnsi="Times New Roman"/>
          <w:sz w:val="18"/>
          <w:szCs w:val="18"/>
          <w:color w:val="auto"/>
        </w:rPr>
        <w:t>Terms used but not otherwise defined in this Agreement shall have the meaning assigned to such terms in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S-1 the Company plans to file with the U.S. Securities and Exchange Commission, under the Securities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 Miscellaneous.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simultaneously in two or more counterparts, none of which need contain the signatures of more than one party, but all such counterparts taken together shall constitute one and the same agreement.</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deemed to be a contract made under the laws of the State of New York and for all purposes shall be construed in accordance with the internal laws of the State of New York.</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or waived as to any particular provision, except by a written instrument executed by all parties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to be effective as of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20"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17145</wp:posOffset>
            </wp:positionV>
            <wp:extent cx="25203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Private Placement Warrents Purchase Agreements</w:t>
      </w:r>
      <w:r>
        <w:rPr>
          <w:rFonts w:ascii="Times New Roman" w:cs="Times New Roman" w:eastAsia="Times New Roman" w:hAnsi="Times New Roman"/>
          <w:sz w:val="18"/>
          <w:szCs w:val="18"/>
          <w:color w:val="auto"/>
        </w:rPr>
        <w:t>]</w:t>
      </w:r>
    </w:p>
    <w:p>
      <w:pPr>
        <w:sectPr>
          <w:pgSz w:w="11900" w:h="16838" w:orient="portrait"/>
          <w:cols w:equalWidth="0" w:num="1">
            <w:col w:w="10540"/>
          </w:cols>
          <w:pgMar w:left="880" w:top="266" w:right="47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___, 2020, by and between VPC IMPACT ACQUISITION HOLDINGS,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if any, from certain liabilities;</w:t>
      </w:r>
    </w:p>
    <w:p>
      <w:pPr>
        <w:spacing w:after="0" w:line="171"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directors, officers and other persons in service to corporations or business enterprises are being increasingly subjected to expensive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time-consuming litigation relating to, among other things, matters that traditionally would have been brought only against the Company or business enterprise itself;</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amended and restated memorandum and articles of association of the Company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require indemnification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directors of the Company, Indemnitee may also be entitled to indemnification pursuant to applicable Cayman Islands law and the Charter provides that the indemnification provisions set forth therein are not exclusive, and thereby contemplates that contracts may be entered into between the Company and members of the Board, officers and other persons with respect to indemnification, hold harmless, exoneration, advancement and reimbursement rights;</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shareholders and that the Company should act to assure such persons that there will be increased certainty of such protection in the future;</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any resolutions adopted pursuant thereto,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 substitute therefor, nor to diminish or abrogate any rights of Indemnitee thereunder; and</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advisor or in another capacity, without adequate protection,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desires Indemnitee to 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ectPr>
          <w:pgSz w:w="11900" w:h="16838" w:orient="portrait"/>
          <w:cols w:equalWidth="0" w:num="1">
            <w:col w:w="11020"/>
          </w:cols>
          <w:pgMar w:left="440" w:top="117" w:right="43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AND CONDITIONS</w:t>
      </w:r>
    </w:p>
    <w:p>
      <w:pPr>
        <w:spacing w:after="0" w:line="225" w:lineRule="exact"/>
        <w:rPr>
          <w:sz w:val="20"/>
          <w:szCs w:val="20"/>
          <w:color w:val="auto"/>
        </w:rPr>
      </w:pPr>
    </w:p>
    <w:p>
      <w:pPr>
        <w:ind w:left="-20" w:firstLine="436"/>
        <w:spacing w:after="0" w:line="259" w:lineRule="auto"/>
        <w:tabs>
          <w:tab w:leader="none" w:pos="6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of the Company, as applicable, for so long as Indemnitee is duly elected, appointed or retained or until Indemnitee tenders his or her resignation or until Indemnitee is removed. The foregoing notwithstanding, this Agreement shall continue in full force and effect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79"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117" w:lineRule="exact"/>
        <w:rPr>
          <w:rFonts w:ascii="Times New Roman" w:cs="Times New Roman" w:eastAsia="Times New Roman" w:hAnsi="Times New Roman"/>
          <w:sz w:val="18"/>
          <w:szCs w:val="18"/>
          <w:color w:val="auto"/>
        </w:rPr>
      </w:pPr>
    </w:p>
    <w:p>
      <w:pPr>
        <w:ind w:left="-20" w:right="80" w:firstLine="987"/>
        <w:spacing w:after="0" w:line="262" w:lineRule="auto"/>
        <w:tabs>
          <w:tab w:leader="none" w:pos="12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20" w:right="280" w:firstLine="987"/>
        <w:spacing w:after="0" w:line="286" w:lineRule="auto"/>
        <w:tabs>
          <w:tab w:leader="none" w:pos="122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Cayman Court</w:t>
      </w:r>
      <w:r>
        <w:rPr>
          <w:rFonts w:ascii="Times New Roman" w:cs="Times New Roman" w:eastAsia="Times New Roman" w:hAnsi="Times New Roman"/>
          <w:sz w:val="18"/>
          <w:szCs w:val="18"/>
          <w:color w:val="auto"/>
        </w:rPr>
        <w:t>” shall mean the courts of the Cayman Islands.</w:t>
      </w:r>
    </w:p>
    <w:p>
      <w:pPr>
        <w:spacing w:after="0" w:line="225" w:lineRule="exact"/>
        <w:rPr>
          <w:rFonts w:ascii="Times New Roman" w:cs="Times New Roman" w:eastAsia="Times New Roman" w:hAnsi="Times New Roman"/>
          <w:sz w:val="18"/>
          <w:szCs w:val="18"/>
          <w:color w:val="auto"/>
        </w:rPr>
      </w:pPr>
    </w:p>
    <w:p>
      <w:pPr>
        <w:ind w:left="-20" w:right="640" w:firstLine="987"/>
        <w:spacing w:after="0" w:line="286" w:lineRule="auto"/>
        <w:tabs>
          <w:tab w:leader="none" w:pos="122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mean the occurrence of the earliest to occur after the date of this Agreement of any of the following events:</w:t>
      </w:r>
    </w:p>
    <w:p>
      <w:pPr>
        <w:spacing w:after="0" w:line="46" w:lineRule="exact"/>
        <w:rPr>
          <w:rFonts w:ascii="Times New Roman" w:cs="Times New Roman" w:eastAsia="Times New Roman" w:hAnsi="Times New Roman"/>
          <w:sz w:val="18"/>
          <w:szCs w:val="18"/>
          <w:color w:val="auto"/>
        </w:rPr>
      </w:pPr>
    </w:p>
    <w:p>
      <w:pPr>
        <w:ind w:left="420" w:right="20" w:firstLine="948"/>
        <w:spacing w:after="0" w:line="257" w:lineRule="auto"/>
        <w:tabs>
          <w:tab w:leader="none" w:pos="1587"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Shares by Third Party</w:t>
      </w:r>
      <w:r>
        <w:rPr>
          <w:rFonts w:ascii="Times New Roman" w:cs="Times New Roman" w:eastAsia="Times New Roman" w:hAnsi="Times New Roman"/>
          <w:sz w:val="18"/>
          <w:szCs w:val="18"/>
          <w:color w:val="auto"/>
        </w:rPr>
        <w:t>. Other than an affiliate of VPC Impact Acquisition Holdings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78" w:lineRule="exact"/>
        <w:rPr>
          <w:rFonts w:ascii="Times New Roman" w:cs="Times New Roman" w:eastAsia="Times New Roman" w:hAnsi="Times New Roman"/>
          <w:sz w:val="18"/>
          <w:szCs w:val="18"/>
          <w:color w:val="auto"/>
        </w:rPr>
      </w:pPr>
    </w:p>
    <w:p>
      <w:pPr>
        <w:jc w:val="both"/>
        <w:ind w:left="420" w:right="140" w:firstLine="948"/>
        <w:spacing w:after="0" w:line="261" w:lineRule="auto"/>
        <w:tabs>
          <w:tab w:leader="none" w:pos="1637"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shareholders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 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71" w:lineRule="exact"/>
        <w:rPr>
          <w:rFonts w:ascii="Times New Roman" w:cs="Times New Roman" w:eastAsia="Times New Roman" w:hAnsi="Times New Roman"/>
          <w:sz w:val="18"/>
          <w:szCs w:val="18"/>
          <w:color w:val="auto"/>
        </w:rPr>
      </w:pPr>
    </w:p>
    <w:p>
      <w:pPr>
        <w:ind w:left="420" w:right="40" w:firstLine="948"/>
        <w:spacing w:after="0" w:line="253" w:lineRule="auto"/>
        <w:tabs>
          <w:tab w:leader="none" w:pos="1687"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66" w:right="459" w:bottom="1440" w:gutter="0" w:footer="0" w:header="0"/>
        </w:sectPr>
      </w:pPr>
    </w:p>
    <w:bookmarkStart w:id="349" w:name="page350"/>
    <w:bookmarkEnd w:id="349"/>
    <w:p>
      <w:pPr>
        <w:jc w:val="both"/>
        <w:ind w:left="380"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72" w:lineRule="exact"/>
        <w:rPr>
          <w:sz w:val="20"/>
          <w:szCs w:val="20"/>
          <w:color w:val="auto"/>
        </w:rPr>
      </w:pPr>
    </w:p>
    <w:p>
      <w:pPr>
        <w:ind w:left="380" w:right="100" w:firstLine="948"/>
        <w:spacing w:after="0" w:line="261" w:lineRule="auto"/>
        <w:tabs>
          <w:tab w:leader="none" w:pos="16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shareholders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71" w:lineRule="exact"/>
        <w:rPr>
          <w:rFonts w:ascii="Times New Roman" w:cs="Times New Roman" w:eastAsia="Times New Roman" w:hAnsi="Times New Roman"/>
          <w:sz w:val="18"/>
          <w:szCs w:val="18"/>
          <w:color w:val="auto"/>
        </w:rPr>
      </w:pPr>
    </w:p>
    <w:p>
      <w:pPr>
        <w:ind w:left="380" w:firstLine="948"/>
        <w:spacing w:after="0" w:line="266" w:lineRule="auto"/>
        <w:tabs>
          <w:tab w:leader="none" w:pos="158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Companies Law</w:t>
      </w:r>
      <w:r>
        <w:rPr>
          <w:rFonts w:ascii="Times New Roman" w:cs="Times New Roman" w:eastAsia="Times New Roman" w:hAnsi="Times New Roman"/>
          <w:sz w:val="18"/>
          <w:szCs w:val="18"/>
          <w:color w:val="auto"/>
        </w:rPr>
        <w:t>” shall mean the Companies Law (2020 Revision) of the Cayman Islands, as amended from time to time.</w:t>
      </w:r>
    </w:p>
    <w:p>
      <w:pPr>
        <w:spacing w:after="0" w:line="225" w:lineRule="exact"/>
        <w:rPr>
          <w:rFonts w:ascii="Times New Roman" w:cs="Times New Roman" w:eastAsia="Times New Roman" w:hAnsi="Times New Roman"/>
          <w:sz w:val="18"/>
          <w:szCs w:val="18"/>
          <w:color w:val="auto"/>
        </w:rPr>
      </w:pPr>
    </w:p>
    <w:p>
      <w:pPr>
        <w:ind w:left="-60" w:right="80" w:firstLine="987"/>
        <w:spacing w:after="0" w:line="268" w:lineRule="auto"/>
        <w:tabs>
          <w:tab w:leader="none" w:pos="11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170" w:lineRule="exact"/>
        <w:rPr>
          <w:rFonts w:ascii="Times New Roman" w:cs="Times New Roman" w:eastAsia="Times New Roman" w:hAnsi="Times New Roman"/>
          <w:sz w:val="18"/>
          <w:szCs w:val="18"/>
          <w:color w:val="auto"/>
        </w:rPr>
      </w:pPr>
    </w:p>
    <w:p>
      <w:pPr>
        <w:ind w:left="-60" w:right="60" w:firstLine="987"/>
        <w:spacing w:after="0" w:line="286" w:lineRule="auto"/>
        <w:tabs>
          <w:tab w:leader="none" w:pos="118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left="-60" w:right="20" w:firstLine="987"/>
        <w:spacing w:after="0" w:line="262" w:lineRule="auto"/>
        <w:tabs>
          <w:tab w:leader="none" w:pos="118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1140" w:hanging="213"/>
        <w:spacing w:after="0"/>
        <w:tabs>
          <w:tab w:leader="none" w:pos="11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60" w:right="20" w:firstLine="987"/>
        <w:spacing w:after="0" w:line="254" w:lineRule="auto"/>
        <w:tabs>
          <w:tab w:leader="none" w:pos="114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ind w:left="-60" w:right="40" w:firstLine="987"/>
        <w:spacing w:after="0" w:line="275" w:lineRule="auto"/>
        <w:tabs>
          <w:tab w:leader="none" w:pos="1186"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shall mean a law firm or a member of a law firm with significant experience in matters of corporate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70" w:right="519" w:bottom="1440" w:gutter="0" w:footer="0" w:header="0"/>
        </w:sectPr>
      </w:pPr>
    </w:p>
    <w:bookmarkStart w:id="350" w:name="page351"/>
    <w:bookmarkEnd w:id="350"/>
    <w:p>
      <w:pPr>
        <w:ind w:right="60" w:firstLine="987"/>
        <w:spacing w:after="0" w:line="257" w:lineRule="auto"/>
        <w:tabs>
          <w:tab w:leader="none" w:pos="120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shareholders of the Company in substantially the same proportions as their ownership of shares of the Company; and (iv) any trustee or other fiduciary holding securities under an employee benefit plan of the Company or of a Subsidiary (as defined below) of the Company or of a corporation owned directly or indirectly by the shareholders of the Company in substantially the same proportions as their ownership of shares of the Company.</w:t>
      </w:r>
    </w:p>
    <w:p>
      <w:pPr>
        <w:spacing w:after="0" w:line="182" w:lineRule="exact"/>
        <w:rPr>
          <w:rFonts w:ascii="Times New Roman" w:cs="Times New Roman" w:eastAsia="Times New Roman" w:hAnsi="Times New Roman"/>
          <w:sz w:val="18"/>
          <w:szCs w:val="18"/>
          <w:color w:val="auto"/>
        </w:rPr>
      </w:pPr>
    </w:p>
    <w:p>
      <w:pPr>
        <w:ind w:firstLine="987"/>
        <w:spacing w:after="0" w:line="272" w:lineRule="auto"/>
        <w:tabs>
          <w:tab w:leader="none" w:pos="1296"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71" w:lineRule="exact"/>
        <w:rPr>
          <w:rFonts w:ascii="Times New Roman" w:cs="Times New Roman" w:eastAsia="Times New Roman" w:hAnsi="Times New Roman"/>
          <w:sz w:val="17"/>
          <w:szCs w:val="17"/>
          <w:color w:val="auto"/>
        </w:rPr>
      </w:pPr>
    </w:p>
    <w:p>
      <w:pPr>
        <w:ind w:right="20" w:firstLine="987"/>
        <w:spacing w:after="0" w:line="259" w:lineRule="auto"/>
        <w:tabs>
          <w:tab w:leader="none" w:pos="124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18"/>
          <w:szCs w:val="18"/>
          <w:b w:val="1"/>
          <w:bCs w:val="1"/>
          <w:i w:val="1"/>
          <w:iCs w:val="1"/>
          <w:color w:val="auto"/>
        </w:rPr>
        <w:t>not opposed to the best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 as referred to in this Agreement.</w:t>
      </w:r>
    </w:p>
    <w:p>
      <w:pPr>
        <w:spacing w:after="0" w:line="179" w:lineRule="exact"/>
        <w:rPr>
          <w:rFonts w:ascii="Times New Roman" w:cs="Times New Roman" w:eastAsia="Times New Roman" w:hAnsi="Times New Roman"/>
          <w:sz w:val="18"/>
          <w:szCs w:val="18"/>
          <w:color w:val="auto"/>
        </w:rPr>
      </w:pPr>
    </w:p>
    <w:p>
      <w:pPr>
        <w:ind w:right="240" w:firstLine="987"/>
        <w:spacing w:after="0" w:line="268" w:lineRule="auto"/>
        <w:tabs>
          <w:tab w:leader="none" w:pos="124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70"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harmless and exonerate Indemnitee in accordance with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8" w:lineRule="exact"/>
        <w:rPr>
          <w:rFonts w:ascii="Times New Roman" w:cs="Times New Roman" w:eastAsia="Times New Roman" w:hAnsi="Times New Roman"/>
          <w:sz w:val="18"/>
          <w:szCs w:val="18"/>
          <w:color w:val="auto"/>
        </w:rPr>
      </w:pPr>
    </w:p>
    <w:p>
      <w:pPr>
        <w:ind w:right="60" w:firstLine="436"/>
        <w:spacing w:after="0" w:line="257" w:lineRule="auto"/>
        <w:tabs>
          <w:tab w:leader="none" w:pos="6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shall indemnify, hold harmless and exonerate Indemnitee in accordance with the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Indemnitee shall be indemnified, held harmless and exonerated against all Expenses actually and reasonably incurred by him or her or on his or her behalf in connection with such Proceeding or any claim, issue or matter therein, if Indemnitee acted in good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51" w:name="page352"/>
    <w:bookmarkEnd w:id="351"/>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Cayman Court shall determine upon application that, despite the adjudication of liability but in view of all the circumstances of the case, Indemnitee is fairly and reasonably entitled to indemnification, to be held harmless or to exoneration.</w:t>
      </w:r>
    </w:p>
    <w:p>
      <w:pPr>
        <w:spacing w:after="0" w:line="179" w:lineRule="exact"/>
        <w:rPr>
          <w:sz w:val="20"/>
          <w:szCs w:val="20"/>
          <w:color w:val="auto"/>
        </w:rPr>
      </w:pPr>
    </w:p>
    <w:p>
      <w:pPr>
        <w:ind w:firstLine="436"/>
        <w:spacing w:after="0" w:line="253" w:lineRule="auto"/>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provisions of this Agreement except for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right="60" w:firstLine="436"/>
        <w:spacing w:after="0" w:line="262" w:lineRule="auto"/>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that Indemnitee is, by reason of his or her Corporate Status, a witness or deponent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176"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 Notwithstanding any limitation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except for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on account of Indemnitee’s conduct which constitutes a breach of Indemnitee’s duty of loyalty to the Company or its shareholders or is an act or omission not in good faith or which involves intentional misconduct or a knowing violation of the law.</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p>
    <w:p>
      <w:pPr>
        <w:spacing w:after="0" w:line="121"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52" w:name="page353"/>
    <w:bookmarkEnd w:id="352"/>
    <w:p>
      <w:pPr>
        <w:ind w:right="140" w:firstLine="987"/>
        <w:spacing w:after="0" w:line="282" w:lineRule="auto"/>
        <w:tabs>
          <w:tab w:leader="none" w:pos="123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right="580" w:firstLine="436"/>
        <w:spacing w:after="0" w:line="268" w:lineRule="auto"/>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any indemnification, advance expenses, hold harmless or exoneration payment in connection with any claim made against Indemnitee:</w:t>
      </w:r>
    </w:p>
    <w:p>
      <w:pPr>
        <w:spacing w:after="0" w:line="174" w:lineRule="exact"/>
        <w:rPr>
          <w:rFonts w:ascii="Times New Roman" w:cs="Times New Roman" w:eastAsia="Times New Roman" w:hAnsi="Times New Roman"/>
          <w:sz w:val="18"/>
          <w:szCs w:val="18"/>
          <w:color w:val="auto"/>
        </w:rPr>
      </w:pPr>
    </w:p>
    <w:p>
      <w:pPr>
        <w:ind w:right="520" w:firstLine="987"/>
        <w:spacing w:after="0" w:line="266"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or advancement provision or otherwise, except with respect to any excess beyond the amount actually received under any insurance policy, contract, agreement, other indemnity or advancement provision or otherwise;</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Sections 14(e)-(f)</w:t>
      </w:r>
      <w:r>
        <w:rPr>
          <w:rFonts w:ascii="Times New Roman" w:cs="Times New Roman" w:eastAsia="Times New Roman" w:hAnsi="Times New Roman"/>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p>
    <w:p>
      <w:pPr>
        <w:spacing w:after="0" w:line="121"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except for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applicable law or otherwise.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not apply to any claim made by Indemnitee for which an indemnification, hold harmless or exoneration payment is excluded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on Indemnitee without Indemnitee’s prior written consent.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53" w:name="page354"/>
    <w:bookmarkEnd w:id="353"/>
    <w:p>
      <w:pPr>
        <w:ind w:left="700" w:hanging="264"/>
        <w:spacing w:after="0"/>
        <w:tabs>
          <w:tab w:leader="none" w:pos="7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 FOR NOTIFICATION AND APPLICATION FOR INDEMNIFICATION.</w:t>
      </w:r>
    </w:p>
    <w:p>
      <w:pPr>
        <w:spacing w:after="0" w:line="121"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notify promptly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p>
    <w:p>
      <w:pPr>
        <w:spacing w:after="0" w:line="121"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97" w:lineRule="exact"/>
        <w:rPr>
          <w:rFonts w:ascii="Times New Roman" w:cs="Times New Roman" w:eastAsia="Times New Roman" w:hAnsi="Times New Roman"/>
          <w:sz w:val="18"/>
          <w:szCs w:val="18"/>
          <w:color w:val="auto"/>
        </w:rPr>
      </w:pPr>
    </w:p>
    <w:p>
      <w:pPr>
        <w:ind w:right="20" w:firstLine="987"/>
        <w:spacing w:after="0" w:line="251" w:lineRule="auto"/>
        <w:tabs>
          <w:tab w:leader="none" w:pos="124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hereof, the Independent Counsel shall be selected as provided in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hereof, no Independent Counsel shall have been selected and not objected to, either the Company or Indemnitee may petition the Cayman Court for resolution of any objection which shall have been made by the Company or Indemnitee to the other’s selection of Independent Counsel and/or for the appointment as Independent Counsel of a person selected by the Cayman Court, and the person with respect to whom all objections are so resolved or the person so appointed shall act as Independent Counsel under</w:t>
      </w:r>
    </w:p>
    <w:p>
      <w:pPr>
        <w:spacing w:after="0" w:line="10" w:lineRule="exact"/>
        <w:rPr>
          <w:rFonts w:ascii="Times New Roman" w:cs="Times New Roman" w:eastAsia="Times New Roman" w:hAnsi="Times New Roman"/>
          <w:sz w:val="18"/>
          <w:szCs w:val="18"/>
          <w:color w:val="auto"/>
        </w:rPr>
      </w:pPr>
    </w:p>
    <w:p>
      <w:pPr>
        <w:jc w:val="both"/>
        <w:ind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354" w:name="page355"/>
    <w:bookmarkEnd w:id="354"/>
    <w:p>
      <w:pPr>
        <w:ind w:left="-20" w:right="180" w:firstLine="987"/>
        <w:spacing w:after="0" w:line="266" w:lineRule="auto"/>
        <w:tabs>
          <w:tab w:leader="none" w:pos="121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7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p>
    <w:p>
      <w:pPr>
        <w:spacing w:after="0" w:line="121"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22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3"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355" w:name="page356"/>
    <w:bookmarkEnd w:id="355"/>
    <w:p>
      <w:pPr>
        <w:jc w:val="both"/>
        <w:ind w:left="4" w:right="140" w:firstLine="987"/>
        <w:spacing w:after="0" w:line="312" w:lineRule="auto"/>
        <w:tabs>
          <w:tab w:leader="none" w:pos="1240" w:val="left"/>
        </w:tabs>
        <w:numPr>
          <w:ilvl w:val="2"/>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3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p>
    <w:p>
      <w:pPr>
        <w:spacing w:after="0" w:line="121" w:lineRule="exact"/>
        <w:rPr>
          <w:rFonts w:ascii="Times New Roman" w:cs="Times New Roman" w:eastAsia="Times New Roman" w:hAnsi="Times New Roman"/>
          <w:sz w:val="18"/>
          <w:szCs w:val="18"/>
          <w:color w:val="auto"/>
        </w:rPr>
      </w:pPr>
    </w:p>
    <w:p>
      <w:pPr>
        <w:ind w:left="4" w:right="40" w:firstLine="987"/>
        <w:spacing w:after="0" w:line="272" w:lineRule="auto"/>
        <w:tabs>
          <w:tab w:leader="none" w:pos="1240" w:val="left"/>
        </w:tabs>
        <w:numPr>
          <w:ilvl w:val="2"/>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 a determination is made pursuant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of this Agreement that Indemnitee is not entitled to indemnification under this Agreement, (ii) advancement of Expenses, to the fullest extent permitted by applicable law, is not timely made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of this Agreement, (iii) no determination of entitlement to indemnification shall have been made pursuant to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of this Agreement within thirty</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34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by the Company of the request for indemnification, (iv) payment of indemnification is not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7 or the last sentence of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within ten (10) days after receipt by the Company of a written request therefor, (v) a contribution payment is not made in a timely manner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(vi) payment of indemnification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within ten (10) days after receipt by the Company of a written request therefor, Indemnitee shall be entitled to an adjudication by the Cayman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Cayman Islands law (without regard to its conflict of laws rules) shall apply to any such arbitration. The Company shall not oppose Indemnitee’s right to seek any such adjudication or award in arbitration.</w:t>
      </w:r>
    </w:p>
    <w:p>
      <w:pPr>
        <w:spacing w:after="0" w:line="192"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adverse to Indemnitee for any purpose. If Indemnitee commences a judicial proceeding or arbitration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Indemnitee shall not be required to reimburse the Company for any advances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or arbitration commenced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4" w:right="440" w:firstLine="987"/>
        <w:spacing w:after="0" w:line="258" w:lineRule="auto"/>
        <w:tabs>
          <w:tab w:leader="none" w:pos="124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now or hereafter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6567805</wp:posOffset>
            </wp:positionH>
            <wp:positionV relativeFrom="paragraph">
              <wp:posOffset>-4697730</wp:posOffset>
            </wp:positionV>
            <wp:extent cx="857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356" w:name="page357"/>
    <w:bookmarkEnd w:id="356"/>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6" w:lineRule="exact"/>
        <w:rPr>
          <w:sz w:val="20"/>
          <w:szCs w:val="20"/>
          <w:color w:val="auto"/>
        </w:rPr>
      </w:pPr>
    </w:p>
    <w:p>
      <w:pPr>
        <w:ind w:firstLine="987"/>
        <w:spacing w:after="0" w:line="261" w:lineRule="auto"/>
        <w:tabs>
          <w:tab w:leader="none" w:pos="121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New York law for amounts which the Company indemnifies, holds harmless or exonerates, or is obliged to indemnify, hold harmless or exonerate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ind w:right="120" w:firstLine="436"/>
        <w:spacing w:after="0" w:line="262" w:lineRule="auto"/>
        <w:tabs>
          <w:tab w:leader="none" w:pos="71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Indemnitee and approved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w:t>
      </w:r>
    </w:p>
    <w:p>
      <w:pPr>
        <w:spacing w:after="0" w:line="121"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any agreement, a vote of shareholders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or this Agreement, then this Agreement (without any further action by the parties hereto) shall automatically be deemed to be amended to require that the Company indemnify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ind w:right="120" w:firstLine="987"/>
        <w:spacing w:after="0" w:line="272" w:lineRule="auto"/>
        <w:tabs>
          <w:tab w:leader="none" w:pos="1246"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Law and the Charter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7"/>
          <w:szCs w:val="17"/>
          <w:b w:val="1"/>
          <w:bCs w:val="1"/>
          <w:i w:val="1"/>
          <w:iCs w:val="1"/>
          <w:color w:val="auto"/>
        </w:rPr>
        <w:t>Indemnification Arrangements</w:t>
      </w:r>
      <w:r>
        <w:rPr>
          <w:rFonts w:ascii="Times New Roman" w:cs="Times New Roman" w:eastAsia="Times New Roman" w:hAnsi="Times New Roman"/>
          <w:sz w:val="17"/>
          <w:szCs w:val="17"/>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Companies Law,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71" w:lineRule="exact"/>
        <w:rPr>
          <w:rFonts w:ascii="Times New Roman" w:cs="Times New Roman" w:eastAsia="Times New Roman" w:hAnsi="Times New Roman"/>
          <w:sz w:val="17"/>
          <w:szCs w:val="17"/>
          <w:color w:val="auto"/>
        </w:rPr>
      </w:pPr>
    </w:p>
    <w:p>
      <w:pPr>
        <w:ind w:right="20" w:firstLine="987"/>
        <w:spacing w:after="0" w:line="254" w:lineRule="auto"/>
        <w:tabs>
          <w:tab w:leader="none" w:pos="123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57" w:name="page358"/>
    <w:bookmarkEnd w:id="357"/>
    <w:p>
      <w:pPr>
        <w:ind w:left="4" w:right="140" w:firstLine="987"/>
        <w:spacing w:after="0" w:line="266" w:lineRule="auto"/>
        <w:tabs>
          <w:tab w:leader="none" w:pos="125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7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20" w:val="left"/>
        </w:tabs>
        <w:numPr>
          <w:ilvl w:val="2"/>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 has rights to indemnification, advancement of expenses and/or insurance provided by the Sponsor or its affiliates (other than the Company) as applicable, (i) the Company shall be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that its obligations to Indemnitee are primary and any obligation of the Sponsor or its respective affiliates, as applicable, to advance expenses or to provide indemnification for the same expenses or liabilities incurred by Indemnitee are secondary), (ii) the Company shall be required to advance the full amount of expenses incurred by Indemnitee and shall be liable for the full amount of all claims, liabilities, damages, losses, costs and expenses (including amounts paid in satisfaction of judgments, in compromises and settlements, as fines and penalties and legal or other costs and reasonable expenses of investigating or defending against any claim or alleged claim) to the extent legally permitted and as required by the terms of this Agreement, the Company’s organizational documents or other agreement, without regard to any rights Indemnitee may have against the Sponsor or its affiliates, as applicable, and (iii) the Company irrevocably waives, relinquishes and releases the Sponsor and its affiliates, as applicable, from any and all claims against them for contribution, subrogation or any other recovery of any kind in respect thereof. No advancement or payment by the Sponsor or its affiliates, as applicable, on behalf of Indemnitee with respect to any claim for which Indemnitee has sought indemnification from the Company shall affect the foregoing, and the Sponsor and its affiliates, as applicable, shall have a right of contribution and be subrogated to the extent of such advancement or payment to all of the rights of recovery of Indemnitee against the Company.</w:t>
      </w:r>
    </w:p>
    <w:p>
      <w:pPr>
        <w:spacing w:after="0" w:line="183" w:lineRule="exact"/>
        <w:rPr>
          <w:rFonts w:ascii="Times New Roman" w:cs="Times New Roman" w:eastAsia="Times New Roman" w:hAnsi="Times New Roman"/>
          <w:sz w:val="18"/>
          <w:szCs w:val="18"/>
          <w:color w:val="auto"/>
        </w:rPr>
      </w:pPr>
    </w:p>
    <w:p>
      <w:pPr>
        <w:ind w:left="4" w:firstLine="436"/>
        <w:spacing w:after="0" w:line="257" w:lineRule="auto"/>
        <w:tabs>
          <w:tab w:leader="none" w:pos="71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 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this Agreement) by reason of his or her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ind w:left="4" w:right="20" w:firstLine="436"/>
        <w:spacing w:after="0" w:line="272" w:lineRule="auto"/>
        <w:tabs>
          <w:tab w:leader="none" w:pos="714"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any provision or provisions of this Agreement shall be held to be invalid, illegal or unenforceable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ind w:left="4" w:right="200" w:hanging="4"/>
        <w:spacing w:after="0" w:line="253" w:lineRule="auto"/>
        <w:tabs>
          <w:tab w:leader="none" w:pos="25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358" w:name="page359"/>
    <w:bookmarkEnd w:id="358"/>
    <w:p>
      <w:pPr>
        <w:ind w:left="704" w:hanging="264"/>
        <w:spacing w:after="0"/>
        <w:tabs>
          <w:tab w:leader="none" w:pos="70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ENFORCEMENT AND BINDING EFFECT</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 w:right="40" w:firstLine="987"/>
        <w:spacing w:after="0" w:line="266" w:lineRule="auto"/>
        <w:tabs>
          <w:tab w:leader="none" w:pos="124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ind w:left="4" w:right="680" w:firstLine="987"/>
        <w:spacing w:after="0" w:line="266" w:lineRule="auto"/>
        <w:tabs>
          <w:tab w:leader="none" w:pos="125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ind w:left="4" w:right="200" w:firstLine="987"/>
        <w:spacing w:after="0" w:line="256" w:lineRule="auto"/>
        <w:tabs>
          <w:tab w:leader="none" w:pos="124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director or officer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w:t>
      </w:r>
    </w:p>
    <w:p>
      <w:pPr>
        <w:spacing w:after="0" w:line="184" w:lineRule="exact"/>
        <w:rPr>
          <w:rFonts w:ascii="Times New Roman" w:cs="Times New Roman" w:eastAsia="Times New Roman" w:hAnsi="Times New Roman"/>
          <w:sz w:val="18"/>
          <w:szCs w:val="18"/>
          <w:color w:val="auto"/>
        </w:rPr>
      </w:pPr>
    </w:p>
    <w:p>
      <w:pPr>
        <w:ind w:left="4" w:right="140" w:firstLine="436"/>
        <w:spacing w:after="0" w:line="268" w:lineRule="auto"/>
        <w:tabs>
          <w:tab w:leader="none" w:pos="71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the 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ind w:left="4" w:right="220" w:firstLine="436"/>
        <w:spacing w:after="0" w:line="263" w:lineRule="auto"/>
        <w:tabs>
          <w:tab w:leader="none" w:pos="71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duly given (i) if delivered by hand and receipted for by the party to whom said notice or other communication shall have been directed, or</w:t>
      </w:r>
    </w:p>
    <w:p>
      <w:pPr>
        <w:ind w:left="264" w:hanging="264"/>
        <w:spacing w:after="0"/>
        <w:tabs>
          <w:tab w:leader="none" w:pos="26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or registered mail with postage prepaid, on the third (3rd) business day after the date on which it is so mailed:</w:t>
      </w:r>
    </w:p>
    <w:p>
      <w:pPr>
        <w:spacing w:after="0" w:line="20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359" w:name="page360"/>
    <w:bookmarkEnd w:id="359"/>
    <w:p>
      <w:pPr>
        <w:ind w:left="1744" w:hanging="543"/>
        <w:spacing w:after="0"/>
        <w:tabs>
          <w:tab w:leader="none" w:pos="174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 to:</w:t>
      </w:r>
    </w:p>
    <w:p>
      <w:pPr>
        <w:spacing w:after="0" w:line="130"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VPC Impact Acquisition Holdings</w:t>
      </w:r>
    </w:p>
    <w:p>
      <w:pPr>
        <w:spacing w:after="0" w:line="27" w:lineRule="exact"/>
        <w:rPr>
          <w:rFonts w:ascii="Times New Roman" w:cs="Times New Roman" w:eastAsia="Times New Roman" w:hAnsi="Times New Roman"/>
          <w:sz w:val="18"/>
          <w:szCs w:val="18"/>
          <w:color w:val="auto"/>
        </w:rPr>
      </w:pPr>
    </w:p>
    <w:p>
      <w:pPr>
        <w:ind w:left="1744" w:right="64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Victory Park Capital Advisors, LLC 150 North Riverside Plaza, Suite 5200 Chicago, IL 60606</w:t>
      </w:r>
    </w:p>
    <w:p>
      <w:pPr>
        <w:spacing w:after="0" w:line="91"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30"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&amp; Case LLP</w:t>
      </w:r>
    </w:p>
    <w:p>
      <w:pPr>
        <w:spacing w:after="0" w:line="27" w:lineRule="exact"/>
        <w:rPr>
          <w:rFonts w:ascii="Times New Roman" w:cs="Times New Roman" w:eastAsia="Times New Roman" w:hAnsi="Times New Roman"/>
          <w:sz w:val="18"/>
          <w:szCs w:val="18"/>
          <w:color w:val="auto"/>
        </w:rPr>
      </w:pPr>
    </w:p>
    <w:p>
      <w:pPr>
        <w:ind w:left="1744" w:right="7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1221 Avenue of the Americas New York, NY 10020</w:t>
      </w: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Joel Rubinstein, Esq. and Elliott M. Smith, Esq.</w:t>
      </w:r>
    </w:p>
    <w:p>
      <w:pPr>
        <w:spacing w:after="0" w:line="9"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No.: (212) 354-8113</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ind w:left="4" w:right="40" w:firstLine="436"/>
        <w:spacing w:after="0" w:line="254" w:lineRule="auto"/>
        <w:tabs>
          <w:tab w:leader="none" w:pos="71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construed and enforced in accordance with, the laws of the State of New York, without regard to its conflict of laws rules. Except with respect to any arbitration commenced by Indemnitee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Cayman Court and not in any state or federal court in the United States of America or any court in any other country; (b) consent to submit to the exclusive jurisdiction of the Cayman Court for purposes of any action or proceeding arising out of or in connection with this Agreement;</w:t>
      </w:r>
    </w:p>
    <w:p>
      <w:pPr>
        <w:spacing w:after="0" w:line="3" w:lineRule="exact"/>
        <w:rPr>
          <w:rFonts w:ascii="Times New Roman" w:cs="Times New Roman" w:eastAsia="Times New Roman" w:hAnsi="Times New Roman"/>
          <w:sz w:val="18"/>
          <w:szCs w:val="18"/>
          <w:color w:val="auto"/>
        </w:rPr>
      </w:pPr>
    </w:p>
    <w:p>
      <w:pPr>
        <w:ind w:left="4" w:right="120" w:hanging="4"/>
        <w:spacing w:after="0" w:line="255" w:lineRule="auto"/>
        <w:tabs>
          <w:tab w:leader="none" w:pos="24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objection to the laying of venue of any such action or proceeding in the Cayman Court; and (d) waive, and agree not to plead or to make, any claim that any such action or proceeding brought in the Cayman Court has been brought in an improper or inconvenient forum, or is subject (in whole or in part) to a jury trial.</w:t>
      </w:r>
    </w:p>
    <w:p>
      <w:pPr>
        <w:spacing w:after="0" w:line="181" w:lineRule="exact"/>
        <w:rPr>
          <w:rFonts w:ascii="Times New Roman" w:cs="Times New Roman" w:eastAsia="Times New Roman" w:hAnsi="Times New Roman"/>
          <w:sz w:val="18"/>
          <w:szCs w:val="18"/>
          <w:color w:val="auto"/>
        </w:rPr>
      </w:pPr>
    </w:p>
    <w:p>
      <w:pPr>
        <w:ind w:left="4" w:right="180" w:firstLine="436"/>
        <w:spacing w:after="0" w:line="268" w:lineRule="auto"/>
        <w:tabs>
          <w:tab w:leader="none" w:pos="71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ind w:left="4" w:right="80" w:firstLine="436"/>
        <w:spacing w:after="0" w:line="268" w:lineRule="auto"/>
        <w:tabs>
          <w:tab w:leader="none" w:pos="71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headings of the 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ind w:left="4" w:firstLine="436"/>
        <w:spacing w:after="0" w:line="259" w:lineRule="auto"/>
        <w:tabs>
          <w:tab w:leader="none" w:pos="71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ind w:left="4" w:right="400" w:firstLine="436"/>
        <w:spacing w:after="0" w:line="268" w:lineRule="auto"/>
        <w:tabs>
          <w:tab w:leader="none" w:pos="71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4" w:right="20" w:firstLine="436"/>
        <w:spacing w:after="0" w:line="291" w:lineRule="auto"/>
        <w:tabs>
          <w:tab w:leader="none" w:pos="714"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WAIVER OF CLAIMS TO TRUST ACCOUNT</w:t>
      </w:r>
      <w:r>
        <w:rPr>
          <w:rFonts w:ascii="Times New Roman" w:cs="Times New Roman" w:eastAsia="Times New Roman" w:hAnsi="Times New Roman"/>
          <w:sz w:val="17"/>
          <w:szCs w:val="17"/>
          <w:color w:val="auto"/>
        </w:rPr>
        <w:t>. Notwithstanding anything contained herein to the contrary, Indemnitee hereby agrees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 does not have any right, title, interest or claim of any kind (each, a “</w:t>
      </w:r>
      <w:r>
        <w:rPr>
          <w:rFonts w:ascii="Times New Roman" w:cs="Times New Roman" w:eastAsia="Times New Roman" w:hAnsi="Times New Roman"/>
          <w:sz w:val="17"/>
          <w:szCs w:val="17"/>
          <w:b w:val="1"/>
          <w:bCs w:val="1"/>
          <w:i w:val="1"/>
          <w:iCs w:val="1"/>
          <w:color w:val="auto"/>
        </w:rPr>
        <w:t>Claim</w:t>
      </w:r>
      <w:r>
        <w:rPr>
          <w:rFonts w:ascii="Times New Roman" w:cs="Times New Roman" w:eastAsia="Times New Roman" w:hAnsi="Times New Roman"/>
          <w:sz w:val="17"/>
          <w:szCs w:val="17"/>
          <w:color w:val="auto"/>
        </w:rPr>
        <w:t>”) in or to any monies in the trust account established in connection with the Company’s initial public offering for the benefit of the Company and holders of shares issued in such offering (the “</w:t>
      </w:r>
      <w:r>
        <w:rPr>
          <w:rFonts w:ascii="Times New Roman" w:cs="Times New Roman" w:eastAsia="Times New Roman" w:hAnsi="Times New Roman"/>
          <w:sz w:val="17"/>
          <w:szCs w:val="17"/>
          <w:b w:val="1"/>
          <w:bCs w:val="1"/>
          <w:i w:val="1"/>
          <w:iCs w:val="1"/>
          <w:color w:val="auto"/>
        </w:rPr>
        <w:t>Trust Account</w:t>
      </w:r>
      <w:r>
        <w:rPr>
          <w:rFonts w:ascii="Times New Roman" w:cs="Times New Roman" w:eastAsia="Times New Roman" w:hAnsi="Times New Roman"/>
          <w:sz w:val="17"/>
          <w:szCs w:val="17"/>
          <w:color w:val="auto"/>
        </w:rPr>
        <w:t>”), and hereby waives</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60" w:name="page361"/>
    <w:bookmarkEnd w:id="36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Claim it may have in the future as a result of, or arising out of, any services provided to the Company and will not seek recourse against such Trust Account for any reason whatsoever. Accordingly, Indemnitee acknowledges and agrees that any indemnification provided hereto will only be able to be satisfied by the Company if (i) the Company has sufficient funds outside of the Trust Account to satisfy its obligations hereunder or (ii) the Company consummates an initial business combination.</w:t>
      </w:r>
    </w:p>
    <w:p>
      <w:pPr>
        <w:spacing w:after="0" w:line="176" w:lineRule="exact"/>
        <w:rPr>
          <w:sz w:val="20"/>
          <w:szCs w:val="20"/>
          <w:color w:val="auto"/>
        </w:rPr>
      </w:pPr>
    </w:p>
    <w:p>
      <w:pPr>
        <w:ind w:firstLine="436"/>
        <w:spacing w:after="0" w:line="256" w:lineRule="auto"/>
        <w:tabs>
          <w:tab w:leader="none" w:pos="71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MAINTENANCE OF INSURANCE</w:t>
      </w:r>
      <w:r>
        <w:rPr>
          <w:rFonts w:ascii="Times New Roman" w:cs="Times New Roman" w:eastAsia="Times New Roman" w:hAnsi="Times New Roman"/>
          <w:sz w:val="18"/>
          <w:szCs w:val="18"/>
          <w:color w:val="auto"/>
        </w:rPr>
        <w:t>. The Company shall use commercially reasonable efforts to obtain and maintain in effect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00" w:lineRule="exact"/>
        <w:rPr>
          <w:sz w:val="20"/>
          <w:szCs w:val="20"/>
          <w:color w:val="auto"/>
        </w:rPr>
      </w:pP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Address:</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 to Indemnity Agreement]</w:t>
      </w:r>
    </w:p>
    <w:p>
      <w:pPr>
        <w:sectPr>
          <w:pgSz w:w="11900" w:h="16838" w:orient="portrait"/>
          <w:cols w:equalWidth="0" w:num="1">
            <w:col w:w="10180"/>
          </w:cols>
          <w:pgMar w:left="880" w:top="266" w:right="8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9"/>
          <w:szCs w:val="29"/>
          <w:b w:val="1"/>
          <w:bCs w:val="1"/>
          <w:color w:val="auto"/>
        </w:rPr>
        <w:t>Promissory Note</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Principal Amount: $300,000</w:t>
      </w:r>
    </w:p>
    <w:p>
      <w:pPr>
        <w:spacing w:after="0" w:line="19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between</w:t>
      </w:r>
    </w:p>
    <w:p>
      <w:pPr>
        <w:spacing w:after="0" w:line="21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VPC Impact Acquisition Holdings</w:t>
      </w:r>
    </w:p>
    <w:p>
      <w:pPr>
        <w:spacing w:after="0" w:line="2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Maker</w:t>
      </w:r>
    </w:p>
    <w:p>
      <w:pPr>
        <w:spacing w:after="0" w:line="20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1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1"/>
          <w:szCs w:val="21"/>
          <w:b w:val="1"/>
          <w:bCs w:val="1"/>
          <w:color w:val="auto"/>
        </w:rPr>
        <w:t>VPC Impact Acquisition Holdings Sponsor, LLC</w:t>
      </w:r>
    </w:p>
    <w:p>
      <w:pPr>
        <w:spacing w:after="0" w:line="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as Payee</w:t>
      </w:r>
    </w:p>
    <w:p>
      <w:pPr>
        <w:spacing w:after="0" w:line="200" w:lineRule="exact"/>
        <w:rPr>
          <w:sz w:val="20"/>
          <w:szCs w:val="20"/>
          <w:color w:val="auto"/>
        </w:rPr>
      </w:pP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New York, New York 10020-1095</w:t>
      </w:r>
    </w:p>
    <w:p>
      <w:pPr>
        <w:sectPr>
          <w:pgSz w:w="11900" w:h="16838" w:orient="portrait"/>
          <w:cols w:equalWidth="0" w:num="1">
            <w:col w:w="10020"/>
          </w:cols>
          <w:pgMar w:left="1440" w:top="117" w:right="439" w:bottom="1440" w:gutter="0" w:footer="0" w:header="0"/>
        </w:sectPr>
      </w:pPr>
    </w:p>
    <w:bookmarkStart w:id="363" w:name="page364"/>
    <w:bookmarkEnd w:id="363"/>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16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Payments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Unconditional Liability</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Waiver</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Waiver</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64" w:name="page365"/>
    <w:bookmarkEnd w:id="3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PROMISSORY NOTE</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PROMISSORY NOTE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HAS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VPC Impact Acquisition Holdings, a Cayman Islands exempted company (the “</w:t>
      </w:r>
      <w:r>
        <w:rPr>
          <w:rFonts w:ascii="Times New Roman" w:cs="Times New Roman" w:eastAsia="Times New Roman" w:hAnsi="Times New Roman"/>
          <w:sz w:val="18"/>
          <w:szCs w:val="18"/>
          <w:u w:val="single" w:color="auto"/>
          <w:color w:val="auto"/>
        </w:rPr>
        <w:t>Maker</w:t>
      </w:r>
      <w:r>
        <w:rPr>
          <w:rFonts w:ascii="Times New Roman" w:cs="Times New Roman" w:eastAsia="Times New Roman" w:hAnsi="Times New Roman"/>
          <w:sz w:val="18"/>
          <w:szCs w:val="18"/>
          <w:color w:val="auto"/>
        </w:rPr>
        <w:t>”), promises to pay to the order of VPC Impact Acquisition Holdings Sponsor, LLC, a Delaware limited liability company, or its registered assigns or successors in interest (the “</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or order, the principal sum of Three Hundred Thousand Dollars ($300,000) or such lesser amount as shall have been advanced by Payee to Maker and shall remain unpaid under this Note on the Maturity Date (as defined below)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Principal</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entire unpaid principal balance of this Note shall be payable on the earlier of: (i) December 31, 2020 or (ii) the date on which Maker consummates an initial public offering of its securities (such earlier date,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 Interest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interest shall accrue on the unpaid principal balance of this Note.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 Application of Payments</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All payments shall be applied first to payment in full of any costs incurred in the collection of any sum due under this Note, including (without limitation) reasonable attorney’s fees, then to the payment in full of any late charges and finally to the reduction of the unpaid principal balance of this Note.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Events of Default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82"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Maker to pay the principal amount due pursuant to this Note within five (5) business days of the date specified above.</w:t>
      </w:r>
    </w:p>
    <w:p>
      <w:pPr>
        <w:spacing w:after="0" w:line="161"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65" w:name="page366"/>
    <w:bookmarkEnd w:id="365"/>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 Remedies</w:t>
      </w:r>
    </w:p>
    <w:p>
      <w:pPr>
        <w:spacing w:after="0" w:line="121" w:lineRule="exact"/>
        <w:rPr>
          <w:sz w:val="20"/>
          <w:szCs w:val="20"/>
          <w:color w:val="auto"/>
        </w:rPr>
      </w:pPr>
    </w:p>
    <w:p>
      <w:pPr>
        <w:ind w:left="4" w:right="140" w:firstLine="987"/>
        <w:spacing w:after="0" w:line="261" w:lineRule="auto"/>
        <w:tabs>
          <w:tab w:leader="none" w:pos="12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 Event of Default specified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 Event of Default specified in </w:t>
      </w:r>
      <w:r>
        <w:rPr>
          <w:rFonts w:ascii="Times New Roman" w:cs="Times New Roman" w:eastAsia="Times New Roman" w:hAnsi="Times New Roman"/>
          <w:sz w:val="18"/>
          <w:szCs w:val="18"/>
          <w:u w:val="single" w:color="auto"/>
          <w:color w:val="auto"/>
        </w:rPr>
        <w:t>Sections 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4(c)</w:t>
      </w:r>
      <w:r>
        <w:rPr>
          <w:rFonts w:ascii="Times New Roman" w:cs="Times New Roman" w:eastAsia="Times New Roman" w:hAnsi="Times New Roman"/>
          <w:sz w:val="18"/>
          <w:szCs w:val="18"/>
          <w:color w:val="auto"/>
        </w:rPr>
        <w:t>, the unpaid principal balance of this Note, and all other sums payable with regard to this Note, shall automatically and immediately become due and payable, in all cases without any action on the part of Payee.</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 Waivers</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Maker and all endorsers and guarantors of, and sureties for, this Note waive presentment for payment, demand, notice of dishonor, 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2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7. Unconditional Liability</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Maker hereby waives all notices in connection with the delivery, acceptance, performance, 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8. Notices</w:t>
      </w:r>
    </w:p>
    <w:p>
      <w:pPr>
        <w:spacing w:after="0" w:line="121"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All notices, statements or other documents which are required or contemplated by this Note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w:t>
      </w:r>
    </w:p>
    <w:p>
      <w:pPr>
        <w:spacing w:after="0" w:line="1" w:lineRule="exact"/>
        <w:rPr>
          <w:sz w:val="20"/>
          <w:szCs w:val="20"/>
          <w:color w:val="auto"/>
        </w:rPr>
      </w:pPr>
    </w:p>
    <w:p>
      <w:pPr>
        <w:ind w:left="4" w:right="60" w:hanging="4"/>
        <w:spacing w:after="0" w:line="253" w:lineRule="auto"/>
        <w:tabs>
          <w:tab w:leader="none" w:pos="31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366" w:name="page367"/>
    <w:bookmarkEnd w:id="36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 Construction</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NOTE SHALL BE CONSTRUED AND ENFORCED IN ACCORDANCE WITH THE LAWS OF NEW YORK, WITHOUT REGARD TO CONFLICT OF LAW PROVISIONS THEREOF.</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 Severability</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 Trust Waiver</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the Payee hereby waives any and all right, title, interest or claim of any kind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in or to any distribution of or from the trust account to be established in which the proceeds of the IPO conducted by the Maker (including the deferred underwriters discounts and commissions) and the proceeds of the sale of the warrants issued in a private placement to occur prior to the consummation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 Amendment;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amendment hereto or waiver of any provision hereof may be made with, and only with, the written consent of the Maker and the Payee.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 Assignment</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No assignment or transfer of this Note or any rights or obligations hereunder may be made by any party hereto (by operation of law or otherwise) without the prior written consent of the other party hereto and any attempted assignment without the required consent shall be void.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66" w:right="539" w:bottom="1440" w:gutter="0" w:footer="0" w:header="0"/>
        </w:sectPr>
      </w:pPr>
    </w:p>
    <w:bookmarkStart w:id="367" w:name="page368"/>
    <w:bookmarkEnd w:id="36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Maker, intending to be legally bound hereby, has caused this Note to be duly executed by the undersigned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and year first above 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VPC IMPACT ACQUISITION HOLDINGS,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exempted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10820"/>
          </w:cols>
          <w:pgMar w:left="440" w:top="266" w:right="6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August 3, 2020</w:t>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43"/>
          <w:szCs w:val="43"/>
          <w:b w:val="1"/>
          <w:bCs w:val="1"/>
          <w:color w:val="auto"/>
        </w:rPr>
        <w:t>Securities Subscription Agreement</w:t>
      </w:r>
    </w:p>
    <w:p>
      <w:pPr>
        <w:spacing w:after="0" w:line="200" w:lineRule="exact"/>
        <w:rPr>
          <w:sz w:val="20"/>
          <w:szCs w:val="20"/>
          <w:color w:val="auto"/>
        </w:rPr>
      </w:pPr>
    </w:p>
    <w:p>
      <w:pPr>
        <w:spacing w:after="0" w:line="2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21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5"/>
          <w:szCs w:val="25"/>
          <w:b w:val="1"/>
          <w:bCs w:val="1"/>
          <w:color w:val="auto"/>
        </w:rPr>
        <w:t>VPC Impact Acquisition Holdings</w:t>
      </w:r>
    </w:p>
    <w:p>
      <w:pPr>
        <w:spacing w:after="0" w:line="4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Company</w:t>
      </w:r>
    </w:p>
    <w:p>
      <w:pPr>
        <w:spacing w:after="0" w:line="20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5"/>
          <w:szCs w:val="25"/>
          <w:b w:val="1"/>
          <w:bCs w:val="1"/>
          <w:color w:val="auto"/>
        </w:rPr>
        <w:t>VPC Impact Acquisition Holdings Sponsor, LLC</w:t>
      </w:r>
    </w:p>
    <w:p>
      <w:pPr>
        <w:spacing w:after="0" w:line="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as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New York, New York 10020-1095</w:t>
      </w:r>
    </w:p>
    <w:p>
      <w:pPr>
        <w:sectPr>
          <w:pgSz w:w="11900" w:h="16838" w:orient="portrait"/>
          <w:cols w:equalWidth="0" w:num="1">
            <w:col w:w="10020"/>
          </w:cols>
          <w:pgMar w:left="1440" w:top="117" w:right="43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71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20"/>
                <w:szCs w:val="20"/>
                <w:color w:val="auto"/>
              </w:rPr>
            </w:pPr>
          </w:p>
        </w:tc>
      </w:tr>
      <w:tr>
        <w:trPr>
          <w:trHeight w:val="459"/>
        </w:trPr>
        <w:tc>
          <w:tcPr>
            <w:tcW w:w="11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0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Purchase of Securities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Shares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Warranties and Agreements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Subscriber’s Representations, Warranties and Agreements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Company’s Representations, Warranties and Agreements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Forfeiture of Shares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Partial or No Exercise of the Over-allotment Option</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 of Rights as Shareholder</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 Certificates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Waiver of Redemption Rights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Restrictions on Transfer</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Law Restrictions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Restrictive Legends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Shares or Substituted Securities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Other Agreements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Modifications and Amendments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Waivers and Consents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Waiver of Rights, Powers and Remedies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Broker or Finder</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Headings and Captions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Mutual Drafting</w:t>
            </w:r>
          </w:p>
        </w:tc>
        <w:tc>
          <w:tcPr>
            <w:tcW w:w="254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80"/>
          </w:cols>
          <w:pgMar w:left="440" w:top="266" w:right="579" w:bottom="1440" w:gutter="0" w:footer="0" w:header="0"/>
        </w:sectPr>
      </w:pPr>
    </w:p>
    <w:bookmarkStart w:id="370" w:name="page371"/>
    <w:bookmarkEnd w:id="3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SUBSCRIPTION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VPC Impact Acquisition Holdings,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is pleased to accept the offer made by VPC Impact Acquisition Holdings Sponsor, LLC, a Delaware limited liability company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to purchase 5,750,000 Class B ordinary shares of the Company, $0.0001 par value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up to 750,000 of which are subject to forfeiture by you to the extent that the underwriters of the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the Company’s units, each comprised of one Class A ordinary share and one, or a portion of one, warrant to purchase one Class A ordinary share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do not fully exercise their option to purchase additional Units to cover over-allotments, if any (the “</w:t>
      </w: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 The terms of the sale by the Company of the Shares to Subscriber, and the Company and Subscriber’s agreements regarding the Shares, are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SECURITIES</w:t>
      </w:r>
    </w:p>
    <w:p>
      <w:pPr>
        <w:spacing w:after="0" w:line="225"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Purchase of Shares</w:t>
      </w:r>
      <w:r>
        <w:rPr>
          <w:rFonts w:ascii="Times New Roman" w:cs="Times New Roman" w:eastAsia="Times New Roman" w:hAnsi="Times New Roman"/>
          <w:sz w:val="18"/>
          <w:szCs w:val="18"/>
          <w:color w:val="auto"/>
        </w:rPr>
        <w:t>. For the sum of $25,000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which the Company acknowledges receiving in cash,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hereby issues the Shares to Subscriber, and Subscriber hereby purchases the Shares from the Company, on the terms and subject to the conditions, including regarding forfeiture, set forth in 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Concurrently with Subscriber’s execution of this Agreement, the Company shall, at its option, deliver to Subscriber a certificate registered in Subscriber’s name representing the shares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effect such delivery in book-entry form.</w:t>
      </w:r>
    </w:p>
    <w:p>
      <w:pPr>
        <w:spacing w:after="0" w:line="179"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1.02 Surrender of Subscriber Share</w:t>
      </w:r>
      <w:r>
        <w:rPr>
          <w:rFonts w:ascii="Times New Roman" w:cs="Times New Roman" w:eastAsia="Times New Roman" w:hAnsi="Times New Roman"/>
          <w:sz w:val="18"/>
          <w:szCs w:val="18"/>
          <w:color w:val="auto"/>
        </w:rPr>
        <w:t>. On the issuance of the Shares, the Subscriber hereby surrenders for no consideration the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 ordinary share, $0.0001 par value that the Subscriber holds in the Company.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WARRANTIES AND AGREEMENTS</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Subscriber’s Representations, Warranties and Agreements</w:t>
      </w:r>
      <w:r>
        <w:rPr>
          <w:rFonts w:ascii="Times New Roman" w:cs="Times New Roman" w:eastAsia="Times New Roman" w:hAnsi="Times New Roman"/>
          <w:sz w:val="18"/>
          <w:szCs w:val="18"/>
          <w:color w:val="auto"/>
        </w:rPr>
        <w:t>. To induce the Company to issue the Shares to Subscriber, Subscriber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represents and warrants to the Company and agrees with the Company as follows:</w:t>
      </w:r>
    </w:p>
    <w:p>
      <w:pPr>
        <w:spacing w:after="0" w:line="51" w:lineRule="exact"/>
        <w:rPr>
          <w:sz w:val="20"/>
          <w:szCs w:val="20"/>
          <w:color w:val="auto"/>
        </w:rPr>
      </w:pPr>
    </w:p>
    <w:p>
      <w:pPr>
        <w:ind w:left="440" w:right="60" w:firstLine="419"/>
        <w:spacing w:after="0" w:line="256" w:lineRule="auto"/>
        <w:tabs>
          <w:tab w:leader="none" w:pos="110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Subscriber is a limited liability company, duly organized, validly existing and in good standing under the laws of the State of Delaware, and possesses all requisite power and authority necessary to carry out the transactions contemplated by this Agreement.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79"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1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the consummation by Subscriber of the transactions contemplated hereby do not violate, conflict with or constitute a default under (i) the formation and governing documents of Subscriber, (ii) any agreement, indenture or instrument to which Subscriber is a party or (iii) any law, statute, rule, regulation, order, judgment or decree to which Subscriber is subject.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371" w:name="page372"/>
    <w:bookmarkEnd w:id="371"/>
    <w:p>
      <w:pPr>
        <w:ind w:right="520" w:firstLine="419"/>
        <w:spacing w:after="0" w:line="282" w:lineRule="auto"/>
        <w:tabs>
          <w:tab w:leader="none" w:pos="66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Governmental Consents</w:t>
      </w:r>
      <w:r>
        <w:rPr>
          <w:rFonts w:ascii="Times New Roman" w:cs="Times New Roman" w:eastAsia="Times New Roman" w:hAnsi="Times New Roman"/>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53" w:lineRule="exact"/>
        <w:rPr>
          <w:rFonts w:ascii="Times New Roman" w:cs="Times New Roman" w:eastAsia="Times New Roman" w:hAnsi="Times New Roman"/>
          <w:sz w:val="18"/>
          <w:szCs w:val="18"/>
          <w:color w:val="auto"/>
        </w:rPr>
      </w:pPr>
    </w:p>
    <w:p>
      <w:pPr>
        <w:ind w:right="140" w:firstLine="419"/>
        <w:spacing w:after="0" w:line="255"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Financial Capability and Suitability</w:t>
      </w:r>
      <w:r>
        <w:rPr>
          <w:rFonts w:ascii="Times New Roman" w:cs="Times New Roman" w:eastAsia="Times New Roman" w:hAnsi="Times New Roman"/>
          <w:sz w:val="18"/>
          <w:szCs w:val="18"/>
          <w:color w:val="auto"/>
        </w:rPr>
        <w:t>. Subscriber is sophisticated in financial matters and is able to evaluate the risks and benefits of the investment in the Shares. Subscriber acknowledges that the Shares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therefore cannot be sold unless subsequently registered under the Securities Act or an exemption from such registration is available. Subscriber understands that it must bear the economic risk of this investment until the Shares are sold pursuant to: (i) an effective registration statement under the Securities Act or (ii) an exemption from registration available with respect to such sale. Subscriber is able to bear the economic risk of an investment in the Shares for an indefinite period of time and to afford a complete loss of Subscriber’s investment in the Shares.</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6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 Recommendation or Approval</w:t>
      </w:r>
      <w:r>
        <w:rPr>
          <w:rFonts w:ascii="Times New Roman" w:cs="Times New Roman" w:eastAsia="Times New Roman" w:hAnsi="Times New Roman"/>
          <w:sz w:val="18"/>
          <w:szCs w:val="18"/>
          <w:color w:val="auto"/>
        </w:rPr>
        <w:t>. Subscriber understands that no federal or state agency has passed upon or made any recommendation or endorsement of the offering of the Shares.</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64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 Independent Investigation</w:t>
      </w:r>
      <w:r>
        <w:rPr>
          <w:rFonts w:ascii="Times New Roman" w:cs="Times New Roman" w:eastAsia="Times New Roman" w:hAnsi="Times New Roman"/>
          <w:sz w:val="18"/>
          <w:szCs w:val="18"/>
          <w:color w:val="auto"/>
        </w:rPr>
        <w:t>. Prior to the execution of this Agreement, Subscriber has had the opportunity to ask questions of and receive answers from representatives of the Company concerning an investment in the Company, as well as the financial condition,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Subscriber understands that no person has been authorized to make any representations other than as set forth in this Agreement and Subscriber has not relied on any other written or oral representations relating to the financial condition, business and prospects of the Company in making its investment decision.</w:t>
      </w:r>
    </w:p>
    <w:p>
      <w:pPr>
        <w:spacing w:after="0" w:line="80"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Subscriber represents that it is an “accredited investor” as such term is defined in Rule 501(a) of Regulation D under the Securities Act and acknowledges the sale contemplated hereby is being made in reliance on the private placement exemption in Section 4(a)(2) of the Securities Act and/or said Regulation D and similar exemptions under state law. Subscriber is purchasing the Shares solely for investment purposes, for Subscriber’s own account and not for the account or benefit of any other person, and not with a view towards the distribution or dissemination thereof. Subscriber did not decide to enter into this Agreement as a result of any general solicitation or general advertising within the meaning of Rule 502 under the Securities Act.</w:t>
      </w:r>
    </w:p>
    <w:p>
      <w:pPr>
        <w:spacing w:after="0" w:line="79"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Shell Company</w:t>
      </w:r>
      <w:r>
        <w:rPr>
          <w:rFonts w:ascii="Times New Roman" w:cs="Times New Roman" w:eastAsia="Times New Roman" w:hAnsi="Times New Roman"/>
          <w:sz w:val="18"/>
          <w:szCs w:val="18"/>
          <w:color w:val="auto"/>
        </w:rPr>
        <w:t>.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or book-entries representing the Shares will contain a legend or notation in respect of such restrictions. If, in the future, Subscriber decides to offer, resell, pledge or otherwise transfer the Shares, such Shares may be offered, resold, pledged or otherwise transferred only pursuant to: (i) an effective registration statement under the Securities Act or (ii) an exemption from registration available with</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372" w:name="page373"/>
    <w:bookmarkEnd w:id="372"/>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such sale. Subscriber agrees that if any transfer of its Shares or any interest therein is proposed to be made, as a condition precedent to any such transfer, Subscriber may be required to deliver to the Company an opinion of counsel satisfactory to the Company. Absent registration or available exemption, Subscriber agrees not to resell the Shares. Subscriber further acknowledges that because the Company is a shell company, Rule 144 may not be available to Subscriber for the resale of the Shares until one year following consummation of the initial business combination of the Company, despite the release or waiver of any contractual transfer restrictions.</w:t>
      </w:r>
    </w:p>
    <w:p>
      <w:pPr>
        <w:spacing w:after="0" w:line="179"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Company’s Representations, Warranties and Agreements</w:t>
      </w:r>
      <w:r>
        <w:rPr>
          <w:rFonts w:ascii="Times New Roman" w:cs="Times New Roman" w:eastAsia="Times New Roman" w:hAnsi="Times New Roman"/>
          <w:sz w:val="18"/>
          <w:szCs w:val="18"/>
          <w:color w:val="auto"/>
        </w:rPr>
        <w:t>. To induce Subscriber to purchase the Shares,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and warrants to Subscriber and agrees with Subscriber as follows:</w:t>
      </w:r>
    </w:p>
    <w:p>
      <w:pPr>
        <w:spacing w:after="0" w:line="51" w:lineRule="exact"/>
        <w:rPr>
          <w:sz w:val="20"/>
          <w:szCs w:val="20"/>
          <w:color w:val="auto"/>
        </w:rPr>
      </w:pPr>
    </w:p>
    <w:p>
      <w:pPr>
        <w:ind w:left="440" w:right="60" w:firstLine="419"/>
        <w:spacing w:after="0" w:line="277" w:lineRule="auto"/>
        <w:tabs>
          <w:tab w:leader="none" w:pos="1107"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and Authority</w:t>
      </w:r>
      <w:r>
        <w:rPr>
          <w:rFonts w:ascii="Times New Roman" w:cs="Times New Roman" w:eastAsia="Times New Roman" w:hAnsi="Times New Roman"/>
          <w:sz w:val="17"/>
          <w:szCs w:val="17"/>
          <w:color w:val="auto"/>
        </w:rPr>
        <w:t>. The Company is a corporation, duly incorporated, validly existing and in good standing under the laws of the Cayman Islands, and possesses all requisite power and authority necessary to carry out the transactions contemplated by this Agreement. This Agreement is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59" w:lineRule="exact"/>
        <w:rPr>
          <w:rFonts w:ascii="Times New Roman" w:cs="Times New Roman" w:eastAsia="Times New Roman" w:hAnsi="Times New Roman"/>
          <w:sz w:val="17"/>
          <w:szCs w:val="17"/>
          <w:color w:val="auto"/>
        </w:rPr>
      </w:pPr>
    </w:p>
    <w:p>
      <w:pPr>
        <w:ind w:left="440" w:right="20" w:firstLine="419"/>
        <w:spacing w:after="0" w:line="261"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and the consummation by the Company of the transactions contemplated hereby do not violate, conflict with or constitute a default under (i) the formation and governing documents of the Company, (ii) any agreement, indenture or instrument to which the Company is a party or (iii) any law, statute, rule, regulation, order, judgment or decree to which the Company is subject.</w:t>
      </w:r>
    </w:p>
    <w:p>
      <w:pPr>
        <w:spacing w:after="0" w:line="71"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Consents</w:t>
      </w:r>
      <w:r>
        <w:rPr>
          <w:rFonts w:ascii="Times New Roman" w:cs="Times New Roman" w:eastAsia="Times New Roman" w:hAnsi="Times New Roman"/>
          <w:sz w:val="18"/>
          <w:szCs w:val="18"/>
          <w:color w:val="auto"/>
        </w:rPr>
        <w:t>. No governmental, administrative or other third party consents or approvals are required, necessary or appropriate on the part of the Company in connection with the transactions contemplated by this Agreement.</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Securities</w:t>
      </w:r>
      <w:r>
        <w:rPr>
          <w:rFonts w:ascii="Times New Roman" w:cs="Times New Roman" w:eastAsia="Times New Roman" w:hAnsi="Times New Roman"/>
          <w:sz w:val="18"/>
          <w:szCs w:val="18"/>
          <w:color w:val="auto"/>
        </w:rPr>
        <w:t>. Upon issuance in accordance with, and payment pursuant to, the terms hereof, and registration in the Company’s register of members, the Shares will be duly and validly issued, fully paid and nonassessable. Upon issuance in accordance with, and payment pursuant to, the terms hereof, and registration in the Company’s register of members, Subscriber will have or receive good title to the Shares, free and clear of all liens, claims and encumbrances of any kind, other than (a) transfer restrictions hereunder and other agreements to which the Shares may become subject, (b) transfer restrictions under federal and state securities laws, and (c) liens, claims or encumbrances imposed due to the actions of Subscriber.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Partial or No Exercise of the Over-allotment Option</w:t>
      </w:r>
      <w:r>
        <w:rPr>
          <w:rFonts w:ascii="Times New Roman" w:cs="Times New Roman" w:eastAsia="Times New Roman" w:hAnsi="Times New Roman"/>
          <w:sz w:val="18"/>
          <w:szCs w:val="18"/>
          <w:color w:val="auto"/>
        </w:rPr>
        <w:t>. In the event the Over-allotment Option is not exercised in full, Subscriber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acknowledges and agrees that it (or, if applicable, it and/or any transferees of Shares) shall forfeit any and all rights to such number of Shares (up to an aggregate of 750,000 Shares (as such amount may be adjusted for share sub-divisions, share capitalizations, reorganizations, recapitalizations and the like) and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based upon the percentage of the Over-allotment Option exercised) such that immediately following such forfeiture, Subscriber (and all other initial shareholders of the Company prior to the IPO, if any) will own an aggregate number of Shares equal to 20% of the issued and outstanding Shares immediately following the IPO.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73" w:name="page374"/>
    <w:bookmarkEnd w:id="373"/>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3.02 </w:t>
      </w:r>
      <w:r>
        <w:rPr>
          <w:rFonts w:ascii="Times New Roman" w:cs="Times New Roman" w:eastAsia="Times New Roman" w:hAnsi="Times New Roman"/>
          <w:sz w:val="18"/>
          <w:szCs w:val="18"/>
          <w:b w:val="1"/>
          <w:bCs w:val="1"/>
          <w:u w:val="single" w:color="auto"/>
          <w:color w:val="auto"/>
        </w:rPr>
        <w:t>Termination of Rights as Shareholder</w:t>
      </w:r>
      <w:r>
        <w:rPr>
          <w:rFonts w:ascii="Times New Roman" w:cs="Times New Roman" w:eastAsia="Times New Roman" w:hAnsi="Times New Roman"/>
          <w:sz w:val="18"/>
          <w:szCs w:val="18"/>
          <w:color w:val="auto"/>
        </w:rPr>
        <w:t>. If any of the Shares are forfeited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after such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Subscriber (or its successor in interest), shall no longer have any rights as a holder of such forfeited Shares, and the Company shall take such action as is appropriate to cancel such forfeited Shares.</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Share Certificates</w:t>
      </w:r>
      <w:r>
        <w:rPr>
          <w:rFonts w:ascii="Times New Roman" w:cs="Times New Roman" w:eastAsia="Times New Roman" w:hAnsi="Times New Roman"/>
          <w:sz w:val="18"/>
          <w:szCs w:val="18"/>
          <w:color w:val="auto"/>
        </w:rPr>
        <w:t>. In the event an adjustment to the Original Certificates, if any, is required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Subscriber shall return such Original Certificates to the Company or its designated agent as soon as practicable upon its receipt of notice from the Company advising Subscriber of such adjustment, following which a new certificate (the “</w:t>
      </w:r>
      <w:r>
        <w:rPr>
          <w:rFonts w:ascii="Times New Roman" w:cs="Times New Roman" w:eastAsia="Times New Roman" w:hAnsi="Times New Roman"/>
          <w:sz w:val="18"/>
          <w:szCs w:val="18"/>
          <w:u w:val="single" w:color="auto"/>
          <w:color w:val="auto"/>
        </w:rPr>
        <w:t>New Certificate</w:t>
      </w:r>
      <w:r>
        <w:rPr>
          <w:rFonts w:ascii="Times New Roman" w:cs="Times New Roman" w:eastAsia="Times New Roman" w:hAnsi="Times New Roman"/>
          <w:sz w:val="18"/>
          <w:szCs w:val="18"/>
          <w:color w:val="auto"/>
        </w:rPr>
        <w:t>”), if any, shall be issued in such amount representing the adjusted number of Shares held by Subscriber. The New Certificate, if any, shall be returned to Subscriber as soon as practicable. Any such adjustment for any uncertificated securities held by Subscriber shall be made in book-entry form.</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WAIVER OF REDEMPTION RIGHTS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Subscriber hereby waives any and all rights to redeem the Shares for a portion of the amounts held in the trust account into which substantially all of the proceeds of the IPO will be deposited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in the event of the Company’s failure to timely complete an initial business combination, an extension of the time period to complete an initial business combination or upon the consummation of an initial business combination. For purposes of clarity, in the event Subscriber purchases Class A ordinary shares included in the Units issued in the IPO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either in the IPO or in the aftermarket, any Public Shares so purchased shall be eligible to be redeemed for a portion of the amounts held in the Trust Account in the event of the Company’s failure to timely complete an initial business combination (but, for the avoidance of doubt, not in connection with an extension of the time period to complete an initial business combination or upon the consummation of an initial business combination).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b w:val="1"/>
          <w:bCs w:val="1"/>
          <w:u w:val="single" w:color="auto"/>
          <w:color w:val="auto"/>
        </w:rPr>
        <w:t>Securities Law Restrictions</w:t>
      </w:r>
      <w:r>
        <w:rPr>
          <w:rFonts w:ascii="Times New Roman" w:cs="Times New Roman" w:eastAsia="Times New Roman" w:hAnsi="Times New Roman"/>
          <w:sz w:val="18"/>
          <w:szCs w:val="18"/>
          <w:color w:val="auto"/>
        </w:rPr>
        <w:t>. In addition to any restrictions to be contained in that certain letter agreement (commonly known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Insider Letter</w:t>
      </w:r>
      <w:r>
        <w:rPr>
          <w:rFonts w:ascii="Times New Roman" w:cs="Times New Roman" w:eastAsia="Times New Roman" w:hAnsi="Times New Roman"/>
          <w:sz w:val="18"/>
          <w:szCs w:val="18"/>
          <w:color w:val="auto"/>
        </w:rPr>
        <w:t>”) to be dated as of the closing of the IPO by and between Subscriber and the Company (which will also contain other agreements with respect to the Shares),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registration is not required because such transaction is exempt from registration under the Securities Act and the rules promulgated by the Securities and Exchange Commission thereunder and all applicable state securities laws.</w:t>
      </w:r>
    </w:p>
    <w:p>
      <w:pPr>
        <w:spacing w:after="0" w:line="18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b w:val="1"/>
          <w:bCs w:val="1"/>
          <w:u w:val="single" w:color="auto"/>
          <w:color w:val="auto"/>
        </w:rPr>
        <w:t>Restrictive Legends</w:t>
      </w:r>
      <w:r>
        <w:rPr>
          <w:rFonts w:ascii="Times New Roman" w:cs="Times New Roman" w:eastAsia="Times New Roman" w:hAnsi="Times New Roman"/>
          <w:sz w:val="18"/>
          <w:szCs w:val="18"/>
          <w:color w:val="auto"/>
        </w:rPr>
        <w:t>. Any certificates representing the Shares shall have endorsed thereon legends substantially as follows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book-entries representing the Shares shall have similar notations):</w:t>
      </w:r>
    </w:p>
    <w:p>
      <w:pPr>
        <w:spacing w:after="0" w:line="51"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ANY STATE SECURITIES LAWS AND NEITHER THE SECURITIES NOR ANY INTEREST THEREIN MAY BE OFFERED, SOLD, TRANSFERRED, PLEDGED, HYPOTHECATED OR OTHERWISE DISPOSED OF EXCEPT PURSUANT TO AN EFFECTIVE REGISTRATION STATEMENT UNDER SUCH ACT OR SUCH LAWS OR AN EXEMPTION FROM REGISTRATION UNDER SUCH ACT AND SUCH LAWS WHICH, IN THE OPINION OF COUNSEL, IS AVAILABLE.”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74" w:name="page375"/>
    <w:bookmarkEnd w:id="374"/>
    <w:p>
      <w:pPr>
        <w:ind w:left="44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REPRESENTED BY THIS CERTIFICATE ARE SUBJECT TO ADDITIONAL RESTRICTIONS ON TRANSFER SET FORTH IN A LETTER AGREEMENT WITH THE COMPANY (A COPY OF WHICH MAY BE OBTAINED FROM THE COMPANY AT THE COMPANY’S PRINCIPAL PLACE OF BUSINESS WITHOUT CHARGE) AND MAY NOT BE OFFERED, SOLD, TRANSFERRED, PLEDGED, HYPOTHECATED OR OTHERWISE DISPOSED OF IN VIOLATION OF SUCH RESTRICTIONS.”</w:t>
      </w:r>
    </w:p>
    <w:p>
      <w:pPr>
        <w:spacing w:after="0" w:line="176"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b w:val="1"/>
          <w:bCs w:val="1"/>
          <w:u w:val="single" w:color="auto"/>
          <w:color w:val="auto"/>
        </w:rPr>
        <w:t>Additional Shares or Substituted Securities</w:t>
      </w:r>
      <w:r>
        <w:rPr>
          <w:rFonts w:ascii="Times New Roman" w:cs="Times New Roman" w:eastAsia="Times New Roman" w:hAnsi="Times New Roman"/>
          <w:sz w:val="18"/>
          <w:szCs w:val="18"/>
          <w:color w:val="auto"/>
        </w:rPr>
        <w:t>. In the event of the declaration of a share capitalization, the declaration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extraordinary dividend payable in a form other than Shares, a spin-off, a share sub-division,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xml:space="preserve"> or into which such Shares thereby become convertible shall immediately be subject to this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color w:val="auto"/>
        </w:rPr>
        <w:t xml:space="preserve"> hereof. Appropriate adjustments to reflect the distribution of such securities or property shall be made to the number and/or class of Shares subject to this </w:t>
      </w:r>
      <w:r>
        <w:rPr>
          <w:rFonts w:ascii="Times New Roman" w:cs="Times New Roman" w:eastAsia="Times New Roman" w:hAnsi="Times New Roman"/>
          <w:sz w:val="18"/>
          <w:szCs w:val="18"/>
          <w:u w:val="single" w:color="auto"/>
          <w:color w:val="auto"/>
        </w:rPr>
        <w:t>Section 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III.</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Subscriber agrees to execute such further instruments and to take such further action as may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carry out the intent of this Agreement.</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statements or other documents which are required or contemplated by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 personally or by certified mail (return receipt requested) or overnight courier service or (ii) by electronic mail, if to the Company, at the address of its principal offices and any electronic mail address as may be designated in writing by the Company and, if to Subscriber, at its address in the books and records of the Company and any electronic mail address as may be designated in writing by Subscriber, or to such other addresses as may be designated in writing by the Company or Subscriber. All such notices, statements or other documents shall be deemed received on the date of receipt by the recipient thereof if received prior to 8:00 p.m. on a business day in the place of receipt. Otherwise, any such notices, statements or other documents shall be deemed to have been received on the next succeeding business day in the place of receipt.</w:t>
      </w:r>
    </w:p>
    <w:p>
      <w:pPr>
        <w:spacing w:after="0" w:line="18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the Insider Letter and the registration rights agreement to be entered into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Shares, each substantially in the form to be filed as an exhibit to the Registration Statement on Form S-1 associated with the Company’s IPO, embodies the entire agreement and understanding between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82"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b w:val="1"/>
          <w:bCs w:val="1"/>
          <w:u w:val="single" w:color="auto"/>
          <w:color w:val="auto"/>
        </w:rPr>
        <w:t>Modifications and Amendments</w:t>
      </w:r>
      <w:r>
        <w:rPr>
          <w:rFonts w:ascii="Times New Roman" w:cs="Times New Roman" w:eastAsia="Times New Roman" w:hAnsi="Times New Roman"/>
          <w:sz w:val="18"/>
          <w:szCs w:val="18"/>
          <w:color w:val="auto"/>
        </w:rPr>
        <w:t>. The terms and provisions of this Agreement may be modified or amended only by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executed by all parties hereto.</w:t>
      </w:r>
    </w:p>
    <w:p>
      <w:pPr>
        <w:spacing w:after="0" w:line="15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b w:val="1"/>
          <w:bCs w:val="1"/>
          <w:u w:val="single" w:color="auto"/>
          <w:color w:val="auto"/>
        </w:rPr>
        <w:t>Waivers and Consents</w:t>
      </w:r>
      <w:r>
        <w:rPr>
          <w:rFonts w:ascii="Times New Roman" w:cs="Times New Roman" w:eastAsia="Times New Roman" w:hAnsi="Times New Roman"/>
          <w:sz w:val="18"/>
          <w:szCs w:val="18"/>
          <w:color w:val="auto"/>
        </w:rPr>
        <w:t>. The terms and provisions of this Agreement may be waived, or consent for the departure therefrom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75" w:name="page376"/>
    <w:bookmarkEnd w:id="375"/>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6.06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rights and obligations under this Agreement may not be assigned by either party hereto without the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other party.</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b w:val="1"/>
          <w:bCs w:val="1"/>
          <w:u w:val="single" w:color="auto"/>
          <w:color w:val="auto"/>
        </w:rPr>
        <w:t>Benefit</w:t>
      </w:r>
      <w:r>
        <w:rPr>
          <w:rFonts w:ascii="Times New Roman" w:cs="Times New Roman" w:eastAsia="Times New Roman" w:hAnsi="Times New Roman"/>
          <w:sz w:val="18"/>
          <w:szCs w:val="18"/>
          <w:color w:val="auto"/>
        </w:rPr>
        <w:t>. All statements, representations, warranties, covenants and agreements in this Agreement shall be binding on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6.08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construed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laws of the State of New York applicable to contracts wholly performed within the borders of such state, without giving effect to the conflict of law principles thereof.</w:t>
      </w:r>
    </w:p>
    <w:p>
      <w:pPr>
        <w:spacing w:after="0" w:line="17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Section 6.09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In the event that any court of competent jurisdiction shall determine that any provision, or any portion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6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b w:val="1"/>
          <w:bCs w:val="1"/>
          <w:u w:val="single" w:color="auto"/>
          <w:color w:val="auto"/>
        </w:rPr>
        <w:t>No Waiver of Rights, Powers and Remedies</w:t>
      </w:r>
      <w:r>
        <w:rPr>
          <w:rFonts w:ascii="Times New Roman" w:cs="Times New Roman" w:eastAsia="Times New Roman" w:hAnsi="Times New Roman"/>
          <w:sz w:val="18"/>
          <w:szCs w:val="18"/>
          <w:color w:val="auto"/>
        </w:rPr>
        <w:t>. No failure or delay by a party hereto in exercising any right, power or remedy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8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by the parties hereto in this Agreement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agreement, certificate or instrument provided for or contemplated hereby, shall survive the execution and delivery hereof and any investigations made by or on behalf of the parties.</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b w:val="1"/>
          <w:bCs w:val="1"/>
          <w:u w:val="single" w:color="auto"/>
          <w:color w:val="auto"/>
        </w:rPr>
        <w:t>No Broker or Finder</w:t>
      </w:r>
      <w:r>
        <w:rPr>
          <w:rFonts w:ascii="Times New Roman" w:cs="Times New Roman" w:eastAsia="Times New Roman" w:hAnsi="Times New Roman"/>
          <w:sz w:val="18"/>
          <w:szCs w:val="18"/>
          <w:color w:val="auto"/>
        </w:rPr>
        <w:t>. Each of the parties hereto represents and warrants to the other that no broker, finder or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b w:val="1"/>
          <w:bCs w:val="1"/>
          <w:u w:val="single" w:color="auto"/>
          <w:color w:val="auto"/>
        </w:rPr>
        <w:t>Headings and Captions</w:t>
      </w:r>
      <w:r>
        <w:rPr>
          <w:rFonts w:ascii="Times New Roman" w:cs="Times New Roman" w:eastAsia="Times New Roman" w:hAnsi="Times New Roman"/>
          <w:sz w:val="18"/>
          <w:szCs w:val="18"/>
          <w:color w:val="auto"/>
        </w:rPr>
        <w:t>. The headings and captions of the various subdivisions of this Agreement are for convenience of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shall in no way modify or affect the meaning or construction of any of the terms or provisions 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76" w:name="page377"/>
    <w:bookmarkEnd w:id="376"/>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6.14 Counterparts</w:t>
      </w:r>
      <w:r>
        <w:rPr>
          <w:rFonts w:ascii="Times New Roman" w:cs="Times New Roman" w:eastAsia="Times New Roman" w:hAnsi="Times New Roman"/>
          <w:sz w:val="18"/>
          <w:szCs w:val="18"/>
          <w:color w:val="auto"/>
        </w:rPr>
        <w:t>. This Agreement may be executed in one or more counterparts, all of which when taken together shall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agreement and shall become effective when counterparts have been signed by each party and delivered to the other party, it being understood that both parties need not sign the same counterpart. In the event that any signature is delivered in pdf format via electronic mail, such signature shall create a valid and binding obligation of the party executing (or on whose behalf such signature is executed) with the same force and effect as if such signature page were an original thereof.</w:t>
      </w:r>
    </w:p>
    <w:p>
      <w:pPr>
        <w:spacing w:after="0" w:line="179"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Section 6.15 Construction</w:t>
      </w:r>
      <w:r>
        <w:rPr>
          <w:rFonts w:ascii="Times New Roman" w:cs="Times New Roman" w:eastAsia="Times New Roman" w:hAnsi="Times New Roman"/>
          <w:sz w:val="17"/>
          <w:szCs w:val="17"/>
          <w:color w:val="auto"/>
        </w:rPr>
        <w:t>. The parties hereto have participated jointly in the negotiation and drafting of this Agreement. If an ambiguity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Times New Roman" w:cs="Times New Roman" w:eastAsia="Times New Roman" w:hAnsi="Times New Roman"/>
          <w:sz w:val="17"/>
          <w:szCs w:val="17"/>
          <w:i w:val="1"/>
          <w:iCs w:val="1"/>
          <w:color w:val="auto"/>
        </w:rPr>
        <w:t>include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includes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including</w:t>
      </w:r>
      <w:r>
        <w:rPr>
          <w:rFonts w:ascii="Times New Roman" w:cs="Times New Roman" w:eastAsia="Times New Roman" w:hAnsi="Times New Roman"/>
          <w:sz w:val="17"/>
          <w:szCs w:val="17"/>
          <w:color w:val="auto"/>
        </w:rPr>
        <w:t>” will be deemed to be followed by “</w:t>
      </w:r>
      <w:r>
        <w:rPr>
          <w:rFonts w:ascii="Times New Roman" w:cs="Times New Roman" w:eastAsia="Times New Roman" w:hAnsi="Times New Roman"/>
          <w:sz w:val="17"/>
          <w:szCs w:val="17"/>
          <w:i w:val="1"/>
          <w:iCs w:val="1"/>
          <w:color w:val="auto"/>
        </w:rPr>
        <w:t>without limitation</w:t>
      </w:r>
      <w:r>
        <w:rPr>
          <w:rFonts w:ascii="Times New Roman" w:cs="Times New Roman" w:eastAsia="Times New Roman" w:hAnsi="Times New Roman"/>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7"/>
          <w:szCs w:val="17"/>
          <w:i w:val="1"/>
          <w:iCs w:val="1"/>
          <w:color w:val="auto"/>
        </w:rPr>
        <w:t>this Agreement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hereof</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hereby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hereunder</w:t>
      </w:r>
      <w:r>
        <w:rPr>
          <w:rFonts w:ascii="Times New Roman" w:cs="Times New Roman" w:eastAsia="Times New Roman" w:hAnsi="Times New Roman"/>
          <w:sz w:val="17"/>
          <w:szCs w:val="17"/>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6.16 Mutual Drafting</w:t>
      </w:r>
      <w:r>
        <w:rPr>
          <w:rFonts w:ascii="Times New Roman" w:cs="Times New Roman" w:eastAsia="Times New Roman" w:hAnsi="Times New Roman"/>
          <w:sz w:val="18"/>
          <w:szCs w:val="18"/>
          <w:color w:val="auto"/>
        </w:rPr>
        <w:t>. This Agreement is the joint product of Subscriber and the Company and each provision hereof has been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mutual consultation, negotiation and agreement of such parties and shall not be construed for or against any party hereto.</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377" w:name="page378"/>
    <w:bookmarkEnd w:id="37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accurately sets forth our understanding and agreement, please sign the enclosed copy of this Agreement and return it to 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Gordon Watson</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10420"/>
          </w:cols>
          <w:pgMar w:left="440" w:top="270" w:right="10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and agreed as of the date first written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VPC IMPACT ACQUISITION HOLDINGS SPONSOR, LLC</w:t>
      </w:r>
    </w:p>
    <w:p>
      <w:pPr>
        <w:spacing w:after="0" w:line="2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7260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0019"/>
          </w:cols>
          <w:pgMar w:left="440" w:top="270" w:right="1440" w:bottom="1440" w:gutter="0" w:footer="0" w:header="0"/>
        </w:sectPr>
      </w:pPr>
    </w:p>
    <w:bookmarkStart w:id="379" w:name="page380"/>
    <w:bookmarkEnd w:id="379"/>
    <w:p>
      <w:pPr>
        <w:ind w:left="1008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VPC Impact Acquisition Holdings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VPC Impact Acquisition Sponsor,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dated as of the date hereof, will confirm our agreement that, commencing on the date the securities of the Company are first listed on the Nasdaq Capital Market (the “</w:t>
      </w:r>
      <w:r>
        <w:rPr>
          <w:rFonts w:ascii="Times New Roman" w:cs="Times New Roman" w:eastAsia="Times New Roman" w:hAnsi="Times New Roman"/>
          <w:sz w:val="18"/>
          <w:szCs w:val="18"/>
          <w:b w:val="1"/>
          <w:bCs w:val="1"/>
          <w:i w:val="1"/>
          <w:iCs w:val="1"/>
          <w:color w:val="auto"/>
        </w:rPr>
        <w:t>Listing Date</w:t>
      </w:r>
      <w:r>
        <w:rPr>
          <w:rFonts w:ascii="Times New Roman" w:cs="Times New Roman" w:eastAsia="Times New Roman" w:hAnsi="Times New Roman"/>
          <w:sz w:val="18"/>
          <w:szCs w:val="18"/>
          <w:color w:val="auto"/>
        </w:rPr>
        <w:t>”), pursuant to a Registration Statement on Form S-1 and prospectus filed with the U.S. Securities and Exchange Commission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0" w:firstLine="436"/>
        <w:spacing w:after="0" w:line="261" w:lineRule="auto"/>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shall make available, or cause to be made available, to the Company, at c/o Victory Park Capital Advisors, LLC, 150 North Riverside Plaza, Suite 5200, Chicago, Illinois 60606 (or any successor location), office space, utilities and secretarial and administrative services as may be reasonably required by the Company. In exchange therefor, the Company shall pay the Sponsor $10,000 per month on the Listing Date and continuing monthly thereafter until the Termination Date; and</w:t>
      </w:r>
    </w:p>
    <w:p>
      <w:pPr>
        <w:spacing w:after="0" w:line="179" w:lineRule="exact"/>
        <w:rPr>
          <w:rFonts w:ascii="Times New Roman" w:cs="Times New Roman" w:eastAsia="Times New Roman" w:hAnsi="Times New Roman"/>
          <w:sz w:val="18"/>
          <w:szCs w:val="18"/>
          <w:color w:val="auto"/>
        </w:rPr>
      </w:pPr>
    </w:p>
    <w:p>
      <w:pPr>
        <w:ind w:right="160" w:firstLine="436"/>
        <w:spacing w:after="0" w:line="255" w:lineRule="auto"/>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hereby irrevocably waives any and all right, title, interest, causes of action and claims of any kind as a result of, or arising out of, this Agreement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and any and all right to seek payment of any amounts due to it out of, the trust account established for the benefit of the public shareholders of the Company and into which substantially all of the proceeds of the Company’s initial public offering will be deposited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not be amended, modified or waived as to any particular provision, except by a written instrument executed by the parties hereto.</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76"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for agreements made and to be wholly performed within such state, without regards to the conflicts of laws principles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80" w:name="page381"/>
    <w:bookmarkEnd w:id="380"/>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VPC IMPACT ACQUISITION HOLDINGS</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Martin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VPC IMPACT ACQUISITION HOLDINGS SPONSOR,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Victory Park Management, LLC</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Scott R. Zemnick</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Administrative Services Agreement</w:t>
      </w:r>
      <w:r>
        <w:rPr>
          <w:rFonts w:ascii="Times New Roman" w:cs="Times New Roman" w:eastAsia="Times New Roman" w:hAnsi="Times New Roman"/>
          <w:sz w:val="18"/>
          <w:szCs w:val="18"/>
          <w:color w:val="auto"/>
        </w:rPr>
        <w:t>]</w:t>
      </w:r>
    </w:p>
    <w:p>
      <w:pPr>
        <w:sectPr>
          <w:pgSz w:w="11900" w:h="16838" w:orient="portrait"/>
          <w:cols w:equalWidth="0" w:num="1">
            <w:col w:w="10040"/>
          </w:cols>
          <w:pgMar w:left="440" w:top="270" w:right="141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CODE OF BUSINESS CONDUCT AND ETHICS</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 2020</w:t>
      </w:r>
    </w:p>
    <w:p>
      <w:pPr>
        <w:spacing w:after="0" w:line="252" w:lineRule="exact"/>
        <w:rPr>
          <w:sz w:val="20"/>
          <w:szCs w:val="20"/>
          <w:color w:val="auto"/>
        </w:rPr>
      </w:pPr>
    </w:p>
    <w:p>
      <w:pPr>
        <w:ind w:left="424" w:hanging="424"/>
        <w:spacing w:after="0"/>
        <w:tabs>
          <w:tab w:leader="none" w:pos="424"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jc w:val="both"/>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VPC Impact Acquisition Holdings has adopted this code of business conduct and ethics (this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as amended from time to time by the Board and which is applicable to all of the Company’s directors, officers and employees (to the extent that employees are hired in the future) (each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as used herein) of the Company (as defined below), to:</w:t>
      </w:r>
    </w:p>
    <w:p>
      <w:pPr>
        <w:spacing w:after="0" w:line="80" w:lineRule="exact"/>
        <w:rPr>
          <w:sz w:val="20"/>
          <w:szCs w:val="20"/>
          <w:color w:val="auto"/>
        </w:rPr>
      </w:pPr>
    </w:p>
    <w:p>
      <w:pPr>
        <w:ind w:left="964" w:right="700" w:hanging="424"/>
        <w:spacing w:after="0" w:line="282" w:lineRule="auto"/>
        <w:tabs>
          <w:tab w:leader="none" w:pos="9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honest and ethical conduct, including the ethical handling of actual or apparent conflicts of interest between personal and professional relationships;</w:t>
      </w:r>
    </w:p>
    <w:p>
      <w:pPr>
        <w:spacing w:after="0" w:line="67" w:lineRule="exact"/>
        <w:rPr>
          <w:rFonts w:ascii="Times New Roman" w:cs="Times New Roman" w:eastAsia="Times New Roman" w:hAnsi="Times New Roman"/>
          <w:sz w:val="18"/>
          <w:szCs w:val="18"/>
          <w:color w:val="auto"/>
        </w:rPr>
      </w:pPr>
    </w:p>
    <w:p>
      <w:pPr>
        <w:ind w:left="964" w:right="140" w:hanging="424"/>
        <w:spacing w:after="0" w:line="266" w:lineRule="auto"/>
        <w:tabs>
          <w:tab w:leader="none" w:pos="9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full, fair, accurate, timely and understandable disclosure in reports and documents that the Company files with, or submits to,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as well as in other public communications made by or on behalf of the Company;</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compliance with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 wrongdoing;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prompt internal reporting of breaches of, and accountability for adherence to, this Code.</w:t>
      </w:r>
    </w:p>
    <w:p>
      <w:pPr>
        <w:spacing w:after="0" w:line="221"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This Code may be amended or modified by the Board. In this Code, references 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 VPC Impact Acquisition Holdings and, in appropriate context, the Company’s subsidiaries, if any.</w:t>
      </w:r>
    </w:p>
    <w:p>
      <w:pPr>
        <w:spacing w:after="0" w:line="303" w:lineRule="exact"/>
        <w:rPr>
          <w:sz w:val="20"/>
          <w:szCs w:val="20"/>
          <w:color w:val="auto"/>
        </w:rPr>
      </w:pPr>
    </w:p>
    <w:p>
      <w:pPr>
        <w:ind w:left="424" w:hanging="424"/>
        <w:spacing w:after="0"/>
        <w:tabs>
          <w:tab w:leader="none" w:pos="424"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HONEST, ETHICAL AND FAIR CONDUCT</w:t>
      </w:r>
    </w:p>
    <w:p>
      <w:pPr>
        <w:spacing w:after="0" w:line="229" w:lineRule="exact"/>
        <w:rPr>
          <w:sz w:val="20"/>
          <w:szCs w:val="20"/>
          <w:color w:val="auto"/>
        </w:rPr>
      </w:pPr>
    </w:p>
    <w:p>
      <w:pPr>
        <w:jc w:val="both"/>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or advantage.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person must:</w:t>
      </w:r>
    </w:p>
    <w:p>
      <w:pPr>
        <w:spacing w:after="0" w:line="131" w:lineRule="exact"/>
        <w:rPr>
          <w:sz w:val="20"/>
          <w:szCs w:val="20"/>
          <w:color w:val="auto"/>
        </w:rPr>
      </w:pPr>
    </w:p>
    <w:p>
      <w:pPr>
        <w:ind w:left="964" w:right="500" w:hanging="424"/>
        <w:spacing w:after="0" w:line="282" w:lineRule="auto"/>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integrity, including being honest and candid while still maintaining the confidentiality of the Company’s information where required or when in the Company’s interests;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applicable governmental laws, rules and regulations;</w:t>
      </w:r>
    </w:p>
    <w:p>
      <w:pPr>
        <w:spacing w:after="0" w:line="130" w:lineRule="exact"/>
        <w:rPr>
          <w:rFonts w:ascii="Times New Roman" w:cs="Times New Roman" w:eastAsia="Times New Roman" w:hAnsi="Times New Roman"/>
          <w:sz w:val="18"/>
          <w:szCs w:val="18"/>
          <w:color w:val="auto"/>
        </w:rPr>
      </w:pPr>
    </w:p>
    <w:p>
      <w:pPr>
        <w:ind w:left="964" w:right="240" w:hanging="424"/>
        <w:spacing w:after="0" w:line="282" w:lineRule="auto"/>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a high standard of business ethics and not seek competitive advantage through unlawful or unethical business practices;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fairly with the Company’s customers, suppliers, competitors and employees;</w:t>
      </w:r>
    </w:p>
    <w:p>
      <w:pPr>
        <w:spacing w:after="0" w:line="130" w:lineRule="exact"/>
        <w:rPr>
          <w:rFonts w:ascii="Times New Roman" w:cs="Times New Roman" w:eastAsia="Times New Roman" w:hAnsi="Times New Roman"/>
          <w:sz w:val="18"/>
          <w:szCs w:val="18"/>
          <w:color w:val="auto"/>
        </w:rPr>
      </w:pPr>
    </w:p>
    <w:p>
      <w:pPr>
        <w:ind w:left="964" w:right="560" w:hanging="424"/>
        <w:spacing w:after="0" w:line="282" w:lineRule="auto"/>
        <w:tabs>
          <w:tab w:leader="none" w:pos="96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taking advantage of anyone through manipulation, concealment, abuse of privileged information, misrepresentation of material facts or any other unfair-dealing practice;</w:t>
      </w:r>
    </w:p>
    <w:p>
      <w:pPr>
        <w:sectPr>
          <w:pgSz w:w="11900" w:h="16838" w:orient="portrait"/>
          <w:cols w:equalWidth="0" w:num="1">
            <w:col w:w="11024"/>
          </w:cols>
          <w:pgMar w:left="436" w:top="117" w:right="439" w:bottom="1440" w:gutter="0" w:footer="0" w:header="0"/>
        </w:sectPr>
      </w:pPr>
    </w:p>
    <w:bookmarkStart w:id="382" w:name="page383"/>
    <w:bookmarkEnd w:id="382"/>
    <w:p>
      <w:pPr>
        <w:ind w:left="964" w:hanging="424"/>
        <w:spacing w:after="0"/>
        <w:tabs>
          <w:tab w:leader="none" w:pos="96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Protect the assets of the Company and ensure their proper use;</w:t>
      </w:r>
    </w:p>
    <w:p>
      <w:pPr>
        <w:spacing w:after="0" w:line="130" w:lineRule="exact"/>
        <w:rPr>
          <w:rFonts w:ascii="Times New Roman" w:cs="Times New Roman" w:eastAsia="Times New Roman" w:hAnsi="Times New Roman"/>
          <w:sz w:val="18"/>
          <w:szCs w:val="18"/>
          <w:color w:val="auto"/>
        </w:rPr>
      </w:pPr>
    </w:p>
    <w:p>
      <w:pPr>
        <w:ind w:left="964" w:right="100" w:hanging="424"/>
        <w:spacing w:after="0" w:line="261" w:lineRule="auto"/>
        <w:tabs>
          <w:tab w:leader="none" w:pos="96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except as permitted by, the Company’s amended and restated memorandum and articles of association, as it may be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not (i) take for themselves corporate or business opportunities that are discovered through the use of corporate property, information or position, (ii) use corporate property, information or position for personal gain and (iii) compete with the Company; and</w:t>
      </w:r>
    </w:p>
    <w:p>
      <w:pPr>
        <w:spacing w:after="0" w:line="85" w:lineRule="exact"/>
        <w:rPr>
          <w:rFonts w:ascii="Times New Roman" w:cs="Times New Roman" w:eastAsia="Times New Roman" w:hAnsi="Times New Roman"/>
          <w:sz w:val="18"/>
          <w:szCs w:val="18"/>
          <w:color w:val="auto"/>
        </w:rPr>
      </w:pPr>
    </w:p>
    <w:p>
      <w:pPr>
        <w:ind w:left="964" w:right="180" w:hanging="424"/>
        <w:spacing w:after="0" w:line="261" w:lineRule="auto"/>
        <w:tabs>
          <w:tab w:leader="none" w:pos="96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conflicts of interest, wherever possible, except as may be allowed under guidelines or resolutions approved by the Board (or the appropriate committee of the Board), as disclosed in the Company’s public filings with the SEC or as permitted by the charter.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85"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ownership interest in any supplier or customer;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consulting or employment relationship with any supplier or customer;</w:t>
      </w:r>
    </w:p>
    <w:p>
      <w:pPr>
        <w:spacing w:after="0" w:line="130" w:lineRule="exact"/>
        <w:rPr>
          <w:rFonts w:ascii="Times New Roman" w:cs="Times New Roman" w:eastAsia="Times New Roman" w:hAnsi="Times New Roman"/>
          <w:sz w:val="18"/>
          <w:szCs w:val="18"/>
          <w:color w:val="auto"/>
        </w:rPr>
      </w:pPr>
    </w:p>
    <w:p>
      <w:pPr>
        <w:ind w:left="1424" w:right="400" w:hanging="331"/>
        <w:spacing w:after="0" w:line="282" w:lineRule="auto"/>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money, non-nominal gifts or excessive entertainment from any entity with which the Company has current or prospective business dealings;</w:t>
      </w:r>
    </w:p>
    <w:p>
      <w:pPr>
        <w:spacing w:after="0" w:line="67" w:lineRule="exact"/>
        <w:rPr>
          <w:rFonts w:ascii="Times New Roman" w:cs="Times New Roman" w:eastAsia="Times New Roman" w:hAnsi="Times New Roman"/>
          <w:sz w:val="18"/>
          <w:szCs w:val="18"/>
          <w:color w:val="auto"/>
        </w:rPr>
      </w:pPr>
    </w:p>
    <w:p>
      <w:pPr>
        <w:ind w:left="1424" w:right="320" w:hanging="331"/>
        <w:spacing w:after="0" w:line="282" w:lineRule="auto"/>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anything to the Company or buying anything from the Company, except on the same terms and conditions as comparable officers or directors are permitted to so purchase or sell;</w:t>
      </w:r>
    </w:p>
    <w:p>
      <w:pPr>
        <w:spacing w:after="0" w:line="67" w:lineRule="exact"/>
        <w:rPr>
          <w:rFonts w:ascii="Times New Roman" w:cs="Times New Roman" w:eastAsia="Times New Roman" w:hAnsi="Times New Roman"/>
          <w:sz w:val="18"/>
          <w:szCs w:val="18"/>
          <w:color w:val="auto"/>
        </w:rPr>
      </w:pPr>
    </w:p>
    <w:p>
      <w:pPr>
        <w:ind w:left="1424" w:right="80" w:hanging="331"/>
        <w:spacing w:after="0" w:line="282" w:lineRule="auto"/>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financial transaction, arrangement or relationship (including any indebtedness or guarantee of indebtedness) involving the Company; and</w:t>
      </w:r>
    </w:p>
    <w:p>
      <w:pPr>
        <w:spacing w:after="0" w:line="67" w:lineRule="exact"/>
        <w:rPr>
          <w:rFonts w:ascii="Times New Roman" w:cs="Times New Roman" w:eastAsia="Times New Roman" w:hAnsi="Times New Roman"/>
          <w:sz w:val="18"/>
          <w:szCs w:val="18"/>
          <w:color w:val="auto"/>
        </w:rPr>
      </w:pPr>
    </w:p>
    <w:p>
      <w:pPr>
        <w:ind w:left="1424" w:hanging="331"/>
        <w:spacing w:after="0" w:line="282" w:lineRule="auto"/>
        <w:tabs>
          <w:tab w:leader="none" w:pos="142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DISCLOSURE</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strives to ensure that the contents of and the disclosures in the reports and documents that the Company files with the SEC and</w:t>
      </w:r>
    </w:p>
    <w:p>
      <w:pPr>
        <w:spacing w:after="0" w:line="27" w:lineRule="exact"/>
        <w:rPr>
          <w:sz w:val="20"/>
          <w:szCs w:val="20"/>
          <w:color w:val="auto"/>
        </w:rPr>
      </w:pPr>
    </w:p>
    <w:p>
      <w:pPr>
        <w:ind w:left="4" w:right="520"/>
        <w:spacing w:after="0" w:line="260" w:lineRule="auto"/>
        <w:rPr>
          <w:sz w:val="20"/>
          <w:szCs w:val="20"/>
          <w:color w:val="auto"/>
        </w:rPr>
      </w:pPr>
      <w:r>
        <w:rPr>
          <w:rFonts w:ascii="Times New Roman" w:cs="Times New Roman" w:eastAsia="Times New Roman" w:hAnsi="Times New Roman"/>
          <w:sz w:val="18"/>
          <w:szCs w:val="18"/>
          <w:color w:val="auto"/>
        </w:rPr>
        <w:t>other public communications shall be full, fair, accurate, timely and understandable in accordance with applicable disclosure standards, including standards of materiality, where appropriate. Each person must:</w:t>
      </w:r>
    </w:p>
    <w:p>
      <w:pPr>
        <w:spacing w:after="0" w:line="87" w:lineRule="exact"/>
        <w:rPr>
          <w:sz w:val="20"/>
          <w:szCs w:val="20"/>
          <w:color w:val="auto"/>
        </w:rPr>
      </w:pPr>
    </w:p>
    <w:p>
      <w:pPr>
        <w:ind w:left="964" w:right="160" w:hanging="424"/>
        <w:spacing w:after="0" w:line="266" w:lineRule="auto"/>
        <w:tabs>
          <w:tab w:leader="none" w:pos="9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his or her area of responsibility, properly review and critically analyze proposed disclosure for accuracy and completeness.</w:t>
      </w:r>
    </w:p>
    <w:p>
      <w:pPr>
        <w:spacing w:after="0" w:line="225" w:lineRule="exact"/>
        <w:rPr>
          <w:sz w:val="20"/>
          <w:szCs w:val="20"/>
          <w:color w:val="auto"/>
        </w:rPr>
      </w:pPr>
    </w:p>
    <w:p>
      <w:pPr>
        <w:ind w:left="4" w:right="340" w:firstLine="440"/>
        <w:spacing w:after="0" w:line="289" w:lineRule="auto"/>
        <w:rPr>
          <w:sz w:val="20"/>
          <w:szCs w:val="20"/>
          <w:color w:val="auto"/>
        </w:rPr>
      </w:pPr>
      <w:r>
        <w:rPr>
          <w:rFonts w:ascii="Times New Roman" w:cs="Times New Roman" w:eastAsia="Times New Roman" w:hAnsi="Times New Roman"/>
          <w:sz w:val="17"/>
          <w:szCs w:val="17"/>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54"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Each person must promptly bring to the attention of the Chairperson of the Board (the “</w:t>
      </w:r>
      <w:r>
        <w:rPr>
          <w:rFonts w:ascii="Times New Roman" w:cs="Times New Roman" w:eastAsia="Times New Roman" w:hAnsi="Times New Roman"/>
          <w:sz w:val="18"/>
          <w:szCs w:val="18"/>
          <w:b w:val="1"/>
          <w:bCs w:val="1"/>
          <w:i w:val="1"/>
          <w:iCs w:val="1"/>
          <w:color w:val="auto"/>
        </w:rPr>
        <w:t>Chairperson</w:t>
      </w:r>
      <w:r>
        <w:rPr>
          <w:rFonts w:ascii="Times New Roman" w:cs="Times New Roman" w:eastAsia="Times New Roman" w:hAnsi="Times New Roman"/>
          <w:sz w:val="18"/>
          <w:szCs w:val="18"/>
          <w:color w:val="auto"/>
        </w:rPr>
        <w:t>”)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383" w:name="page384"/>
    <w:bookmarkEnd w:id="383"/>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IV.</w:t>
      </w:r>
      <w:r>
        <w:rPr>
          <w:sz w:val="20"/>
          <w:szCs w:val="20"/>
          <w:color w:val="auto"/>
        </w:rPr>
        <w:tab/>
      </w:r>
      <w:r>
        <w:rPr>
          <w:rFonts w:ascii="Times New Roman" w:cs="Times New Roman" w:eastAsia="Times New Roman" w:hAnsi="Times New Roman"/>
          <w:sz w:val="18"/>
          <w:szCs w:val="18"/>
          <w:b w:val="1"/>
          <w:bCs w:val="1"/>
          <w:u w:val="single" w:color="auto"/>
          <w:color w:val="auto"/>
        </w:rPr>
        <w:t>COMPLIANCE</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320" w:lineRule="exact"/>
        <w:rPr>
          <w:sz w:val="20"/>
          <w:szCs w:val="20"/>
          <w:color w:val="auto"/>
        </w:rPr>
      </w:pPr>
    </w:p>
    <w:p>
      <w:pPr>
        <w:ind w:left="424" w:hanging="424"/>
        <w:spacing w:after="0"/>
        <w:tabs>
          <w:tab w:leader="none" w:pos="424"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AND ACCOUNTABILITY</w:t>
      </w:r>
    </w:p>
    <w:p>
      <w:pPr>
        <w:spacing w:after="0" w:line="12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Chairperson promptly. Failure to do so is, in and of itself, a breach of this Code.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Specifically, each person must:</w:t>
      </w:r>
    </w:p>
    <w:p>
      <w:pPr>
        <w:spacing w:after="0" w:line="131" w:lineRule="exact"/>
        <w:rPr>
          <w:sz w:val="20"/>
          <w:szCs w:val="20"/>
          <w:color w:val="auto"/>
        </w:rPr>
      </w:pPr>
    </w:p>
    <w:p>
      <w:pPr>
        <w:ind w:left="964" w:hanging="424"/>
        <w:spacing w:after="0"/>
        <w:tabs>
          <w:tab w:leader="none" w:pos="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Chairperson promptly of any existing or potential violation of this Code;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will follow the following procedures in investigating and enforcing this Code and in reporting on this Code:</w:t>
      </w:r>
    </w:p>
    <w:p>
      <w:pPr>
        <w:spacing w:after="0" w:line="131" w:lineRule="exact"/>
        <w:rPr>
          <w:sz w:val="20"/>
          <w:szCs w:val="20"/>
          <w:color w:val="auto"/>
        </w:rPr>
      </w:pPr>
    </w:p>
    <w:p>
      <w:pPr>
        <w:ind w:left="964" w:hanging="424"/>
        <w:spacing w:after="0"/>
        <w:tabs>
          <w:tab w:leader="none" w:pos="96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take all appropriate action to investigate any breaches reported to it; and</w:t>
      </w:r>
    </w:p>
    <w:p>
      <w:pPr>
        <w:spacing w:after="0" w:line="130" w:lineRule="exact"/>
        <w:rPr>
          <w:rFonts w:ascii="Times New Roman" w:cs="Times New Roman" w:eastAsia="Times New Roman" w:hAnsi="Times New Roman"/>
          <w:sz w:val="18"/>
          <w:szCs w:val="18"/>
          <w:color w:val="auto"/>
        </w:rPr>
      </w:pPr>
    </w:p>
    <w:p>
      <w:pPr>
        <w:ind w:left="964" w:right="200" w:hanging="424"/>
        <w:spacing w:after="0" w:line="261" w:lineRule="auto"/>
        <w:tabs>
          <w:tab w:leader="none" w:pos="96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determination by the Board that a breach has occurred, the Board (by majority decision) will take or authorize such disciplinary or preventive action as it deems appropriate, after consultation with the Company’s internal or external legal counsel, up to and including dismissal or, in the event of criminal or other serious violations of law, notification of the SEC or other appropriate law enforcement authorities.</w:t>
      </w:r>
    </w:p>
    <w:p>
      <w:pPr>
        <w:spacing w:after="0" w:line="180"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7"/>
          <w:szCs w:val="17"/>
          <w:b w:val="1"/>
          <w:bCs w:val="1"/>
          <w:u w:val="single" w:color="auto"/>
          <w:color w:val="auto"/>
        </w:rPr>
        <w:t>WAIVERS AND AMENDMENTS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Any waiver (defined below) or implicit waiver (defined below) from a provision of this Code for the principal executive officer, principal financial officer, principal accounting officer or controller, or persons performing similar functions, or any amendment (as defined below) to this Code is required to be disclosed in a Current Report on Form 8-K filed with the SEC. In lieu of filing a Current Report on Form 8-K to report any such waivers or amendments, the Company may provide such information on its website and keep such information on the website for at least 12 months and disclose the website address as well as any intention to provide such disclosures in this manner in its most recently filed Annual Report on Form 10-K.</w:t>
      </w:r>
    </w:p>
    <w:p>
      <w:pPr>
        <w:spacing w:after="0" w:line="179"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means the approval by the Board of a material departure from a provision of this Code. An “</w:t>
      </w:r>
      <w:r>
        <w:rPr>
          <w:rFonts w:ascii="Times New Roman" w:cs="Times New Roman" w:eastAsia="Times New Roman" w:hAnsi="Times New Roman"/>
          <w:sz w:val="18"/>
          <w:szCs w:val="18"/>
          <w:b w:val="1"/>
          <w:bCs w:val="1"/>
          <w:i w:val="1"/>
          <w:iCs w:val="1"/>
          <w:color w:val="auto"/>
        </w:rPr>
        <w:t>implicit waiver</w:t>
      </w:r>
      <w:r>
        <w:rPr>
          <w:rFonts w:ascii="Times New Roman" w:cs="Times New Roman" w:eastAsia="Times New Roman" w:hAnsi="Times New Roman"/>
          <w:sz w:val="18"/>
          <w:szCs w:val="18"/>
          <w:color w:val="auto"/>
        </w:rPr>
        <w:t>” means the Company’s failure to take action within a reasonable period of time regarding a material departure from a provision of this Code that has been made known to an executive officer of the Company. An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means any amendment to this Code other than minor technical, administrative or other non-substantive amendments hereto.</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84" w:name="page385"/>
    <w:bookmarkEnd w:id="384"/>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persons should note that it is not the Company’s intention to grant or to permit waivers from the requirements of this Code. The Company expects full compliance with this Code.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INSIDER TRADING AND DISSEMINATION OF INSIDE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person shall comply with the Company’s Policy Regarding Insider Trading and Dissemination of Inside Information.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VIII. </w:t>
      </w:r>
      <w:r>
        <w:rPr>
          <w:rFonts w:ascii="Times New Roman" w:cs="Times New Roman" w:eastAsia="Times New Roman" w:hAnsi="Times New Roman"/>
          <w:sz w:val="18"/>
          <w:szCs w:val="18"/>
          <w:b w:val="1"/>
          <w:bCs w:val="1"/>
          <w:u w:val="single" w:color="auto"/>
          <w:color w:val="auto"/>
        </w:rPr>
        <w:t>FINANCIAL STATEMENTS AND OTHER RECORDS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 Records should always be retained or destroyed according to the Company’s record retention policies. In accordance with those policies, in the event of litigation or governmental investigation, please consult the Board or the Company’s internal or external legal counsel.</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IMPROPER INFLUENCE ON CONDUCT OF AUDITS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or employee,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the Company’s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Types of conduct that could constitute improper influence include, but are not limited to, directly or indirectly:</w:t>
      </w:r>
    </w:p>
    <w:p>
      <w:pPr>
        <w:spacing w:after="0" w:line="131" w:lineRule="exact"/>
        <w:rPr>
          <w:sz w:val="20"/>
          <w:szCs w:val="20"/>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or paying bribes or other financial incentives, including future employment or contracts for non-audit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auditor with an inaccurate or misleading legal analysis;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Threatening to cancel or canceling existing non-audit or audit engagements if the auditor objects to the Company’s accounting;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have a partner removed from the audit engagement because the partner objects to the Company’s accounting;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Blackmailing;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physical threats.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5" w:name="page386"/>
    <w:bookmarkEnd w:id="385"/>
    <w:p>
      <w:pPr>
        <w:ind w:left="424" w:hanging="424"/>
        <w:spacing w:after="0"/>
        <w:tabs>
          <w:tab w:leader="none" w:pos="424"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ANTI-CORRUPTION LAWS</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complies with the anti-corruption laws of the countries in which it does business, including the U.S. Foreign Corrupt Practices Act. To the extent prohibited by applicable law, directors, officers and employees will not directly or indirectly give anything of value to government officials, including employees of state-owned enterprises or foreign political candidates. These requirements apply both to Company employees and agents, such as third 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7"/>
          <w:szCs w:val="17"/>
          <w:b w:val="1"/>
          <w:bCs w:val="1"/>
          <w:u w:val="single" w:color="auto"/>
          <w:color w:val="auto"/>
        </w:rPr>
        <w:t>VIOLATIONS</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u w:val="single" w:color="auto"/>
          <w:color w:val="auto"/>
        </w:rPr>
        <w:t>OTHER POLICIES AND PROCEDURES</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Any other policy or procedure set out by the Company in writing or made generally known to employees, officers or directors of the Company prior to the effective date hereof or hereafter are separate requirements and remain in full force and effect.</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7"/>
          <w:szCs w:val="17"/>
          <w:b w:val="1"/>
          <w:bCs w:val="1"/>
          <w:u w:val="single" w:color="auto"/>
          <w:color w:val="auto"/>
        </w:rPr>
        <w:t>INQUIRIES</w:t>
      </w:r>
    </w:p>
    <w:p>
      <w:pPr>
        <w:spacing w:after="0" w:line="121" w:lineRule="exact"/>
        <w:rPr>
          <w:sz w:val="20"/>
          <w:szCs w:val="20"/>
          <w:color w:val="auto"/>
        </w:rPr>
      </w:pPr>
    </w:p>
    <w:p>
      <w:pPr>
        <w:ind w:left="4" w:firstLine="440"/>
        <w:spacing w:after="0" w:line="312" w:lineRule="auto"/>
        <w:rPr>
          <w:sz w:val="20"/>
          <w:szCs w:val="20"/>
          <w:color w:val="auto"/>
        </w:rPr>
      </w:pPr>
      <w:r>
        <w:rPr>
          <w:rFonts w:ascii="Times New Roman" w:cs="Times New Roman" w:eastAsia="Times New Roman" w:hAnsi="Times New Roman"/>
          <w:sz w:val="17"/>
          <w:szCs w:val="17"/>
          <w:color w:val="auto"/>
        </w:rPr>
        <w:t>All inquiries and questions in relation to this Code or its applicability to particular people or situations should be addressed to the Chair of the Nominating and Corporate Governance Committee of the Board, or such other compliance officer as shall be designated from time to time by the Board.</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386" w:name="page387"/>
    <w:bookmarkEnd w:id="3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Amendment No. 1 to Form S-1, of our report dated August 7, 2020, relating to the balance sheet of VPC Impact Acquisition Holdings as of August 3, 2020, and the related statements of operations, changes in shareholder’s equity and cash flows for the period from July 31, 2020 (inception) through August 3, 2020, and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p>
      <w:pPr>
        <w:sectPr>
          <w:pgSz w:w="11900" w:h="16838" w:orient="portrait"/>
          <w:cols w:equalWidth="0" w:num="1">
            <w:col w:w="11020"/>
          </w:cols>
          <w:pgMar w:left="440" w:top="117" w:right="439" w:bottom="1440" w:gutter="0" w:footer="0" w:header="0"/>
        </w:sectPr>
      </w:pPr>
    </w:p>
    <w:bookmarkStart w:id="387" w:name="page388"/>
    <w:bookmarkEnd w:id="38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VPC Impact Acquisition Holdings of the Registration Statement on Form S-1 with the Securities and Exchange Commission under the Securities Act of 1933, as amended (the “Securities Act”), I hereby consent, pursuant to Rule 438 of the Securities Act, to being named as a nominee to the board of directors of VPC Impact Acquisition Holdings in the Registration Statement and any and all amendments and supplements thereto. I also consent to the filing of this consent as an exhibit to such Registration Statement and any amendments thereto.</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September 15, 2020</w:t>
      </w:r>
      <w:r>
        <w:rPr>
          <w:sz w:val="20"/>
          <w:szCs w:val="20"/>
          <w:color w:val="auto"/>
        </w:rPr>
        <w:tab/>
      </w:r>
      <w:r>
        <w:rPr>
          <w:rFonts w:ascii="Times New Roman" w:cs="Times New Roman" w:eastAsia="Times New Roman" w:hAnsi="Times New Roman"/>
          <w:sz w:val="17"/>
          <w:szCs w:val="17"/>
          <w:color w:val="auto"/>
        </w:rPr>
        <w:t>/s/ Adrienne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Adrienne Harris</w:t>
      </w:r>
    </w:p>
    <w:p>
      <w:pPr>
        <w:sectPr>
          <w:pgSz w:w="11900" w:h="16838" w:orient="portrait"/>
          <w:cols w:equalWidth="0" w:num="1">
            <w:col w:w="11020"/>
          </w:cols>
          <w:pgMar w:left="440" w:top="117" w:right="43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VPC Impact Acquisition Holdings of the Registration Statement on Form S-1 with the Securities and Exchange Commission under the Securities Act of 1933, as amended (the “Securities Act”), I hereby consent, pursuant to Rule 438 of the Securities Act, to being named as a nominee to the board of directors of VPC Impact Acquisition Holdings in the Registration Statement and any and all amendments and supplements thereto. I also consent to the filing of this consent as an exhibit to such Registration Statement and any amendments thereto.</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September 15, 2020</w:t>
      </w:r>
      <w:r>
        <w:rPr>
          <w:sz w:val="20"/>
          <w:szCs w:val="20"/>
          <w:color w:val="auto"/>
        </w:rPr>
        <w:tab/>
      </w:r>
      <w:r>
        <w:rPr>
          <w:rFonts w:ascii="Times New Roman" w:cs="Times New Roman" w:eastAsia="Times New Roman" w:hAnsi="Times New Roman"/>
          <w:sz w:val="18"/>
          <w:szCs w:val="18"/>
          <w:color w:val="auto"/>
        </w:rPr>
        <w:t>/s/ 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Kai Schmitz</w:t>
      </w:r>
    </w:p>
    <w:p>
      <w:pPr>
        <w:sectPr>
          <w:pgSz w:w="11900" w:h="16838" w:orient="portrait"/>
          <w:cols w:equalWidth="0" w:num="1">
            <w:col w:w="11020"/>
          </w:cols>
          <w:pgMar w:left="440" w:top="117" w:right="4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be Named as a Director Nominee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VPC Impact Acquisition Holdings of the Registration Statement on Form S-1 with the Securities and Exchange Commission under the Securities Act of 1933, as amended (the “Securities Act”), I hereby consent, pursuant to Rule 438 of the Securities Act, to being named as a nominee to the board of directors of VPC Impact Acquisition Holdings in the Registration Statement and any and all amendments and supplements thereto. I also consent to the filing of this consent as an exhibit to such Registration Statement and any amendments thereto.</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September 15, 2020</w:t>
      </w:r>
      <w:r>
        <w:rPr>
          <w:sz w:val="20"/>
          <w:szCs w:val="20"/>
          <w:color w:val="auto"/>
        </w:rPr>
        <w:tab/>
      </w:r>
      <w:r>
        <w:rPr>
          <w:rFonts w:ascii="Times New Roman" w:cs="Times New Roman" w:eastAsia="Times New Roman" w:hAnsi="Times New Roman"/>
          <w:sz w:val="18"/>
          <w:szCs w:val="18"/>
          <w:color w:val="auto"/>
        </w:rPr>
        <w:t>/s/ Kurt Summers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Kurt Summers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D4D3C4"/>
    <w:multiLevelType w:val="hybridMultilevel"/>
    <w:lvl w:ilvl="0">
      <w:lvlJc w:val="left"/>
      <w:lvlText w:val="(%1)"/>
      <w:numFmt w:val="decimal"/>
      <w:start w:val="1"/>
    </w:lvl>
  </w:abstractNum>
  <w:abstractNum w:abstractNumId="1">
    <w:nsid w:val="746F2E30"/>
    <w:multiLevelType w:val="hybridMultilevel"/>
    <w:lvl w:ilvl="0">
      <w:lvlJc w:val="left"/>
      <w:lvlText w:val="(%1)"/>
      <w:numFmt w:val="decimal"/>
      <w:start w:val="1"/>
    </w:lvl>
  </w:abstractNum>
  <w:abstractNum w:abstractNumId="2">
    <w:nsid w:val="6FDE8AF6"/>
    <w:multiLevelType w:val="hybridMultilevel"/>
    <w:lvl w:ilvl="0">
      <w:lvlJc w:val="left"/>
      <w:lvlText w:val="∎"/>
      <w:numFmt w:val="bullet"/>
      <w:start w:val="1"/>
    </w:lvl>
  </w:abstractNum>
  <w:abstractNum w:abstractNumId="3">
    <w:nsid w:val="3FC32E20"/>
    <w:multiLevelType w:val="hybridMultilevel"/>
    <w:lvl w:ilvl="0">
      <w:lvlJc w:val="left"/>
      <w:lvlText w:val="∎"/>
      <w:numFmt w:val="bullet"/>
      <w:start w:val="1"/>
    </w:lvl>
  </w:abstractNum>
  <w:abstractNum w:abstractNumId="4">
    <w:nsid w:val="49C0E823"/>
    <w:multiLevelType w:val="hybridMultilevel"/>
    <w:lvl w:ilvl="0">
      <w:lvlJc w:val="left"/>
      <w:lvlText w:val="∎"/>
      <w:numFmt w:val="bullet"/>
      <w:start w:val="1"/>
    </w:lvl>
  </w:abstractNum>
  <w:abstractNum w:abstractNumId="5">
    <w:nsid w:val="14D53685"/>
    <w:multiLevelType w:val="hybridMultilevel"/>
    <w:lvl w:ilvl="0">
      <w:lvlJc w:val="left"/>
      <w:lvlText w:val="∎"/>
      <w:numFmt w:val="bullet"/>
      <w:start w:val="1"/>
    </w:lvl>
  </w:abstractNum>
  <w:abstractNum w:abstractNumId="6">
    <w:nsid w:val="230F856C"/>
    <w:multiLevelType w:val="hybridMultilevel"/>
    <w:lvl w:ilvl="0">
      <w:lvlJc w:val="left"/>
      <w:lvlText w:val="(%1)"/>
      <w:numFmt w:val="decimal"/>
      <w:start w:val="1"/>
    </w:lvl>
  </w:abstractNum>
  <w:abstractNum w:abstractNumId="7">
    <w:nsid w:val="6EAA85FB"/>
    <w:multiLevelType w:val="hybridMultilevel"/>
    <w:lvl w:ilvl="0">
      <w:lvlJc w:val="left"/>
      <w:lvlText w:val="∎"/>
      <w:numFmt w:val="bullet"/>
      <w:start w:val="1"/>
    </w:lvl>
  </w:abstractNum>
  <w:abstractNum w:abstractNumId="8">
    <w:nsid w:val="3F06ECB2"/>
    <w:multiLevelType w:val="hybridMultilevel"/>
    <w:lvl w:ilvl="0">
      <w:lvlJc w:val="left"/>
      <w:lvlText w:val="∎"/>
      <w:numFmt w:val="bullet"/>
      <w:start w:val="1"/>
    </w:lvl>
  </w:abstractNum>
  <w:abstractNum w:abstractNumId="9">
    <w:nsid w:val="3B594807"/>
    <w:multiLevelType w:val="hybridMultilevel"/>
    <w:lvl w:ilvl="0">
      <w:lvlJc w:val="left"/>
      <w:lvlText w:val="∎"/>
      <w:numFmt w:val="bullet"/>
      <w:start w:val="1"/>
    </w:lvl>
  </w:abstractNum>
  <w:abstractNum w:abstractNumId="10">
    <w:nsid w:val="6CAA2304"/>
    <w:multiLevelType w:val="hybridMultilevel"/>
    <w:lvl w:ilvl="0">
      <w:lvlJc w:val="left"/>
      <w:lvlText w:val="∎"/>
      <w:numFmt w:val="bullet"/>
      <w:start w:val="1"/>
    </w:lvl>
  </w:abstractNum>
  <w:abstractNum w:abstractNumId="11">
    <w:nsid w:val="3F7C2FF4"/>
    <w:multiLevelType w:val="hybridMultilevel"/>
    <w:lvl w:ilvl="0">
      <w:lvlJc w:val="left"/>
      <w:lvlText w:val="(%1)"/>
      <w:numFmt w:val="lowerRoman"/>
      <w:start w:val="2"/>
    </w:lvl>
  </w:abstractNum>
  <w:abstractNum w:abstractNumId="12">
    <w:nsid w:val="25413BEC"/>
    <w:multiLevelType w:val="hybridMultilevel"/>
    <w:lvl w:ilvl="0">
      <w:lvlJc w:val="left"/>
      <w:lvlText w:val="(%1)"/>
      <w:numFmt w:val="lowerRoman"/>
      <w:start w:val="1"/>
    </w:lvl>
  </w:abstractNum>
  <w:abstractNum w:abstractNumId="13">
    <w:nsid w:val="17180B0B"/>
    <w:multiLevelType w:val="hybridMultilevel"/>
    <w:lvl w:ilvl="0">
      <w:lvlJc w:val="left"/>
      <w:lvlText w:val="∎"/>
      <w:numFmt w:val="bullet"/>
      <w:start w:val="1"/>
    </w:lvl>
  </w:abstractNum>
  <w:abstractNum w:abstractNumId="14">
    <w:nsid w:val="579328B9"/>
    <w:multiLevelType w:val="hybridMultilevel"/>
    <w:lvl w:ilvl="0">
      <w:lvlJc w:val="left"/>
      <w:lvlText w:val="(%1)"/>
      <w:numFmt w:val="lowerRoman"/>
      <w:start w:val="2"/>
    </w:lvl>
  </w:abstractNum>
  <w:abstractNum w:abstractNumId="15">
    <w:nsid w:val="5D205E20"/>
    <w:multiLevelType w:val="hybridMultilevel"/>
    <w:lvl w:ilvl="0">
      <w:lvlJc w:val="left"/>
      <w:lvlText w:val="∎"/>
      <w:numFmt w:val="bullet"/>
      <w:start w:val="1"/>
    </w:lvl>
  </w:abstractNum>
  <w:abstractNum w:abstractNumId="16">
    <w:nsid w:val="11CCA8BA"/>
    <w:multiLevelType w:val="hybridMultilevel"/>
    <w:lvl w:ilvl="0">
      <w:lvlJc w:val="left"/>
      <w:lvlText w:val="∎"/>
      <w:numFmt w:val="bullet"/>
      <w:start w:val="1"/>
    </w:lvl>
  </w:abstractNum>
  <w:abstractNum w:abstractNumId="17">
    <w:nsid w:val="4D32AB86"/>
    <w:multiLevelType w:val="hybridMultilevel"/>
    <w:lvl w:ilvl="0">
      <w:lvlJc w:val="left"/>
      <w:lvlText w:val="(%1)"/>
      <w:numFmt w:val="lowerRoman"/>
      <w:start w:val="3"/>
    </w:lvl>
  </w:abstractNum>
  <w:abstractNum w:abstractNumId="18">
    <w:nsid w:val="3F07ACC3"/>
    <w:multiLevelType w:val="hybridMultilevel"/>
    <w:lvl w:ilvl="0">
      <w:lvlJc w:val="left"/>
      <w:lvlText w:val="(%1)"/>
      <w:numFmt w:val="lowerRoman"/>
      <w:start w:val="2"/>
    </w:lvl>
  </w:abstractNum>
  <w:abstractNum w:abstractNumId="19">
    <w:nsid w:val="6B47F63E"/>
    <w:multiLevelType w:val="hybridMultilevel"/>
    <w:lvl w:ilvl="0">
      <w:lvlJc w:val="left"/>
      <w:lvlText w:val="∎"/>
      <w:numFmt w:val="bullet"/>
      <w:start w:val="1"/>
    </w:lvl>
  </w:abstractNum>
  <w:abstractNum w:abstractNumId="20">
    <w:nsid w:val="5CB44A05"/>
    <w:multiLevelType w:val="hybridMultilevel"/>
    <w:lvl w:ilvl="0">
      <w:lvlJc w:val="left"/>
      <w:lvlText w:val="∎"/>
      <w:numFmt w:val="bullet"/>
      <w:start w:val="1"/>
    </w:lvl>
  </w:abstractNum>
  <w:abstractNum w:abstractNumId="21">
    <w:nsid w:val="16CF80F1"/>
    <w:multiLevelType w:val="hybridMultilevel"/>
    <w:lvl w:ilvl="0">
      <w:lvlJc w:val="left"/>
      <w:lvlText w:val="∎"/>
      <w:numFmt w:val="bullet"/>
      <w:start w:val="1"/>
    </w:lvl>
  </w:abstractNum>
  <w:abstractNum w:abstractNumId="22">
    <w:nsid w:val="1C695DEC"/>
    <w:multiLevelType w:val="hybridMultilevel"/>
    <w:lvl w:ilvl="0">
      <w:lvlJc w:val="left"/>
      <w:lvlText w:val="∎"/>
      <w:numFmt w:val="bullet"/>
      <w:start w:val="1"/>
    </w:lvl>
  </w:abstractNum>
  <w:abstractNum w:abstractNumId="23">
    <w:nsid w:val="3FCFAED9"/>
    <w:multiLevelType w:val="hybridMultilevel"/>
    <w:lvl w:ilvl="0">
      <w:lvlJc w:val="left"/>
      <w:lvlText w:val="∎"/>
      <w:numFmt w:val="bullet"/>
      <w:start w:val="1"/>
    </w:lvl>
  </w:abstractNum>
  <w:abstractNum w:abstractNumId="24">
    <w:nsid w:val="F856867"/>
    <w:multiLevelType w:val="hybridMultilevel"/>
    <w:lvl w:ilvl="0">
      <w:lvlJc w:val="left"/>
      <w:lvlText w:val="∎"/>
      <w:numFmt w:val="bullet"/>
      <w:start w:val="1"/>
    </w:lvl>
  </w:abstractNum>
  <w:abstractNum w:abstractNumId="25">
    <w:nsid w:val="11B1CC33"/>
    <w:multiLevelType w:val="hybridMultilevel"/>
    <w:lvl w:ilvl="0">
      <w:lvlJc w:val="left"/>
      <w:lvlText w:val="∎"/>
      <w:numFmt w:val="bullet"/>
      <w:start w:val="1"/>
    </w:lvl>
  </w:abstractNum>
  <w:abstractNum w:abstractNumId="26">
    <w:nsid w:val="2E22FBB7"/>
    <w:multiLevelType w:val="hybridMultilevel"/>
    <w:lvl w:ilvl="0">
      <w:lvlJc w:val="left"/>
      <w:lvlText w:val="(%1)"/>
      <w:numFmt w:val="lowerRoman"/>
      <w:start w:val="3"/>
    </w:lvl>
  </w:abstractNum>
  <w:abstractNum w:abstractNumId="27">
    <w:nsid w:val="29934699"/>
    <w:multiLevelType w:val="hybridMultilevel"/>
    <w:lvl w:ilvl="0">
      <w:lvlJc w:val="left"/>
      <w:lvlText w:val="(%1)"/>
      <w:numFmt w:val="lowerRoman"/>
      <w:start w:val="1"/>
    </w:lvl>
  </w:abstractNum>
  <w:abstractNum w:abstractNumId="28">
    <w:nsid w:val="77485850"/>
    <w:multiLevelType w:val="hybridMultilevel"/>
    <w:lvl w:ilvl="0">
      <w:lvlJc w:val="left"/>
      <w:lvlText w:val="(%1)"/>
      <w:numFmt w:val="lowerRoman"/>
      <w:start w:val="1"/>
    </w:lvl>
  </w:abstractNum>
  <w:abstractNum w:abstractNumId="29">
    <w:nsid w:val="744939A3"/>
    <w:multiLevelType w:val="hybridMultilevel"/>
    <w:lvl w:ilvl="0">
      <w:lvlJc w:val="left"/>
      <w:lvlText w:val="∎"/>
      <w:numFmt w:val="bullet"/>
      <w:start w:val="1"/>
    </w:lvl>
  </w:abstractNum>
  <w:abstractNum w:abstractNumId="30">
    <w:nsid w:val="4FA0D2E3"/>
    <w:multiLevelType w:val="hybridMultilevel"/>
    <w:lvl w:ilvl="0">
      <w:lvlJc w:val="left"/>
      <w:lvlText w:val="∎"/>
      <w:numFmt w:val="bullet"/>
      <w:start w:val="1"/>
    </w:lvl>
  </w:abstractNum>
  <w:abstractNum w:abstractNumId="31">
    <w:nsid w:val="6B1D2C14"/>
    <w:multiLevelType w:val="hybridMultilevel"/>
    <w:lvl w:ilvl="0">
      <w:lvlJc w:val="left"/>
      <w:lvlText w:val="∎"/>
      <w:numFmt w:val="bullet"/>
      <w:start w:val="1"/>
    </w:lvl>
  </w:abstractNum>
  <w:abstractNum w:abstractNumId="32">
    <w:nsid w:val="68B867D3"/>
    <w:multiLevelType w:val="hybridMultilevel"/>
    <w:lvl w:ilvl="0">
      <w:lvlJc w:val="left"/>
      <w:lvlText w:val="(%1)"/>
      <w:numFmt w:val="decimal"/>
      <w:start w:val="1"/>
    </w:lvl>
    <w:lvl w:ilvl="1">
      <w:lvlJc w:val="left"/>
      <w:lvlText w:val="(%2)"/>
      <w:numFmt w:val="decimal"/>
      <w:start w:val="2"/>
    </w:lvl>
  </w:abstractNum>
  <w:abstractNum w:abstractNumId="33">
    <w:nsid w:val="3F7F5DD9"/>
    <w:multiLevelType w:val="hybridMultilevel"/>
    <w:lvl w:ilvl="0">
      <w:lvlJc w:val="left"/>
      <w:lvlText w:val="(%1)"/>
      <w:numFmt w:val="decimal"/>
      <w:start w:val="4"/>
    </w:lvl>
  </w:abstractNum>
  <w:abstractNum w:abstractNumId="34">
    <w:nsid w:val="2AE05A34"/>
    <w:multiLevelType w:val="hybridMultilevel"/>
    <w:lvl w:ilvl="0">
      <w:lvlJc w:val="left"/>
      <w:lvlText w:val="(%1)"/>
      <w:numFmt w:val="lowerRoman"/>
      <w:start w:val="1"/>
    </w:lvl>
  </w:abstractNum>
  <w:abstractNum w:abstractNumId="35">
    <w:nsid w:val="32794FF7"/>
    <w:multiLevelType w:val="hybridMultilevel"/>
    <w:lvl w:ilvl="0">
      <w:lvlJc w:val="left"/>
      <w:lvlText w:val="(%1)"/>
      <w:numFmt w:val="decimal"/>
      <w:start w:val="1"/>
    </w:lvl>
  </w:abstractNum>
  <w:abstractNum w:abstractNumId="36">
    <w:nsid w:val="5454945E"/>
    <w:multiLevelType w:val="hybridMultilevel"/>
    <w:lvl w:ilvl="0">
      <w:lvlJc w:val="left"/>
      <w:lvlText w:val="(%1)"/>
      <w:numFmt w:val="decimal"/>
      <w:start w:val="1"/>
    </w:lvl>
  </w:abstractNum>
  <w:abstractNum w:abstractNumId="37">
    <w:nsid w:val="4DEFDFA0"/>
    <w:multiLevelType w:val="hybridMultilevel"/>
    <w:lvl w:ilvl="0">
      <w:lvlJc w:val="left"/>
      <w:lvlText w:val="(%1)"/>
      <w:numFmt w:val="decimal"/>
      <w:start w:val="1"/>
    </w:lvl>
  </w:abstractNum>
  <w:abstractNum w:abstractNumId="38">
    <w:nsid w:val="2123D5F2"/>
    <w:multiLevelType w:val="hybridMultilevel"/>
    <w:lvl w:ilvl="0">
      <w:lvlJc w:val="left"/>
      <w:lvlText w:val="∎"/>
      <w:numFmt w:val="bullet"/>
      <w:start w:val="1"/>
    </w:lvl>
  </w:abstractNum>
  <w:abstractNum w:abstractNumId="39">
    <w:nsid w:val="135B8110"/>
    <w:multiLevelType w:val="hybridMultilevel"/>
    <w:lvl w:ilvl="0">
      <w:lvlJc w:val="left"/>
      <w:lvlText w:val="∎"/>
      <w:numFmt w:val="bullet"/>
      <w:start w:val="1"/>
    </w:lvl>
  </w:abstractNum>
  <w:abstractNum w:abstractNumId="40">
    <w:nsid w:val="94927A8"/>
    <w:multiLevelType w:val="hybridMultilevel"/>
    <w:lvl w:ilvl="0">
      <w:lvlJc w:val="left"/>
      <w:lvlText w:val="∎"/>
      <w:numFmt w:val="bullet"/>
      <w:start w:val="1"/>
    </w:lvl>
  </w:abstractNum>
  <w:abstractNum w:abstractNumId="41">
    <w:nsid w:val="DCDF8F6"/>
    <w:multiLevelType w:val="hybridMultilevel"/>
    <w:lvl w:ilvl="0">
      <w:lvlJc w:val="left"/>
      <w:lvlText w:val="∎"/>
      <w:numFmt w:val="bullet"/>
      <w:start w:val="1"/>
    </w:lvl>
  </w:abstractNum>
  <w:abstractNum w:abstractNumId="42">
    <w:nsid w:val="52D7B105"/>
    <w:multiLevelType w:val="hybridMultilevel"/>
    <w:lvl w:ilvl="0">
      <w:lvlJc w:val="left"/>
      <w:lvlText w:val="∎"/>
      <w:numFmt w:val="bullet"/>
      <w:start w:val="1"/>
    </w:lvl>
  </w:abstractNum>
  <w:abstractNum w:abstractNumId="43">
    <w:nsid w:val="2E8A6394"/>
    <w:multiLevelType w:val="hybridMultilevel"/>
    <w:lvl w:ilvl="0">
      <w:lvlJc w:val="left"/>
      <w:lvlText w:val="(%1)"/>
      <w:numFmt w:val="lowerRoman"/>
      <w:start w:val="3"/>
    </w:lvl>
  </w:abstractNum>
  <w:abstractNum w:abstractNumId="44">
    <w:nsid w:val="24E60401"/>
    <w:multiLevelType w:val="hybridMultilevel"/>
    <w:lvl w:ilvl="0">
      <w:lvlJc w:val="left"/>
      <w:lvlText w:val="∎"/>
      <w:numFmt w:val="bullet"/>
      <w:start w:val="1"/>
    </w:lvl>
  </w:abstractNum>
  <w:abstractNum w:abstractNumId="45">
    <w:nsid w:val="2A6AD9BE"/>
    <w:multiLevelType w:val="hybridMultilevel"/>
    <w:lvl w:ilvl="0">
      <w:lvlJc w:val="left"/>
      <w:lvlText w:val="∎"/>
      <w:numFmt w:val="bullet"/>
      <w:start w:val="1"/>
    </w:lvl>
  </w:abstractNum>
  <w:abstractNum w:abstractNumId="46">
    <w:nsid w:val="BAAC1B4"/>
    <w:multiLevelType w:val="hybridMultilevel"/>
    <w:lvl w:ilvl="0">
      <w:lvlJc w:val="left"/>
      <w:lvlText w:val="(%1)"/>
      <w:numFmt w:val="lowerRoman"/>
      <w:start w:val="3"/>
    </w:lvl>
  </w:abstractNum>
  <w:abstractNum w:abstractNumId="47">
    <w:nsid w:val="36B2ACBC"/>
    <w:multiLevelType w:val="hybridMultilevel"/>
    <w:lvl w:ilvl="0">
      <w:lvlJc w:val="left"/>
      <w:lvlText w:val="(%1)"/>
      <w:numFmt w:val="lowerRoman"/>
      <w:start w:val="1"/>
    </w:lvl>
  </w:abstractNum>
  <w:abstractNum w:abstractNumId="48">
    <w:nsid w:val="779D8544"/>
    <w:multiLevelType w:val="hybridMultilevel"/>
    <w:lvl w:ilvl="0">
      <w:lvlJc w:val="left"/>
      <w:lvlText w:val="∎"/>
      <w:numFmt w:val="bullet"/>
      <w:start w:val="1"/>
    </w:lvl>
  </w:abstractNum>
  <w:abstractNum w:abstractNumId="49">
    <w:nsid w:val="4AB26E78"/>
    <w:multiLevelType w:val="hybridMultilevel"/>
    <w:lvl w:ilvl="0">
      <w:lvlJc w:val="left"/>
      <w:lvlText w:val="∎"/>
      <w:numFmt w:val="bullet"/>
      <w:start w:val="1"/>
    </w:lvl>
  </w:abstractNum>
  <w:abstractNum w:abstractNumId="50">
    <w:nsid w:val="21FAA2FA"/>
    <w:multiLevelType w:val="hybridMultilevel"/>
    <w:lvl w:ilvl="0">
      <w:lvlJc w:val="left"/>
      <w:lvlText w:val="∎"/>
      <w:numFmt w:val="bullet"/>
      <w:start w:val="1"/>
    </w:lvl>
  </w:abstractNum>
  <w:abstractNum w:abstractNumId="51">
    <w:nsid w:val="5451CF49"/>
    <w:multiLevelType w:val="hybridMultilevel"/>
    <w:lvl w:ilvl="0">
      <w:lvlJc w:val="left"/>
      <w:lvlText w:val="∎"/>
      <w:numFmt w:val="bullet"/>
      <w:start w:val="1"/>
    </w:lvl>
  </w:abstractNum>
  <w:abstractNum w:abstractNumId="52">
    <w:nsid w:val="6181EF69"/>
    <w:multiLevelType w:val="hybridMultilevel"/>
    <w:lvl w:ilvl="0">
      <w:lvlJc w:val="left"/>
      <w:lvlText w:val="(%1)"/>
      <w:numFmt w:val="lowerRoman"/>
      <w:start w:val="1"/>
    </w:lvl>
  </w:abstractNum>
  <w:abstractNum w:abstractNumId="53">
    <w:nsid w:val="3E6400E6"/>
    <w:multiLevelType w:val="hybridMultilevel"/>
    <w:lvl w:ilvl="0">
      <w:lvlJc w:val="left"/>
      <w:lvlText w:val="∎"/>
      <w:numFmt w:val="bullet"/>
      <w:start w:val="1"/>
    </w:lvl>
  </w:abstractNum>
  <w:abstractNum w:abstractNumId="54">
    <w:nsid w:val="14217E23"/>
    <w:multiLevelType w:val="hybridMultilevel"/>
    <w:lvl w:ilvl="0">
      <w:lvlJc w:val="left"/>
      <w:lvlText w:val="∎"/>
      <w:numFmt w:val="bullet"/>
      <w:start w:val="1"/>
    </w:lvl>
  </w:abstractNum>
  <w:abstractNum w:abstractNumId="55">
    <w:nsid w:val="710757D0"/>
    <w:multiLevelType w:val="hybridMultilevel"/>
    <w:lvl w:ilvl="0">
      <w:lvlJc w:val="left"/>
      <w:lvlText w:val="∎"/>
      <w:numFmt w:val="bullet"/>
      <w:start w:val="1"/>
    </w:lvl>
  </w:abstractNum>
  <w:abstractNum w:abstractNumId="56">
    <w:nsid w:val="5015CD1A"/>
    <w:multiLevelType w:val="hybridMultilevel"/>
    <w:lvl w:ilvl="0">
      <w:lvlJc w:val="left"/>
      <w:lvlText w:val="(%1)"/>
      <w:numFmt w:val="decimal"/>
      <w:start w:val="1"/>
    </w:lvl>
  </w:abstractNum>
  <w:abstractNum w:abstractNumId="57">
    <w:nsid w:val="424479DA"/>
    <w:multiLevelType w:val="hybridMultilevel"/>
    <w:lvl w:ilvl="0">
      <w:lvlJc w:val="left"/>
      <w:lvlText w:val="(%1)"/>
      <w:numFmt w:val="lowerRoman"/>
      <w:start w:val="1"/>
    </w:lvl>
  </w:abstractNum>
  <w:abstractNum w:abstractNumId="58">
    <w:nsid w:val="1A9A9E69"/>
    <w:multiLevelType w:val="hybridMultilevel"/>
    <w:lvl w:ilvl="0">
      <w:lvlJc w:val="left"/>
      <w:lvlText w:val="∎"/>
      <w:numFmt w:val="bullet"/>
      <w:start w:val="1"/>
    </w:lvl>
  </w:abstractNum>
  <w:abstractNum w:abstractNumId="59">
    <w:nsid w:val="475E256A"/>
    <w:multiLevelType w:val="hybridMultilevel"/>
    <w:lvl w:ilvl="0">
      <w:lvlJc w:val="left"/>
      <w:lvlText w:val="(%1)"/>
      <w:numFmt w:val="lowerRoman"/>
      <w:start w:val="3"/>
    </w:lvl>
  </w:abstractNum>
  <w:abstractNum w:abstractNumId="60">
    <w:nsid w:val="368DB37E"/>
    <w:multiLevelType w:val="hybridMultilevel"/>
    <w:lvl w:ilvl="0">
      <w:lvlJc w:val="left"/>
      <w:lvlText w:val="(%1)"/>
      <w:numFmt w:val="lowerRoman"/>
      <w:start w:val="6"/>
    </w:lvl>
  </w:abstractNum>
  <w:abstractNum w:abstractNumId="61">
    <w:nsid w:val="6A3B714C"/>
    <w:multiLevelType w:val="hybridMultilevel"/>
    <w:lvl w:ilvl="0">
      <w:lvlJc w:val="left"/>
      <w:lvlText w:val="∎"/>
      <w:numFmt w:val="bullet"/>
      <w:start w:val="1"/>
    </w:lvl>
  </w:abstractNum>
  <w:abstractNum w:abstractNumId="62">
    <w:nsid w:val="327B517E"/>
    <w:multiLevelType w:val="hybridMultilevel"/>
    <w:lvl w:ilvl="0">
      <w:lvlJc w:val="left"/>
      <w:lvlText w:val="∎"/>
      <w:numFmt w:val="bullet"/>
      <w:start w:val="1"/>
    </w:lvl>
  </w:abstractNum>
  <w:abstractNum w:abstractNumId="63">
    <w:nsid w:val="1F461B51"/>
    <w:multiLevelType w:val="hybridMultilevel"/>
    <w:lvl w:ilvl="0">
      <w:lvlJc w:val="left"/>
      <w:lvlText w:val="∎"/>
      <w:numFmt w:val="bullet"/>
      <w:start w:val="1"/>
    </w:lvl>
  </w:abstractNum>
  <w:abstractNum w:abstractNumId="64">
    <w:nsid w:val="29BACF25"/>
    <w:multiLevelType w:val="hybridMultilevel"/>
    <w:lvl w:ilvl="0">
      <w:lvlJc w:val="left"/>
      <w:lvlText w:val="∎"/>
      <w:numFmt w:val="bullet"/>
      <w:start w:val="1"/>
    </w:lvl>
  </w:abstractNum>
  <w:abstractNum w:abstractNumId="65">
    <w:nsid w:val="5D5BABB3"/>
    <w:multiLevelType w:val="hybridMultilevel"/>
    <w:lvl w:ilvl="0">
      <w:lvlJc w:val="left"/>
      <w:lvlText w:val="(%1)"/>
      <w:numFmt w:val="decimal"/>
      <w:start w:val="10"/>
    </w:lvl>
  </w:abstractNum>
  <w:abstractNum w:abstractNumId="66">
    <w:nsid w:val="51BF6B48"/>
    <w:multiLevelType w:val="hybridMultilevel"/>
    <w:lvl w:ilvl="0">
      <w:lvlJc w:val="left"/>
      <w:lvlText w:val="(%1)"/>
      <w:numFmt w:val="lowerRoman"/>
      <w:start w:val="1"/>
    </w:lvl>
  </w:abstractNum>
  <w:abstractNum w:abstractNumId="67">
    <w:nsid w:val="7E0F6384"/>
    <w:multiLevelType w:val="hybridMultilevel"/>
    <w:lvl w:ilvl="0">
      <w:lvlJc w:val="left"/>
      <w:lvlText w:val="(%1)"/>
      <w:numFmt w:val="lowerLetter"/>
      <w:start w:val="2"/>
    </w:lvl>
  </w:abstractNum>
  <w:abstractNum w:abstractNumId="68">
    <w:nsid w:val="2B4B8B53"/>
    <w:multiLevelType w:val="hybridMultilevel"/>
    <w:lvl w:ilvl="0">
      <w:lvlJc w:val="left"/>
      <w:lvlText w:val="(%1)"/>
      <w:numFmt w:val="lowerLetter"/>
      <w:start w:val="1"/>
    </w:lvl>
  </w:abstractNum>
  <w:abstractNum w:abstractNumId="69">
    <w:nsid w:val="72E3413A"/>
    <w:multiLevelType w:val="hybridMultilevel"/>
    <w:lvl w:ilvl="0">
      <w:lvlJc w:val="left"/>
      <w:lvlText w:val="∎"/>
      <w:numFmt w:val="bullet"/>
      <w:start w:val="1"/>
    </w:lvl>
  </w:abstractNum>
  <w:abstractNum w:abstractNumId="70">
    <w:nsid w:val="116AE494"/>
    <w:multiLevelType w:val="hybridMultilevel"/>
    <w:lvl w:ilvl="0">
      <w:lvlJc w:val="left"/>
      <w:lvlText w:val="∎"/>
      <w:numFmt w:val="bullet"/>
      <w:start w:val="1"/>
    </w:lvl>
  </w:abstractNum>
  <w:abstractNum w:abstractNumId="71">
    <w:nsid w:val="3494B2FB"/>
    <w:multiLevelType w:val="hybridMultilevel"/>
    <w:lvl w:ilvl="0">
      <w:lvlJc w:val="left"/>
      <w:lvlText w:val="∎"/>
      <w:numFmt w:val="bullet"/>
      <w:start w:val="1"/>
    </w:lvl>
  </w:abstractNum>
  <w:abstractNum w:abstractNumId="72">
    <w:nsid w:val="B13A31"/>
    <w:multiLevelType w:val="hybridMultilevel"/>
    <w:lvl w:ilvl="0">
      <w:lvlJc w:val="left"/>
      <w:lvlText w:val="∎"/>
      <w:numFmt w:val="bullet"/>
      <w:start w:val="1"/>
    </w:lvl>
  </w:abstractNum>
  <w:abstractNum w:abstractNumId="73">
    <w:nsid w:val="64429599"/>
    <w:multiLevelType w:val="hybridMultilevel"/>
    <w:lvl w:ilvl="0">
      <w:lvlJc w:val="left"/>
      <w:lvlText w:val="∎"/>
      <w:numFmt w:val="bullet"/>
      <w:start w:val="1"/>
    </w:lvl>
  </w:abstractNum>
  <w:abstractNum w:abstractNumId="74">
    <w:nsid w:val="631F1690"/>
    <w:multiLevelType w:val="hybridMultilevel"/>
    <w:lvl w:ilvl="0">
      <w:lvlJc w:val="left"/>
      <w:lvlText w:val="(%1)"/>
      <w:numFmt w:val="lowerLetter"/>
      <w:start w:val="1"/>
    </w:lvl>
  </w:abstractNum>
  <w:abstractNum w:abstractNumId="75">
    <w:nsid w:val="25973E32"/>
    <w:multiLevelType w:val="hybridMultilevel"/>
    <w:lvl w:ilvl="0">
      <w:lvlJc w:val="left"/>
      <w:lvlText w:val="(%1)"/>
      <w:numFmt w:val="lowerRoman"/>
      <w:start w:val="1"/>
    </w:lvl>
  </w:abstractNum>
  <w:abstractNum w:abstractNumId="76">
    <w:nsid w:val="EAD6F57"/>
    <w:multiLevelType w:val="hybridMultilevel"/>
    <w:lvl w:ilvl="0">
      <w:lvlJc w:val="left"/>
      <w:lvlText w:val="∎"/>
      <w:numFmt w:val="bullet"/>
      <w:start w:val="1"/>
    </w:lvl>
  </w:abstractNum>
  <w:abstractNum w:abstractNumId="77">
    <w:nsid w:val="6EC9D844"/>
    <w:multiLevelType w:val="hybridMultilevel"/>
    <w:lvl w:ilvl="0">
      <w:lvlJc w:val="left"/>
      <w:lvlText w:val="∎"/>
      <w:numFmt w:val="bullet"/>
      <w:start w:val="1"/>
    </w:lvl>
  </w:abstractNum>
  <w:abstractNum w:abstractNumId="78">
    <w:nsid w:val="5C49EAEE"/>
    <w:multiLevelType w:val="hybridMultilevel"/>
    <w:lvl w:ilvl="0">
      <w:lvlJc w:val="left"/>
      <w:lvlText w:val="%1."/>
      <w:numFmt w:val="decimal"/>
      <w:start w:val="1"/>
    </w:lvl>
  </w:abstractNum>
  <w:abstractNum w:abstractNumId="79">
    <w:nsid w:val="64AF49B"/>
    <w:multiLevelType w:val="hybridMultilevel"/>
    <w:lvl w:ilvl="0">
      <w:lvlJc w:val="left"/>
      <w:lvlText w:val="∎"/>
      <w:numFmt w:val="bullet"/>
      <w:start w:val="1"/>
    </w:lvl>
  </w:abstractNum>
  <w:abstractNum w:abstractNumId="80">
    <w:nsid w:val="397C46BC"/>
    <w:multiLevelType w:val="hybridMultilevel"/>
    <w:lvl w:ilvl="0">
      <w:lvlJc w:val="left"/>
      <w:lvlText w:val="∎"/>
      <w:numFmt w:val="bullet"/>
      <w:start w:val="1"/>
    </w:lvl>
  </w:abstractNum>
  <w:abstractNum w:abstractNumId="81">
    <w:nsid w:val="7E448DE9"/>
    <w:multiLevelType w:val="hybridMultilevel"/>
    <w:lvl w:ilvl="0">
      <w:lvlJc w:val="left"/>
      <w:lvlText w:val="∎"/>
      <w:numFmt w:val="bullet"/>
      <w:start w:val="1"/>
    </w:lvl>
  </w:abstractNum>
  <w:abstractNum w:abstractNumId="82">
    <w:nsid w:val="5A9CC3E5"/>
    <w:multiLevelType w:val="hybridMultilevel"/>
    <w:lvl w:ilvl="0">
      <w:lvlJc w:val="left"/>
      <w:lvlText w:val="∎"/>
      <w:numFmt w:val="bullet"/>
      <w:start w:val="1"/>
    </w:lvl>
  </w:abstractNum>
  <w:abstractNum w:abstractNumId="83">
    <w:nsid w:val="1AFE3625"/>
    <w:multiLevelType w:val="hybridMultilevel"/>
    <w:lvl w:ilvl="0">
      <w:lvlJc w:val="left"/>
      <w:lvlText w:val="(%1)"/>
      <w:numFmt w:val="lowerLetter"/>
      <w:start w:val="1"/>
    </w:lvl>
  </w:abstractNum>
  <w:abstractNum w:abstractNumId="84">
    <w:nsid w:val="3CA88ECF"/>
    <w:multiLevelType w:val="hybridMultilevel"/>
    <w:lvl w:ilvl="0">
      <w:lvlJc w:val="left"/>
      <w:lvlText w:val="(%1)"/>
      <w:numFmt w:val="lowerLetter"/>
      <w:start w:val="3"/>
    </w:lvl>
  </w:abstractNum>
  <w:abstractNum w:abstractNumId="85">
    <w:nsid w:val="6EBE4208"/>
    <w:multiLevelType w:val="hybridMultilevel"/>
    <w:lvl w:ilvl="0">
      <w:lvlJc w:val="left"/>
      <w:lvlText w:val="∎"/>
      <w:numFmt w:val="bullet"/>
      <w:start w:val="1"/>
    </w:lvl>
  </w:abstractNum>
  <w:abstractNum w:abstractNumId="86">
    <w:nsid w:val="C058DF5"/>
    <w:multiLevelType w:val="hybridMultilevel"/>
    <w:lvl w:ilvl="0">
      <w:lvlJc w:val="left"/>
      <w:lvlText w:val="∎"/>
      <w:numFmt w:val="bullet"/>
      <w:start w:val="1"/>
    </w:lvl>
  </w:abstractNum>
  <w:abstractNum w:abstractNumId="87">
    <w:nsid w:val="CBE5BE9"/>
    <w:multiLevelType w:val="hybridMultilevel"/>
    <w:lvl w:ilvl="0">
      <w:lvlJc w:val="left"/>
      <w:lvlText w:val="∎"/>
      <w:numFmt w:val="bullet"/>
      <w:start w:val="1"/>
    </w:lvl>
  </w:abstractNum>
  <w:abstractNum w:abstractNumId="88">
    <w:nsid w:val="3102BBE2"/>
    <w:multiLevelType w:val="hybridMultilevel"/>
    <w:lvl w:ilvl="0">
      <w:lvlJc w:val="left"/>
      <w:lvlText w:val="∎"/>
      <w:numFmt w:val="bullet"/>
      <w:start w:val="1"/>
    </w:lvl>
  </w:abstractNum>
  <w:abstractNum w:abstractNumId="89">
    <w:nsid w:val="26A02C5E"/>
    <w:multiLevelType w:val="hybridMultilevel"/>
    <w:lvl w:ilvl="0">
      <w:lvlJc w:val="left"/>
      <w:lvlText w:val="(%1)"/>
      <w:numFmt w:val="decimal"/>
      <w:start w:val="1"/>
    </w:lvl>
  </w:abstractNum>
  <w:abstractNum w:abstractNumId="90">
    <w:nsid w:val="541C8153"/>
    <w:multiLevelType w:val="hybridMultilevel"/>
    <w:lvl w:ilvl="0">
      <w:lvlJc w:val="left"/>
      <w:lvlText w:val="(%1)"/>
      <w:numFmt w:val="decimal"/>
      <w:start w:val="1"/>
    </w:lvl>
  </w:abstractNum>
  <w:abstractNum w:abstractNumId="91">
    <w:nsid w:val="67906F60"/>
    <w:multiLevelType w:val="hybridMultilevel"/>
    <w:lvl w:ilvl="0">
      <w:lvlJc w:val="left"/>
      <w:lvlText w:val="(%1)"/>
      <w:numFmt w:val="decimal"/>
      <w:start w:val="1"/>
    </w:lvl>
  </w:abstractNum>
  <w:abstractNum w:abstractNumId="92">
    <w:nsid w:val="10DB9DAA"/>
    <w:multiLevelType w:val="hybridMultilevel"/>
    <w:lvl w:ilvl="0">
      <w:lvlJc w:val="left"/>
      <w:lvlText w:val="%1)"/>
      <w:numFmt w:val="decimal"/>
      <w:start w:val="6"/>
    </w:lvl>
  </w:abstractNum>
  <w:abstractNum w:abstractNumId="93">
    <w:nsid w:val="697D2D2"/>
    <w:multiLevelType w:val="hybridMultilevel"/>
    <w:lvl w:ilvl="0">
      <w:lvlJc w:val="left"/>
      <w:lvlText w:val="(%1)"/>
      <w:numFmt w:val="decimal"/>
      <w:start w:val="1"/>
    </w:lvl>
  </w:abstractNum>
  <w:abstractNum w:abstractNumId="94">
    <w:nsid w:val="6D68AB2"/>
    <w:multiLevelType w:val="hybridMultilevel"/>
    <w:lvl w:ilvl="0">
      <w:lvlJc w:val="left"/>
      <w:lvlText w:val="*"/>
      <w:numFmt w:val="bullet"/>
      <w:start w:val="1"/>
    </w:lvl>
    <w:lvl w:ilvl="1">
      <w:lvlJc w:val="left"/>
      <w:lvlText w:val="**"/>
      <w:numFmt w:val="bullet"/>
      <w:start w:val="1"/>
    </w:lvl>
  </w:abstractNum>
  <w:abstractNum w:abstractNumId="95">
    <w:nsid w:val="3A966CD0"/>
    <w:multiLevelType w:val="hybridMultilevel"/>
    <w:lvl w:ilvl="0">
      <w:lvlJc w:val="left"/>
      <w:lvlText w:val="(%1)"/>
      <w:numFmt w:val="lowerLetter"/>
      <w:start w:val="1"/>
    </w:lvl>
    <w:lvl w:ilvl="1">
      <w:lvlJc w:val="left"/>
      <w:lvlText w:val="(%2)"/>
      <w:numFmt w:val="decimal"/>
      <w:start w:val="1"/>
    </w:lvl>
  </w:abstractNum>
  <w:abstractNum w:abstractNumId="96">
    <w:nsid w:val="63F37E85"/>
    <w:multiLevelType w:val="hybridMultilevel"/>
    <w:lvl w:ilvl="0">
      <w:lvlJc w:val="left"/>
      <w:lvlText w:val="(%1)"/>
      <w:numFmt w:val="lowerRoman"/>
      <w:start w:val="1"/>
    </w:lvl>
  </w:abstractNum>
  <w:abstractNum w:abstractNumId="97">
    <w:nsid w:val="5895F5FA"/>
    <w:multiLevelType w:val="hybridMultilevel"/>
    <w:lvl w:ilvl="0">
      <w:lvlJc w:val="left"/>
      <w:lvlText w:val="1"/>
      <w:numFmt w:val="bullet"/>
      <w:start w:val="1"/>
    </w:lvl>
  </w:abstractNum>
  <w:abstractNum w:abstractNumId="98">
    <w:nsid w:val="38A5D054"/>
    <w:multiLevelType w:val="hybridMultilevel"/>
    <w:lvl w:ilvl="0">
      <w:lvlJc w:val="left"/>
      <w:lvlText w:val="2"/>
      <w:numFmt w:val="bullet"/>
      <w:start w:val="1"/>
    </w:lvl>
  </w:abstractNum>
  <w:abstractNum w:abstractNumId="99">
    <w:nsid w:val="F3F09D8"/>
    <w:multiLevelType w:val="hybridMultilevel"/>
    <w:lvl w:ilvl="0">
      <w:lvlJc w:val="left"/>
      <w:lvlText w:val="3"/>
      <w:numFmt w:val="bullet"/>
      <w:start w:val="1"/>
    </w:lvl>
  </w:abstractNum>
  <w:abstractNum w:abstractNumId="100">
    <w:nsid w:val="4B793735"/>
    <w:multiLevelType w:val="hybridMultilevel"/>
    <w:lvl w:ilvl="0">
      <w:lvlJc w:val="left"/>
      <w:lvlText w:val="4"/>
      <w:numFmt w:val="bullet"/>
      <w:start w:val="1"/>
    </w:lvl>
  </w:abstractNum>
  <w:abstractNum w:abstractNumId="101">
    <w:nsid w:val="4A10B4E8"/>
    <w:multiLevelType w:val="hybridMultilevel"/>
    <w:lvl w:ilvl="0">
      <w:lvlJc w:val="left"/>
      <w:lvlText w:val="5"/>
      <w:numFmt w:val="bullet"/>
      <w:start w:val="1"/>
    </w:lvl>
  </w:abstractNum>
  <w:abstractNum w:abstractNumId="102">
    <w:nsid w:val="43D3BCD4"/>
    <w:multiLevelType w:val="hybridMultilevel"/>
    <w:lvl w:ilvl="0">
      <w:lvlJc w:val="left"/>
      <w:lvlText w:val="6"/>
      <w:numFmt w:val="bullet"/>
      <w:start w:val="1"/>
    </w:lvl>
  </w:abstractNum>
  <w:abstractNum w:abstractNumId="103">
    <w:nsid w:val="4C2A7166"/>
    <w:multiLevelType w:val="hybridMultilevel"/>
    <w:lvl w:ilvl="0">
      <w:lvlJc w:val="left"/>
      <w:lvlText w:val="7"/>
      <w:numFmt w:val="bullet"/>
      <w:start w:val="1"/>
    </w:lvl>
  </w:abstractNum>
  <w:abstractNum w:abstractNumId="104">
    <w:nsid w:val="2E534A82"/>
    <w:multiLevelType w:val="hybridMultilevel"/>
    <w:lvl w:ilvl="0">
      <w:lvlJc w:val="left"/>
      <w:lvlText w:val="1"/>
      <w:numFmt w:val="bullet"/>
      <w:start w:val="1"/>
    </w:lvl>
  </w:abstractNum>
  <w:abstractNum w:abstractNumId="105">
    <w:nsid w:val="26F2D364"/>
    <w:multiLevelType w:val="hybridMultilevel"/>
    <w:lvl w:ilvl="0">
      <w:lvlJc w:val="left"/>
      <w:lvlText w:val="(%1)"/>
      <w:numFmt w:val="lowerLetter"/>
      <w:start w:val="11"/>
    </w:lvl>
  </w:abstractNum>
  <w:abstractNum w:abstractNumId="106">
    <w:nsid w:val="71C1AF98"/>
    <w:multiLevelType w:val="hybridMultilevel"/>
    <w:lvl w:ilvl="0">
      <w:lvlJc w:val="left"/>
      <w:lvlText w:val="2"/>
      <w:numFmt w:val="bullet"/>
      <w:start w:val="1"/>
    </w:lvl>
  </w:abstractNum>
  <w:abstractNum w:abstractNumId="107">
    <w:nsid w:val="3D00B9D9"/>
    <w:multiLevelType w:val="hybridMultilevel"/>
    <w:lvl w:ilvl="0">
      <w:lvlJc w:val="left"/>
      <w:lvlText w:val="3"/>
      <w:numFmt w:val="bullet"/>
      <w:start w:val="1"/>
    </w:lvl>
  </w:abstractNum>
  <w:abstractNum w:abstractNumId="108">
    <w:nsid w:val="15BCABA8"/>
    <w:multiLevelType w:val="hybridMultilevel"/>
    <w:lvl w:ilvl="0">
      <w:lvlJc w:val="left"/>
      <w:lvlText w:val="4"/>
      <w:numFmt w:val="bullet"/>
      <w:start w:val="1"/>
    </w:lvl>
  </w:abstractNum>
  <w:abstractNum w:abstractNumId="109">
    <w:nsid w:val="4E0B9A87"/>
    <w:multiLevelType w:val="hybridMultilevel"/>
    <w:lvl w:ilvl="0">
      <w:lvlJc w:val="left"/>
      <w:lvlText w:val="5"/>
      <w:numFmt w:val="bullet"/>
      <w:start w:val="1"/>
    </w:lvl>
  </w:abstractNum>
  <w:abstractNum w:abstractNumId="110">
    <w:nsid w:val="434BAE75"/>
    <w:multiLevelType w:val="hybridMultilevel"/>
    <w:lvl w:ilvl="0">
      <w:lvlJc w:val="left"/>
      <w:lvlText w:val="6"/>
      <w:numFmt w:val="bullet"/>
      <w:start w:val="1"/>
    </w:lvl>
  </w:abstractNum>
  <w:abstractNum w:abstractNumId="111">
    <w:nsid w:val="4F38F265"/>
    <w:multiLevelType w:val="hybridMultilevel"/>
    <w:lvl w:ilvl="0">
      <w:lvlJc w:val="left"/>
      <w:lvlText w:val="7"/>
      <w:numFmt w:val="bullet"/>
      <w:start w:val="1"/>
    </w:lvl>
  </w:abstractNum>
  <w:abstractNum w:abstractNumId="112">
    <w:nsid w:val="4C502870"/>
    <w:multiLevelType w:val="hybridMultilevel"/>
    <w:lvl w:ilvl="0">
      <w:lvlJc w:val="left"/>
      <w:lvlText w:val="8"/>
      <w:numFmt w:val="bullet"/>
      <w:start w:val="1"/>
    </w:lvl>
  </w:abstractNum>
  <w:abstractNum w:abstractNumId="113">
    <w:nsid w:val="1DE8725A"/>
    <w:multiLevelType w:val="hybridMultilevel"/>
    <w:lvl w:ilvl="0">
      <w:lvlJc w:val="left"/>
      <w:lvlText w:val="9"/>
      <w:numFmt w:val="bullet"/>
      <w:start w:val="1"/>
    </w:lvl>
  </w:abstractNum>
  <w:abstractNum w:abstractNumId="114">
    <w:nsid w:val="6A37288A"/>
    <w:multiLevelType w:val="hybridMultilevel"/>
    <w:lvl w:ilvl="0">
      <w:lvlJc w:val="left"/>
      <w:lvlText w:val="%1"/>
      <w:numFmt w:val="decimal"/>
      <w:start w:val="11"/>
    </w:lvl>
  </w:abstractNum>
  <w:abstractNum w:abstractNumId="115">
    <w:nsid w:val="8F8B73F"/>
    <w:multiLevelType w:val="hybridMultilevel"/>
    <w:lvl w:ilvl="0">
      <w:lvlJc w:val="left"/>
      <w:lvlText w:val="(%1)"/>
      <w:numFmt w:val="lowerLetter"/>
      <w:start w:val="1"/>
    </w:lvl>
  </w:abstractNum>
  <w:abstractNum w:abstractNumId="116">
    <w:nsid w:val="CA6B462"/>
    <w:multiLevelType w:val="hybridMultilevel"/>
    <w:lvl w:ilvl="0">
      <w:lvlJc w:val="left"/>
      <w:lvlText w:val="(%1)"/>
      <w:numFmt w:val="lowerLetter"/>
      <w:start w:val="1"/>
    </w:lvl>
  </w:abstractNum>
  <w:abstractNum w:abstractNumId="117">
    <w:nsid w:val="763CB680"/>
    <w:multiLevelType w:val="hybridMultilevel"/>
    <w:lvl w:ilvl="0">
      <w:lvlJc w:val="left"/>
      <w:lvlText w:val="%1"/>
      <w:numFmt w:val="decimal"/>
      <w:start w:val="19"/>
    </w:lvl>
  </w:abstractNum>
  <w:abstractNum w:abstractNumId="118">
    <w:nsid w:val="15B71329"/>
    <w:multiLevelType w:val="hybridMultilevel"/>
    <w:lvl w:ilvl="0">
      <w:lvlJc w:val="left"/>
      <w:lvlText w:val="(%1)"/>
      <w:numFmt w:val="lowerLetter"/>
      <w:start w:val="1"/>
    </w:lvl>
  </w:abstractNum>
  <w:abstractNum w:abstractNumId="119">
    <w:nsid w:val="3DA97044"/>
    <w:multiLevelType w:val="hybridMultilevel"/>
    <w:lvl w:ilvl="0">
      <w:lvlJc w:val="left"/>
      <w:lvlText w:val="%1"/>
      <w:numFmt w:val="decimal"/>
      <w:start w:val="25"/>
    </w:lvl>
  </w:abstractNum>
  <w:abstractNum w:abstractNumId="120">
    <w:nsid w:val="1CDCE2DE"/>
    <w:multiLevelType w:val="hybridMultilevel"/>
    <w:lvl w:ilvl="0">
      <w:lvlJc w:val="left"/>
      <w:lvlText w:val="%1"/>
      <w:numFmt w:val="decimal"/>
      <w:start w:val="26"/>
    </w:lvl>
  </w:abstractNum>
  <w:abstractNum w:abstractNumId="121">
    <w:nsid w:val="69D3947C"/>
    <w:multiLevelType w:val="hybridMultilevel"/>
    <w:lvl w:ilvl="0">
      <w:lvlJc w:val="left"/>
      <w:lvlText w:val="%1"/>
      <w:numFmt w:val="decimal"/>
      <w:start w:val="30"/>
    </w:lvl>
    <w:lvl w:ilvl="1">
      <w:lvlJc w:val="left"/>
      <w:lvlText w:val="(%2)"/>
      <w:numFmt w:val="lowerLetter"/>
      <w:start w:val="1"/>
    </w:lvl>
  </w:abstractNum>
  <w:abstractNum w:abstractNumId="122">
    <w:nsid w:val="2539DFA5"/>
    <w:multiLevelType w:val="hybridMultilevel"/>
    <w:lvl w:ilvl="0">
      <w:lvlJc w:val="left"/>
      <w:lvlText w:val="%1"/>
      <w:numFmt w:val="decimal"/>
      <w:start w:val="32"/>
    </w:lvl>
  </w:abstractNum>
  <w:abstractNum w:abstractNumId="123">
    <w:nsid w:val="2DB88089"/>
    <w:multiLevelType w:val="hybridMultilevel"/>
    <w:lvl w:ilvl="0">
      <w:lvlJc w:val="left"/>
      <w:lvlText w:val="%1"/>
      <w:numFmt w:val="decimal"/>
      <w:start w:val="34"/>
    </w:lvl>
  </w:abstractNum>
  <w:abstractNum w:abstractNumId="124">
    <w:nsid w:val="706B674E"/>
    <w:multiLevelType w:val="hybridMultilevel"/>
    <w:lvl w:ilvl="0">
      <w:lvlJc w:val="left"/>
      <w:lvlText w:val="%1"/>
      <w:numFmt w:val="decimal"/>
      <w:start w:val="37"/>
    </w:lvl>
  </w:abstractNum>
  <w:abstractNum w:abstractNumId="125">
    <w:nsid w:val="2C106A57"/>
    <w:multiLevelType w:val="hybridMultilevel"/>
    <w:lvl w:ilvl="0">
      <w:lvlJc w:val="left"/>
      <w:lvlText w:val="%1"/>
      <w:numFmt w:val="decimal"/>
      <w:start w:val="41"/>
    </w:lvl>
  </w:abstractNum>
  <w:abstractNum w:abstractNumId="126">
    <w:nsid w:val="684EED59"/>
    <w:multiLevelType w:val="hybridMultilevel"/>
    <w:lvl w:ilvl="0">
      <w:lvlJc w:val="left"/>
      <w:lvlText w:val="(%1)"/>
      <w:numFmt w:val="lowerLetter"/>
      <w:start w:val="1"/>
    </w:lvl>
  </w:abstractNum>
  <w:abstractNum w:abstractNumId="127">
    <w:nsid w:val="545EE5D3"/>
    <w:multiLevelType w:val="hybridMultilevel"/>
    <w:lvl w:ilvl="0">
      <w:lvlJc w:val="left"/>
      <w:lvlText w:val="(%1)"/>
      <w:numFmt w:val="lowerLetter"/>
      <w:start w:val="2"/>
    </w:lvl>
  </w:abstractNum>
  <w:abstractNum w:abstractNumId="128">
    <w:nsid w:val="4A66051"/>
    <w:multiLevelType w:val="hybridMultilevel"/>
    <w:lvl w:ilvl="0">
      <w:lvlJc w:val="left"/>
      <w:lvlText w:val="%1"/>
      <w:numFmt w:val="decimal"/>
      <w:start w:val="47"/>
    </w:lvl>
  </w:abstractNum>
  <w:abstractNum w:abstractNumId="129">
    <w:nsid w:val="20F4BDAD"/>
    <w:multiLevelType w:val="hybridMultilevel"/>
    <w:lvl w:ilvl="0">
      <w:lvlJc w:val="left"/>
      <w:lvlText w:val="1"/>
      <w:numFmt w:val="bullet"/>
      <w:start w:val="1"/>
    </w:lvl>
  </w:abstractNum>
  <w:abstractNum w:abstractNumId="130">
    <w:nsid w:val="639DEFAC"/>
    <w:multiLevelType w:val="hybridMultilevel"/>
    <w:lvl w:ilvl="0">
      <w:lvlJc w:val="left"/>
      <w:lvlText w:val="2"/>
      <w:numFmt w:val="bullet"/>
      <w:start w:val="1"/>
    </w:lvl>
  </w:abstractNum>
  <w:abstractNum w:abstractNumId="131">
    <w:nsid w:val="501F9786"/>
    <w:multiLevelType w:val="hybridMultilevel"/>
    <w:lvl w:ilvl="0">
      <w:lvlJc w:val="left"/>
      <w:lvlText w:val="3"/>
      <w:numFmt w:val="bullet"/>
      <w:start w:val="1"/>
    </w:lvl>
  </w:abstractNum>
  <w:abstractNum w:abstractNumId="132">
    <w:nsid w:val="6B057295"/>
    <w:multiLevelType w:val="hybridMultilevel"/>
    <w:lvl w:ilvl="0">
      <w:lvlJc w:val="left"/>
      <w:lvlText w:val="4"/>
      <w:numFmt w:val="bullet"/>
      <w:start w:val="1"/>
    </w:lvl>
  </w:abstractNum>
  <w:abstractNum w:abstractNumId="133">
    <w:nsid w:val="2771AC80"/>
    <w:multiLevelType w:val="hybridMultilevel"/>
    <w:lvl w:ilvl="0">
      <w:lvlJc w:val="left"/>
      <w:lvlText w:val="5"/>
      <w:numFmt w:val="bullet"/>
      <w:start w:val="1"/>
    </w:lvl>
  </w:abstractNum>
  <w:abstractNum w:abstractNumId="134">
    <w:nsid w:val="1C4A08EC"/>
    <w:multiLevelType w:val="hybridMultilevel"/>
    <w:lvl w:ilvl="0">
      <w:lvlJc w:val="left"/>
      <w:lvlText w:val="6"/>
      <w:numFmt w:val="bullet"/>
      <w:start w:val="1"/>
    </w:lvl>
  </w:abstractNum>
  <w:abstractNum w:abstractNumId="135">
    <w:nsid w:val="1958BD17"/>
    <w:multiLevelType w:val="hybridMultilevel"/>
    <w:lvl w:ilvl="0">
      <w:lvlJc w:val="left"/>
      <w:lvlText w:val="7"/>
      <w:numFmt w:val="bullet"/>
      <w:start w:val="1"/>
    </w:lvl>
  </w:abstractNum>
  <w:abstractNum w:abstractNumId="136">
    <w:nsid w:val="4E647FE4"/>
    <w:multiLevelType w:val="hybridMultilevel"/>
    <w:lvl w:ilvl="0">
      <w:lvlJc w:val="left"/>
      <w:lvlText w:val="1"/>
      <w:numFmt w:val="bullet"/>
      <w:start w:val="1"/>
    </w:lvl>
  </w:abstractNum>
  <w:abstractNum w:abstractNumId="137">
    <w:nsid w:val="E0BB885"/>
    <w:multiLevelType w:val="hybridMultilevel"/>
    <w:lvl w:ilvl="0">
      <w:lvlJc w:val="left"/>
      <w:lvlText w:val="(%1)"/>
      <w:numFmt w:val="lowerLetter"/>
      <w:start w:val="1"/>
    </w:lvl>
  </w:abstractNum>
  <w:abstractNum w:abstractNumId="138">
    <w:nsid w:val="565976F1"/>
    <w:multiLevelType w:val="hybridMultilevel"/>
    <w:lvl w:ilvl="0">
      <w:lvlJc w:val="left"/>
      <w:lvlText w:val="(%1)"/>
      <w:numFmt w:val="lowerLetter"/>
      <w:start w:val="4"/>
    </w:lvl>
  </w:abstractNum>
  <w:abstractNum w:abstractNumId="139">
    <w:nsid w:val="64212B8C"/>
    <w:multiLevelType w:val="hybridMultilevel"/>
    <w:lvl w:ilvl="0">
      <w:lvlJc w:val="left"/>
      <w:lvlText w:val="2"/>
      <w:numFmt w:val="bullet"/>
      <w:start w:val="1"/>
    </w:lvl>
  </w:abstractNum>
  <w:abstractNum w:abstractNumId="140">
    <w:nsid w:val="5C17530C"/>
    <w:multiLevelType w:val="hybridMultilevel"/>
    <w:lvl w:ilvl="0">
      <w:lvlJc w:val="left"/>
      <w:lvlText w:val="3"/>
      <w:numFmt w:val="bullet"/>
      <w:start w:val="1"/>
    </w:lvl>
  </w:abstractNum>
  <w:abstractNum w:abstractNumId="141">
    <w:nsid w:val="19A52566"/>
    <w:multiLevelType w:val="hybridMultilevel"/>
    <w:lvl w:ilvl="0">
      <w:lvlJc w:val="left"/>
      <w:lvlText w:val="4"/>
      <w:numFmt w:val="bullet"/>
      <w:start w:val="1"/>
    </w:lvl>
  </w:abstractNum>
  <w:abstractNum w:abstractNumId="142">
    <w:nsid w:val="335A1DF1"/>
    <w:multiLevelType w:val="hybridMultilevel"/>
    <w:lvl w:ilvl="0">
      <w:lvlJc w:val="left"/>
      <w:lvlText w:val="5"/>
      <w:numFmt w:val="bullet"/>
      <w:start w:val="1"/>
    </w:lvl>
  </w:abstractNum>
  <w:abstractNum w:abstractNumId="143">
    <w:nsid w:val="28677B7C"/>
    <w:multiLevelType w:val="hybridMultilevel"/>
    <w:lvl w:ilvl="0">
      <w:lvlJc w:val="left"/>
      <w:lvlText w:val="6"/>
      <w:numFmt w:val="bullet"/>
      <w:start w:val="1"/>
    </w:lvl>
  </w:abstractNum>
  <w:abstractNum w:abstractNumId="144">
    <w:nsid w:val="378D97C0"/>
    <w:multiLevelType w:val="hybridMultilevel"/>
    <w:lvl w:ilvl="0">
      <w:lvlJc w:val="left"/>
      <w:lvlText w:val="7"/>
      <w:numFmt w:val="bullet"/>
      <w:start w:val="1"/>
    </w:lvl>
  </w:abstractNum>
  <w:abstractNum w:abstractNumId="145">
    <w:nsid w:val="1D91467C"/>
    <w:multiLevelType w:val="hybridMultilevel"/>
    <w:lvl w:ilvl="0">
      <w:lvlJc w:val="left"/>
      <w:lvlText w:val="8"/>
      <w:numFmt w:val="bullet"/>
      <w:start w:val="1"/>
    </w:lvl>
  </w:abstractNum>
  <w:abstractNum w:abstractNumId="146">
    <w:nsid w:val="316032BB"/>
    <w:multiLevelType w:val="hybridMultilevel"/>
    <w:lvl w:ilvl="0">
      <w:lvlJc w:val="left"/>
      <w:lvlText w:val="(%1)"/>
      <w:numFmt w:val="lowerLetter"/>
      <w:start w:val="1"/>
    </w:lvl>
  </w:abstractNum>
  <w:abstractNum w:abstractNumId="147">
    <w:nsid w:val="44344C22"/>
    <w:multiLevelType w:val="hybridMultilevel"/>
    <w:lvl w:ilvl="0">
      <w:lvlJc w:val="left"/>
      <w:lvlText w:val="(%1)"/>
      <w:numFmt w:val="lowerLetter"/>
      <w:start w:val="3"/>
    </w:lvl>
  </w:abstractNum>
  <w:abstractNum w:abstractNumId="148">
    <w:nsid w:val="13CDFCFC"/>
    <w:multiLevelType w:val="hybridMultilevel"/>
    <w:lvl w:ilvl="0">
      <w:lvlJc w:val="left"/>
      <w:lvlText w:val="9"/>
      <w:numFmt w:val="bullet"/>
      <w:start w:val="1"/>
    </w:lvl>
  </w:abstractNum>
  <w:abstractNum w:abstractNumId="149">
    <w:nsid w:val="471745E4"/>
    <w:multiLevelType w:val="hybridMultilevel"/>
    <w:lvl w:ilvl="0">
      <w:lvlJc w:val="left"/>
      <w:lvlText w:val="%1"/>
      <w:numFmt w:val="decimal"/>
      <w:start w:val="11"/>
    </w:lvl>
  </w:abstractNum>
  <w:abstractNum w:abstractNumId="150">
    <w:nsid w:val="1DDBC66"/>
    <w:multiLevelType w:val="hybridMultilevel"/>
    <w:lvl w:ilvl="0">
      <w:lvlJc w:val="left"/>
      <w:lvlText w:val="(%1)"/>
      <w:numFmt w:val="lowerLetter"/>
      <w:start w:val="1"/>
    </w:lvl>
  </w:abstractNum>
  <w:abstractNum w:abstractNumId="151">
    <w:nsid w:val="30AADFDA"/>
    <w:multiLevelType w:val="hybridMultilevel"/>
    <w:lvl w:ilvl="0">
      <w:lvlJc w:val="left"/>
      <w:lvlText w:val="(%1)"/>
      <w:numFmt w:val="lowerLetter"/>
      <w:start w:val="1"/>
    </w:lvl>
  </w:abstractNum>
  <w:abstractNum w:abstractNumId="152">
    <w:nsid w:val="30EADA61"/>
    <w:multiLevelType w:val="hybridMultilevel"/>
    <w:lvl w:ilvl="0">
      <w:lvlJc w:val="left"/>
      <w:lvlText w:val="(%1)"/>
      <w:numFmt w:val="lowerLetter"/>
      <w:start w:val="3"/>
    </w:lvl>
  </w:abstractNum>
  <w:abstractNum w:abstractNumId="153">
    <w:nsid w:val="27179C0B"/>
    <w:multiLevelType w:val="hybridMultilevel"/>
    <w:lvl w:ilvl="0">
      <w:lvlJc w:val="left"/>
      <w:lvlText w:val="%1"/>
      <w:numFmt w:val="decimal"/>
      <w:start w:val="19"/>
    </w:lvl>
  </w:abstractNum>
  <w:abstractNum w:abstractNumId="154">
    <w:nsid w:val="5E636063"/>
    <w:multiLevelType w:val="hybridMultilevel"/>
    <w:lvl w:ilvl="0">
      <w:lvlJc w:val="left"/>
      <w:lvlText w:val="(%1)"/>
      <w:numFmt w:val="lowerLetter"/>
      <w:start w:val="1"/>
    </w:lvl>
  </w:abstractNum>
  <w:abstractNum w:abstractNumId="155">
    <w:nsid w:val="215641AF"/>
    <w:multiLevelType w:val="hybridMultilevel"/>
    <w:lvl w:ilvl="0">
      <w:lvlJc w:val="left"/>
      <w:lvlText w:val="(%1)"/>
      <w:numFmt w:val="lowerLetter"/>
      <w:start w:val="1"/>
    </w:lvl>
    <w:lvl w:ilvl="1">
      <w:lvlJc w:val="left"/>
      <w:lvlText w:val="(%2)"/>
      <w:numFmt w:val="lowerRoman"/>
      <w:start w:val="1"/>
    </w:lvl>
  </w:abstractNum>
  <w:abstractNum w:abstractNumId="156">
    <w:nsid w:val="53280662"/>
    <w:multiLevelType w:val="hybridMultilevel"/>
    <w:lvl w:ilvl="0">
      <w:lvlJc w:val="left"/>
      <w:lvlText w:val="(%1)"/>
      <w:numFmt w:val="lowerRoman"/>
      <w:start w:val="10"/>
    </w:lvl>
  </w:abstractNum>
  <w:abstractNum w:abstractNumId="157">
    <w:nsid w:val="46B24DBC"/>
    <w:multiLevelType w:val="hybridMultilevel"/>
    <w:lvl w:ilvl="0">
      <w:lvlJc w:val="left"/>
      <w:lvlText w:val="(%1)"/>
      <w:numFmt w:val="lowerLetter"/>
      <w:start w:val="1"/>
    </w:lvl>
    <w:lvl w:ilvl="1">
      <w:lvlJc w:val="left"/>
      <w:lvlText w:val="(%2)"/>
      <w:numFmt w:val="lowerRoman"/>
      <w:start w:val="1"/>
    </w:lvl>
  </w:abstractNum>
  <w:abstractNum w:abstractNumId="158">
    <w:nsid w:val="75B52783"/>
    <w:multiLevelType w:val="hybridMultilevel"/>
    <w:lvl w:ilvl="0">
      <w:lvlJc w:val="left"/>
      <w:lvlText w:val="(%1)"/>
      <w:numFmt w:val="lowerLetter"/>
      <w:start w:val="4"/>
    </w:lvl>
    <w:lvl w:ilvl="1">
      <w:lvlJc w:val="left"/>
      <w:lvlText w:val="(%2)"/>
      <w:numFmt w:val="lowerRoman"/>
      <w:start w:val="1"/>
    </w:lvl>
  </w:abstractNum>
  <w:abstractNum w:abstractNumId="159">
    <w:nsid w:val="57CE66B4"/>
    <w:multiLevelType w:val="hybridMultilevel"/>
    <w:lvl w:ilvl="0">
      <w:lvlJc w:val="left"/>
      <w:lvlText w:val="(%1)"/>
      <w:numFmt w:val="lowerLetter"/>
      <w:start w:val="1"/>
    </w:lvl>
  </w:abstractNum>
  <w:abstractNum w:abstractNumId="160">
    <w:nsid w:val="67A70B69"/>
    <w:multiLevelType w:val="hybridMultilevel"/>
    <w:lvl w:ilvl="0">
      <w:lvlJc w:val="left"/>
      <w:lvlText w:val="(%1)"/>
      <w:numFmt w:val="lowerLetter"/>
      <w:start w:val="1"/>
    </w:lvl>
  </w:abstractNum>
  <w:abstractNum w:abstractNumId="161">
    <w:nsid w:val="5953172F"/>
    <w:multiLevelType w:val="hybridMultilevel"/>
    <w:lvl w:ilvl="0">
      <w:lvlJc w:val="left"/>
      <w:lvlText w:val="(%1)"/>
      <w:numFmt w:val="lowerLetter"/>
      <w:start w:val="1"/>
    </w:lvl>
  </w:abstractNum>
  <w:abstractNum w:abstractNumId="162">
    <w:nsid w:val="27EDFE3A"/>
    <w:multiLevelType w:val="hybridMultilevel"/>
    <w:lvl w:ilvl="0">
      <w:lvlJc w:val="left"/>
      <w:lvlText w:val="%1"/>
      <w:numFmt w:val="decimal"/>
      <w:start w:val="27"/>
    </w:lvl>
  </w:abstractNum>
  <w:abstractNum w:abstractNumId="163">
    <w:nsid w:val="52AC7DFF"/>
    <w:multiLevelType w:val="hybridMultilevel"/>
    <w:lvl w:ilvl="0">
      <w:lvlJc w:val="left"/>
      <w:lvlText w:val="(%1)"/>
      <w:numFmt w:val="lowerLetter"/>
      <w:start w:val="1"/>
    </w:lvl>
    <w:lvl w:ilvl="1">
      <w:lvlJc w:val="left"/>
      <w:lvlText w:val="(%2)"/>
      <w:numFmt w:val="lowerRoman"/>
      <w:start w:val="1"/>
    </w:lvl>
  </w:abstractNum>
  <w:abstractNum w:abstractNumId="164">
    <w:nsid w:val="C4C3AF"/>
    <w:multiLevelType w:val="hybridMultilevel"/>
    <w:lvl w:ilvl="0">
      <w:lvlJc w:val="left"/>
      <w:lvlText w:val="(%1)"/>
      <w:numFmt w:val="lowerLetter"/>
      <w:start w:val="1"/>
    </w:lvl>
    <w:lvl w:ilvl="1">
      <w:lvlJc w:val="left"/>
      <w:lvlText w:val="(%2)"/>
      <w:numFmt w:val="lowerRoman"/>
      <w:start w:val="1"/>
    </w:lvl>
  </w:abstractNum>
  <w:abstractNum w:abstractNumId="165">
    <w:nsid w:val="44380727"/>
    <w:multiLevelType w:val="hybridMultilevel"/>
    <w:lvl w:ilvl="0">
      <w:lvlJc w:val="left"/>
      <w:lvlText w:val="(%1)"/>
      <w:numFmt w:val="lowerLetter"/>
      <w:start w:val="3"/>
    </w:lvl>
    <w:lvl w:ilvl="1">
      <w:lvlJc w:val="left"/>
      <w:lvlText w:val="(%2)"/>
      <w:numFmt w:val="lowerRoman"/>
      <w:start w:val="1"/>
    </w:lvl>
  </w:abstractNum>
  <w:abstractNum w:abstractNumId="166">
    <w:nsid w:val="6C053B16"/>
    <w:multiLevelType w:val="hybridMultilevel"/>
    <w:lvl w:ilvl="0">
      <w:lvlJc w:val="left"/>
      <w:lvlText w:val="(%1)"/>
      <w:numFmt w:val="lowerLetter"/>
      <w:start w:val="1"/>
    </w:lvl>
  </w:abstractNum>
  <w:abstractNum w:abstractNumId="167">
    <w:nsid w:val="4F294393"/>
    <w:multiLevelType w:val="hybridMultilevel"/>
    <w:lvl w:ilvl="0">
      <w:lvlJc w:val="left"/>
      <w:lvlText w:val="(%1)"/>
      <w:numFmt w:val="lowerLetter"/>
      <w:start w:val="1"/>
    </w:lvl>
    <w:lvl w:ilvl="1">
      <w:lvlJc w:val="left"/>
      <w:lvlText w:val="(%2)"/>
      <w:numFmt w:val="lowerRoman"/>
      <w:start w:val="1"/>
    </w:lvl>
  </w:abstractNum>
  <w:abstractNum w:abstractNumId="168">
    <w:nsid w:val="5243BFAC"/>
    <w:multiLevelType w:val="hybridMultilevel"/>
    <w:lvl w:ilvl="0">
      <w:lvlJc w:val="left"/>
      <w:lvlText w:val="(%1)"/>
      <w:numFmt w:val="lowerLetter"/>
      <w:start w:val="3"/>
    </w:lvl>
  </w:abstractNum>
  <w:abstractNum w:abstractNumId="169">
    <w:nsid w:val="425EB207"/>
    <w:multiLevelType w:val="hybridMultilevel"/>
    <w:lvl w:ilvl="0">
      <w:lvlJc w:val="left"/>
      <w:lvlText w:val="%1"/>
      <w:numFmt w:val="decimal"/>
      <w:start w:val="32"/>
    </w:lvl>
    <w:lvl w:ilvl="1">
      <w:lvlJc w:val="left"/>
      <w:lvlText w:val="(%2)"/>
      <w:numFmt w:val="lowerLetter"/>
      <w:start w:val="1"/>
    </w:lvl>
  </w:abstractNum>
  <w:abstractNum w:abstractNumId="170">
    <w:nsid w:val="334A6F1F"/>
    <w:multiLevelType w:val="hybridMultilevel"/>
    <w:lvl w:ilvl="0">
      <w:lvlJc w:val="left"/>
      <w:lvlText w:val="%1"/>
      <w:numFmt w:val="decimal"/>
      <w:start w:val="34"/>
    </w:lvl>
  </w:abstractNum>
  <w:abstractNum w:abstractNumId="171">
    <w:nsid w:val="2E5B12B8"/>
    <w:multiLevelType w:val="hybridMultilevel"/>
    <w:lvl w:ilvl="0">
      <w:lvlJc w:val="left"/>
      <w:lvlText w:val="%1"/>
      <w:numFmt w:val="decimal"/>
      <w:start w:val="36"/>
    </w:lvl>
  </w:abstractNum>
  <w:abstractNum w:abstractNumId="172">
    <w:nsid w:val="5C03D76D"/>
    <w:multiLevelType w:val="hybridMultilevel"/>
    <w:lvl w:ilvl="0">
      <w:lvlJc w:val="left"/>
      <w:lvlText w:val="%1"/>
      <w:numFmt w:val="decimal"/>
      <w:start w:val="38"/>
    </w:lvl>
  </w:abstractNum>
  <w:abstractNum w:abstractNumId="173">
    <w:nsid w:val="66A48D11"/>
    <w:multiLevelType w:val="hybridMultilevel"/>
    <w:lvl w:ilvl="0">
      <w:lvlJc w:val="left"/>
      <w:lvlText w:val="%1"/>
      <w:numFmt w:val="decimal"/>
      <w:start w:val="42"/>
    </w:lvl>
  </w:abstractNum>
  <w:abstractNum w:abstractNumId="174">
    <w:nsid w:val="56C28E34"/>
    <w:multiLevelType w:val="hybridMultilevel"/>
    <w:lvl w:ilvl="0">
      <w:lvlJc w:val="left"/>
      <w:lvlText w:val="(%1)"/>
      <w:numFmt w:val="lowerLetter"/>
      <w:start w:val="1"/>
    </w:lvl>
  </w:abstractNum>
  <w:abstractNum w:abstractNumId="175">
    <w:nsid w:val="13916F2D"/>
    <w:multiLevelType w:val="hybridMultilevel"/>
    <w:lvl w:ilvl="0">
      <w:lvlJc w:val="left"/>
      <w:lvlText w:val="(%1)"/>
      <w:numFmt w:val="lowerLetter"/>
      <w:start w:val="3"/>
    </w:lvl>
  </w:abstractNum>
  <w:abstractNum w:abstractNumId="176">
    <w:nsid w:val="435D38D"/>
    <w:multiLevelType w:val="hybridMultilevel"/>
    <w:lvl w:ilvl="0">
      <w:lvlJc w:val="left"/>
      <w:lvlText w:val="(%1)"/>
      <w:numFmt w:val="lowerLetter"/>
      <w:start w:val="1"/>
    </w:lvl>
  </w:abstractNum>
  <w:abstractNum w:abstractNumId="177">
    <w:nsid w:val="822C0EF"/>
    <w:multiLevelType w:val="hybridMultilevel"/>
    <w:lvl w:ilvl="0">
      <w:lvlJc w:val="left"/>
      <w:lvlText w:val="%1"/>
      <w:numFmt w:val="decimal"/>
      <w:start w:val="48"/>
    </w:lvl>
  </w:abstractNum>
  <w:abstractNum w:abstractNumId="178">
    <w:nsid w:val="57C5BB4F"/>
    <w:multiLevelType w:val="hybridMultilevel"/>
    <w:lvl w:ilvl="0">
      <w:lvlJc w:val="left"/>
      <w:lvlText w:val="%1"/>
      <w:numFmt w:val="decimal"/>
      <w:start w:val="50"/>
    </w:lvl>
  </w:abstractNum>
  <w:abstractNum w:abstractNumId="179">
    <w:nsid w:val="1803D089"/>
    <w:multiLevelType w:val="hybridMultilevel"/>
    <w:lvl w:ilvl="0">
      <w:lvlJc w:val="left"/>
      <w:lvlText w:val="(%1)"/>
      <w:numFmt w:val="lowerLetter"/>
      <w:start w:val="1"/>
    </w:lvl>
  </w:abstractNum>
  <w:abstractNum w:abstractNumId="180">
    <w:nsid w:val="4F3A06D4"/>
    <w:multiLevelType w:val="hybridMultilevel"/>
    <w:lvl w:ilvl="0">
      <w:lvlJc w:val="left"/>
      <w:lvlText w:val="(%1)"/>
      <w:numFmt w:val="lowerLetter"/>
      <w:start w:val="1"/>
    </w:lvl>
  </w:abstractNum>
  <w:abstractNum w:abstractNumId="181">
    <w:nsid w:val="59A377B6"/>
    <w:multiLevelType w:val="hybridMultilevel"/>
    <w:lvl w:ilvl="0">
      <w:lvlJc w:val="left"/>
      <w:lvlText w:val="(%1)"/>
      <w:numFmt w:val="lowerLetter"/>
      <w:start w:val="3"/>
    </w:lvl>
  </w:abstractNum>
  <w:abstractNum w:abstractNumId="182">
    <w:nsid w:val="48AEB063"/>
    <w:multiLevelType w:val="hybridMultilevel"/>
    <w:lvl w:ilvl="0">
      <w:lvlJc w:val="left"/>
      <w:lvlText w:val="(%1)"/>
      <w:numFmt w:val="lowerLetter"/>
      <w:start w:val="1"/>
    </w:lvl>
  </w:abstractNum>
  <w:abstractNum w:abstractNumId="183">
    <w:nsid w:val="24E135"/>
    <w:multiLevelType w:val="hybridMultilevel"/>
    <w:lvl w:ilvl="0">
      <w:lvlJc w:val="left"/>
      <w:lvlText w:val="(%1)"/>
      <w:numFmt w:val="lowerLetter"/>
      <w:start w:val="1"/>
    </w:lvl>
  </w:abstractNum>
  <w:abstractNum w:abstractNumId="184">
    <w:nsid w:val="BB13C1"/>
    <w:multiLevelType w:val="hybridMultilevel"/>
    <w:lvl w:ilvl="0">
      <w:lvlJc w:val="left"/>
      <w:lvlText w:val="%1"/>
      <w:numFmt w:val="decimal"/>
      <w:start w:val="52"/>
    </w:lvl>
  </w:abstractNum>
  <w:abstractNum w:abstractNumId="185">
    <w:nsid w:val="271210C7"/>
    <w:multiLevelType w:val="hybridMultilevel"/>
    <w:lvl w:ilvl="0">
      <w:lvlJc w:val="left"/>
      <w:lvlText w:val="(%1)"/>
      <w:numFmt w:val="lowerRoman"/>
      <w:start w:val="1"/>
    </w:lvl>
  </w:abstractNum>
  <w:abstractNum w:abstractNumId="186">
    <w:nsid w:val="217B22E4"/>
    <w:multiLevelType w:val="hybridMultilevel"/>
    <w:lvl w:ilvl="0">
      <w:lvlJc w:val="left"/>
      <w:lvlText w:val="%1."/>
      <w:numFmt w:val="decimal"/>
      <w:start w:val="1"/>
    </w:lvl>
  </w:abstractNum>
  <w:abstractNum w:abstractNumId="187">
    <w:nsid w:val="53E31A24"/>
    <w:multiLevelType w:val="hybridMultilevel"/>
    <w:lvl w:ilvl="0">
      <w:lvlJc w:val="left"/>
      <w:lvlText w:val="(%1)"/>
      <w:numFmt w:val="lowerLetter"/>
      <w:start w:val="9"/>
    </w:lvl>
    <w:lvl w:ilvl="1">
      <w:lvlJc w:val="left"/>
      <w:lvlText w:val="(%2)"/>
      <w:numFmt w:val="lowerLetter"/>
      <w:start w:val="1"/>
    </w:lvl>
  </w:abstractNum>
  <w:abstractNum w:abstractNumId="188">
    <w:nsid w:val="6DC45E83"/>
    <w:multiLevelType w:val="hybridMultilevel"/>
    <w:lvl w:ilvl="0">
      <w:lvlJc w:val="left"/>
      <w:lvlText w:val="%1."/>
      <w:numFmt w:val="decimal"/>
      <w:start w:val="3"/>
    </w:lvl>
  </w:abstractNum>
  <w:abstractNum w:abstractNumId="189">
    <w:nsid w:val="17304A67"/>
    <w:multiLevelType w:val="hybridMultilevel"/>
    <w:lvl w:ilvl="0">
      <w:lvlJc w:val="left"/>
      <w:lvlText w:val="(%1)"/>
      <w:numFmt w:val="decimal"/>
      <w:start w:val="5"/>
    </w:lvl>
  </w:abstractNum>
  <w:abstractNum w:abstractNumId="190">
    <w:nsid w:val="2BB180D8"/>
    <w:multiLevelType w:val="hybridMultilevel"/>
    <w:lvl w:ilvl="0">
      <w:lvlJc w:val="left"/>
      <w:lvlText w:val="(%1)"/>
      <w:numFmt w:val="lowerLetter"/>
      <w:start w:val="26"/>
    </w:lvl>
  </w:abstractNum>
  <w:abstractNum w:abstractNumId="191">
    <w:nsid w:val="556B69ED"/>
    <w:multiLevelType w:val="hybridMultilevel"/>
    <w:lvl w:ilvl="0">
      <w:lvlJc w:val="left"/>
      <w:lvlText w:val="%1"/>
      <w:numFmt w:val="decimal"/>
      <w:start w:val="1"/>
    </w:lvl>
    <w:lvl w:ilvl="1">
      <w:lvlJc w:val="left"/>
      <w:lvlText w:val="(%2)"/>
      <w:numFmt w:val="lowerLetter"/>
      <w:start w:val="1"/>
    </w:lvl>
  </w:abstractNum>
  <w:abstractNum w:abstractNumId="192">
    <w:nsid w:val="70836196"/>
    <w:multiLevelType w:val="hybridMultilevel"/>
    <w:lvl w:ilvl="0">
      <w:lvlJc w:val="left"/>
      <w:lvlText w:val="(%1)"/>
      <w:numFmt w:val="decimal"/>
      <w:start w:val="10"/>
    </w:lvl>
    <w:lvl w:ilvl="1">
      <w:lvlJc w:val="left"/>
      <w:lvlText w:val="(%2)"/>
      <w:numFmt w:val="lowerLetter"/>
      <w:start w:val="4"/>
    </w:lvl>
  </w:abstractNum>
  <w:abstractNum w:abstractNumId="193">
    <w:nsid w:val="539F7F12"/>
    <w:multiLevelType w:val="hybridMultilevel"/>
    <w:lvl w:ilvl="0">
      <w:lvlJc w:val="left"/>
      <w:lvlText w:val="(%1)"/>
      <w:numFmt w:val="lowerRoman"/>
      <w:start w:val="10"/>
    </w:lvl>
  </w:abstractNum>
  <w:abstractNum w:abstractNumId="194">
    <w:nsid w:val="2817E7EC"/>
    <w:multiLevelType w:val="hybridMultilevel"/>
    <w:lvl w:ilvl="0">
      <w:lvlJc w:val="left"/>
      <w:lvlText w:val="%1."/>
      <w:numFmt w:val="decimal"/>
      <w:start w:val="4"/>
    </w:lvl>
  </w:abstractNum>
  <w:abstractNum w:abstractNumId="195">
    <w:nsid w:val="71482545"/>
    <w:multiLevelType w:val="hybridMultilevel"/>
    <w:lvl w:ilvl="0">
      <w:lvlJc w:val="left"/>
      <w:lvlText w:val="(%1)"/>
      <w:numFmt w:val="lowerLetter"/>
      <w:start w:val="5"/>
    </w:lvl>
  </w:abstractNum>
  <w:abstractNum w:abstractNumId="196">
    <w:nsid w:val="17D78639"/>
    <w:multiLevelType w:val="hybridMultilevel"/>
    <w:lvl w:ilvl="0">
      <w:lvlJc w:val="left"/>
      <w:lvlText w:val="(%1)"/>
      <w:numFmt w:val="decimal"/>
      <w:start w:val="1"/>
    </w:lvl>
  </w:abstractNum>
  <w:abstractNum w:abstractNumId="197">
    <w:nsid w:val="141D2302"/>
    <w:multiLevelType w:val="hybridMultilevel"/>
    <w:lvl w:ilvl="0">
      <w:lvlJc w:val="left"/>
      <w:lvlText w:val="%1."/>
      <w:numFmt w:val="decimal"/>
      <w:start w:val="5"/>
    </w:lvl>
  </w:abstractNum>
  <w:abstractNum w:abstractNumId="198">
    <w:nsid w:val="407168D8"/>
    <w:multiLevelType w:val="hybridMultilevel"/>
    <w:lvl w:ilvl="0">
      <w:lvlJc w:val="left"/>
      <w:lvlText w:val="%1."/>
      <w:numFmt w:val="decimal"/>
      <w:start w:val="6"/>
    </w:lvl>
  </w:abstractNum>
  <w:abstractNum w:abstractNumId="199">
    <w:nsid w:val="6A1B45E5"/>
    <w:multiLevelType w:val="hybridMultilevel"/>
    <w:lvl w:ilvl="0">
      <w:lvlJc w:val="left"/>
      <w:lvlText w:val="%1."/>
      <w:numFmt w:val="decimal"/>
      <w:start w:val="7"/>
    </w:lvl>
  </w:abstractNum>
  <w:abstractNum w:abstractNumId="200">
    <w:nsid w:val="567BD50A"/>
    <w:multiLevelType w:val="hybridMultilevel"/>
    <w:lvl w:ilvl="0">
      <w:lvlJc w:val="left"/>
      <w:lvlText w:val="(%1)"/>
      <w:numFmt w:val="decimal"/>
      <w:start w:val="15"/>
    </w:lvl>
  </w:abstractNum>
  <w:abstractNum w:abstractNumId="201">
    <w:nsid w:val="73BBD7F8"/>
    <w:multiLevelType w:val="hybridMultilevel"/>
    <w:lvl w:ilvl="0">
      <w:lvlJc w:val="left"/>
      <w:lvlText w:val="%1."/>
      <w:numFmt w:val="decimal"/>
      <w:start w:val="8"/>
    </w:lvl>
  </w:abstractNum>
  <w:abstractNum w:abstractNumId="202">
    <w:nsid w:val="1876589D"/>
    <w:multiLevelType w:val="hybridMultilevel"/>
    <w:lvl w:ilvl="0">
      <w:lvlJc w:val="left"/>
      <w:lvlText w:val="%1."/>
      <w:numFmt w:val="decimal"/>
      <w:start w:val="9"/>
    </w:lvl>
  </w:abstractNum>
  <w:abstractNum w:abstractNumId="203">
    <w:nsid w:val="327FAC77"/>
    <w:multiLevelType w:val="hybridMultilevel"/>
    <w:lvl w:ilvl="0">
      <w:lvlJc w:val="left"/>
      <w:lvlText w:val="(%1)"/>
      <w:numFmt w:val="lowerRoman"/>
      <w:start w:val="1"/>
    </w:lvl>
  </w:abstractNum>
  <w:abstractNum w:abstractNumId="204">
    <w:nsid w:val="5A606509"/>
    <w:multiLevelType w:val="hybridMultilevel"/>
    <w:lvl w:ilvl="0">
      <w:lvlJc w:val="left"/>
      <w:lvlText w:val="(%1)"/>
      <w:numFmt w:val="lowerLetter"/>
      <w:start w:val="1"/>
    </w:lvl>
  </w:abstractNum>
  <w:abstractNum w:abstractNumId="205">
    <w:nsid w:val="6F38E6D1"/>
    <w:multiLevelType w:val="hybridMultilevel"/>
    <w:lvl w:ilvl="0">
      <w:lvlJc w:val="left"/>
      <w:lvlText w:val="(%1)"/>
      <w:numFmt w:val="lowerLetter"/>
      <w:start w:val="5"/>
    </w:lvl>
  </w:abstractNum>
  <w:abstractNum w:abstractNumId="206">
    <w:nsid w:val="46111BA5"/>
    <w:multiLevelType w:val="hybridMultilevel"/>
    <w:lvl w:ilvl="0">
      <w:lvlJc w:val="left"/>
      <w:lvlText w:val="(%1)"/>
      <w:numFmt w:val="upperLetter"/>
      <w:start w:val="3"/>
    </w:lvl>
  </w:abstractNum>
  <w:abstractNum w:abstractNumId="207">
    <w:nsid w:val="5E963896"/>
    <w:multiLevelType w:val="hybridMultilevel"/>
    <w:lvl w:ilvl="0">
      <w:lvlJc w:val="left"/>
      <w:lvlText w:val="%1."/>
      <w:numFmt w:val="decimal"/>
      <w:start w:val="1"/>
    </w:lvl>
  </w:abstractNum>
  <w:abstractNum w:abstractNumId="208">
    <w:nsid w:val="775BA7C1"/>
    <w:multiLevelType w:val="hybridMultilevel"/>
    <w:lvl w:ilvl="0">
      <w:lvlJc w:val="left"/>
      <w:lvlText w:val="(%1)"/>
      <w:numFmt w:val="lowerLetter"/>
      <w:start w:val="1"/>
    </w:lvl>
    <w:lvl w:ilvl="1">
      <w:lvlJc w:val="left"/>
      <w:lvlText w:val="(%2)"/>
      <w:numFmt w:val="lowerRoman"/>
      <w:start w:val="1"/>
    </w:lvl>
  </w:abstractNum>
  <w:abstractNum w:abstractNumId="209">
    <w:nsid w:val="1DD6D6F4"/>
    <w:multiLevelType w:val="hybridMultilevel"/>
    <w:lvl w:ilvl="0">
      <w:lvlJc w:val="left"/>
      <w:lvlText w:val="1"/>
      <w:numFmt w:val="bullet"/>
      <w:start w:val="1"/>
    </w:lvl>
  </w:abstractNum>
  <w:abstractNum w:abstractNumId="210">
    <w:nsid w:val="769A091F"/>
    <w:multiLevelType w:val="hybridMultilevel"/>
    <w:lvl w:ilvl="0">
      <w:lvlJc w:val="left"/>
      <w:lvlText w:val="2"/>
      <w:numFmt w:val="bullet"/>
      <w:start w:val="1"/>
    </w:lvl>
  </w:abstractNum>
  <w:abstractNum w:abstractNumId="211">
    <w:nsid w:val="4695AE95"/>
    <w:multiLevelType w:val="hybridMultilevel"/>
    <w:lvl w:ilvl="0">
      <w:lvlJc w:val="left"/>
      <w:lvlText w:val="3"/>
      <w:numFmt w:val="bullet"/>
      <w:start w:val="1"/>
    </w:lvl>
  </w:abstractNum>
  <w:abstractNum w:abstractNumId="212">
    <w:nsid w:val="777A4EAA"/>
    <w:multiLevelType w:val="hybridMultilevel"/>
    <w:lvl w:ilvl="0">
      <w:lvlJc w:val="left"/>
      <w:lvlText w:val="4"/>
      <w:numFmt w:val="bullet"/>
      <w:start w:val="1"/>
    </w:lvl>
  </w:abstractNum>
  <w:abstractNum w:abstractNumId="213">
    <w:nsid w:val="3F48B982"/>
    <w:multiLevelType w:val="hybridMultilevel"/>
    <w:lvl w:ilvl="0">
      <w:lvlJc w:val="left"/>
      <w:lvlText w:val="(%1)"/>
      <w:numFmt w:val="lowerLetter"/>
      <w:start w:val="1"/>
    </w:lvl>
  </w:abstractNum>
  <w:abstractNum w:abstractNumId="214">
    <w:nsid w:val="46BA8FCA"/>
    <w:multiLevelType w:val="hybridMultilevel"/>
    <w:lvl w:ilvl="0">
      <w:lvlJc w:val="left"/>
      <w:lvlText w:val="1"/>
      <w:numFmt w:val="bullet"/>
      <w:start w:val="1"/>
    </w:lvl>
  </w:abstractNum>
  <w:abstractNum w:abstractNumId="215">
    <w:nsid w:val="7835626C"/>
    <w:multiLevelType w:val="hybridMultilevel"/>
    <w:lvl w:ilvl="0">
      <w:lvlJc w:val="left"/>
      <w:lvlText w:val="2"/>
      <w:numFmt w:val="bullet"/>
      <w:start w:val="1"/>
    </w:lvl>
  </w:abstractNum>
  <w:abstractNum w:abstractNumId="216">
    <w:nsid w:val="665ACA49"/>
    <w:multiLevelType w:val="hybridMultilevel"/>
    <w:lvl w:ilvl="0">
      <w:lvlJc w:val="left"/>
      <w:lvlText w:val="3"/>
      <w:numFmt w:val="bullet"/>
      <w:start w:val="1"/>
    </w:lvl>
  </w:abstractNum>
  <w:abstractNum w:abstractNumId="217">
    <w:nsid w:val="6835B2AE"/>
    <w:multiLevelType w:val="hybridMultilevel"/>
    <w:lvl w:ilvl="0">
      <w:lvlJc w:val="left"/>
      <w:lvlText w:val="4"/>
      <w:numFmt w:val="bullet"/>
      <w:start w:val="1"/>
    </w:lvl>
  </w:abstractNum>
  <w:abstractNum w:abstractNumId="218">
    <w:nsid w:val="4C187C90"/>
    <w:multiLevelType w:val="hybridMultilevel"/>
    <w:lvl w:ilvl="0">
      <w:lvlJc w:val="left"/>
      <w:lvlText w:val="5"/>
      <w:numFmt w:val="bullet"/>
      <w:start w:val="1"/>
    </w:lvl>
  </w:abstractNum>
  <w:abstractNum w:abstractNumId="219">
    <w:nsid w:val="541F28CD"/>
    <w:multiLevelType w:val="hybridMultilevel"/>
    <w:lvl w:ilvl="0">
      <w:lvlJc w:val="left"/>
      <w:lvlText w:val="6"/>
      <w:numFmt w:val="bullet"/>
      <w:start w:val="1"/>
    </w:lvl>
  </w:abstractNum>
  <w:abstractNum w:abstractNumId="220">
    <w:nsid w:val="7F65FD16"/>
    <w:multiLevelType w:val="hybridMultilevel"/>
    <w:lvl w:ilvl="0">
      <w:lvlJc w:val="left"/>
      <w:lvlText w:val="7"/>
      <w:numFmt w:val="bullet"/>
      <w:start w:val="1"/>
    </w:lvl>
  </w:abstractNum>
  <w:abstractNum w:abstractNumId="221">
    <w:nsid w:val="77C9FD68"/>
    <w:multiLevelType w:val="hybridMultilevel"/>
    <w:lvl w:ilvl="0">
      <w:lvlJc w:val="left"/>
      <w:lvlText w:val="8"/>
      <w:numFmt w:val="bullet"/>
      <w:start w:val="1"/>
    </w:lvl>
  </w:abstractNum>
  <w:abstractNum w:abstractNumId="222">
    <w:nsid w:val="298A92BA"/>
    <w:multiLevelType w:val="hybridMultilevel"/>
    <w:lvl w:ilvl="0">
      <w:lvlJc w:val="left"/>
      <w:lvlText w:val="9"/>
      <w:numFmt w:val="bullet"/>
      <w:start w:val="1"/>
    </w:lvl>
  </w:abstractNum>
  <w:abstractNum w:abstractNumId="223">
    <w:nsid w:val="6FE95EAC"/>
    <w:multiLevelType w:val="hybridMultilevel"/>
    <w:lvl w:ilvl="0">
      <w:lvlJc w:val="left"/>
      <w:lvlText w:val="%1"/>
      <w:numFmt w:val="decimal"/>
      <w:start w:val="10"/>
    </w:lvl>
  </w:abstractNum>
  <w:abstractNum w:abstractNumId="224">
    <w:nsid w:val="4B697C7A"/>
    <w:multiLevelType w:val="hybridMultilevel"/>
    <w:lvl w:ilvl="0">
      <w:lvlJc w:val="left"/>
      <w:lvlText w:val="%1."/>
      <w:numFmt w:val="decimal"/>
      <w:start w:val="1"/>
    </w:lvl>
  </w:abstractNum>
  <w:abstractNum w:abstractNumId="225">
    <w:nsid w:val="51A27AA6"/>
    <w:multiLevelType w:val="hybridMultilevel"/>
    <w:lvl w:ilvl="0">
      <w:lvlJc w:val="left"/>
      <w:lvlText w:val="%1."/>
      <w:numFmt w:val="decimal"/>
      <w:start w:val="3"/>
    </w:lvl>
  </w:abstractNum>
  <w:abstractNum w:abstractNumId="226">
    <w:nsid w:val="613183F2"/>
    <w:multiLevelType w:val="hybridMultilevel"/>
    <w:lvl w:ilvl="0">
      <w:lvlJc w:val="left"/>
      <w:lvlText w:val="%1."/>
      <w:numFmt w:val="decimal"/>
      <w:start w:val="4"/>
    </w:lvl>
  </w:abstractNum>
  <w:abstractNum w:abstractNumId="227">
    <w:nsid w:val="634102B4"/>
    <w:multiLevelType w:val="hybridMultilevel"/>
    <w:lvl w:ilvl="0">
      <w:lvlJc w:val="left"/>
      <w:lvlText w:val="%1"/>
      <w:numFmt w:val="decimal"/>
      <w:start w:val="1"/>
    </w:lvl>
    <w:lvl w:ilvl="1">
      <w:lvlJc w:val="left"/>
      <w:lvlText w:val="(%2)"/>
      <w:numFmt w:val="lowerLetter"/>
      <w:start w:val="2"/>
    </w:lvl>
  </w:abstractNum>
  <w:abstractNum w:abstractNumId="228">
    <w:nsid w:val="65BF9DA8"/>
    <w:multiLevelType w:val="hybridMultilevel"/>
    <w:lvl w:ilvl="0">
      <w:lvlJc w:val="left"/>
      <w:lvlText w:val="%1."/>
      <w:numFmt w:val="decimal"/>
      <w:start w:val="8"/>
    </w:lvl>
    <w:lvl w:ilvl="1">
      <w:lvlJc w:val="left"/>
      <w:lvlText w:val="%2"/>
      <w:numFmt w:val="lowerLetter"/>
      <w:start w:val="1"/>
    </w:lvl>
  </w:abstractNum>
  <w:abstractNum w:abstractNumId="229">
    <w:nsid w:val="21A2ECCA"/>
    <w:multiLevelType w:val="hybridMultilevel"/>
    <w:lvl w:ilvl="0">
      <w:lvlJc w:val="left"/>
      <w:lvlText w:val="%1."/>
      <w:numFmt w:val="decimal"/>
      <w:start w:val="10"/>
    </w:lvl>
  </w:abstractNum>
  <w:abstractNum w:abstractNumId="230">
    <w:nsid w:val="4D5C4899"/>
    <w:multiLevelType w:val="hybridMultilevel"/>
    <w:lvl w:ilvl="0">
      <w:lvlJc w:val="left"/>
      <w:lvlText w:val="%1."/>
      <w:numFmt w:val="decimal"/>
      <w:start w:val="14"/>
    </w:lvl>
  </w:abstractNum>
  <w:abstractNum w:abstractNumId="231">
    <w:nsid w:val="3C3B72B2"/>
    <w:multiLevelType w:val="hybridMultilevel"/>
    <w:lvl w:ilvl="0">
      <w:lvlJc w:val="left"/>
      <w:lvlText w:val="%1."/>
      <w:numFmt w:val="decimal"/>
      <w:start w:val="1"/>
    </w:lvl>
    <w:lvl w:ilvl="1">
      <w:lvlJc w:val="left"/>
      <w:lvlText w:val="(%2)"/>
      <w:numFmt w:val="lowerLetter"/>
      <w:start w:val="1"/>
    </w:lvl>
  </w:abstractNum>
  <w:abstractNum w:abstractNumId="232">
    <w:nsid w:val="155EC4C2"/>
    <w:multiLevelType w:val="hybridMultilevel"/>
    <w:lvl w:ilvl="0">
      <w:lvlJc w:val="left"/>
      <w:lvlText w:val="(%1)"/>
      <w:numFmt w:val="lowerLetter"/>
      <w:start w:val="4"/>
    </w:lvl>
  </w:abstractNum>
  <w:abstractNum w:abstractNumId="233">
    <w:nsid w:val="65D2A137"/>
    <w:multiLevelType w:val="hybridMultilevel"/>
    <w:lvl w:ilvl="0">
      <w:lvlJc w:val="left"/>
      <w:lvlText w:val="%1"/>
      <w:numFmt w:val="decimal"/>
      <w:start w:val="1"/>
    </w:lvl>
    <w:lvl w:ilvl="1">
      <w:lvlJc w:val="left"/>
      <w:lvlText w:val="(%2)"/>
      <w:numFmt w:val="lowerLetter"/>
      <w:start w:val="12"/>
    </w:lvl>
  </w:abstractNum>
  <w:abstractNum w:abstractNumId="234">
    <w:nsid w:val="6EBB1F2A"/>
    <w:multiLevelType w:val="hybridMultilevel"/>
    <w:lvl w:ilvl="0">
      <w:lvlJc w:val="left"/>
      <w:lvlText w:val="%1."/>
      <w:numFmt w:val="decimal"/>
      <w:start w:val="2"/>
    </w:lvl>
    <w:lvl w:ilvl="1">
      <w:lvlJc w:val="left"/>
      <w:lvlText w:val="(%2)"/>
      <w:numFmt w:val="lowerLetter"/>
      <w:start w:val="1"/>
    </w:lvl>
  </w:abstractNum>
  <w:abstractNum w:abstractNumId="235">
    <w:nsid w:val="6FBF29CB"/>
    <w:multiLevelType w:val="hybridMultilevel"/>
    <w:lvl w:ilvl="0">
      <w:lvlJc w:val="left"/>
      <w:lvlText w:val="%1"/>
      <w:numFmt w:val="decimal"/>
      <w:start w:val="1"/>
    </w:lvl>
    <w:lvl w:ilvl="1">
      <w:lvlJc w:val="left"/>
      <w:lvlText w:val="(%2)"/>
      <w:numFmt w:val="lowerLetter"/>
      <w:start w:val="7"/>
    </w:lvl>
  </w:abstractNum>
  <w:abstractNum w:abstractNumId="236">
    <w:nsid w:val="550B8808"/>
    <w:multiLevelType w:val="hybridMultilevel"/>
    <w:lvl w:ilvl="0">
      <w:lvlJc w:val="left"/>
      <w:lvlText w:val="%1."/>
      <w:numFmt w:val="decimal"/>
      <w:start w:val="3"/>
    </w:lvl>
    <w:lvl w:ilvl="1">
      <w:lvlJc w:val="left"/>
      <w:lvlText w:val="(%2)"/>
      <w:numFmt w:val="lowerLetter"/>
      <w:start w:val="1"/>
    </w:lvl>
  </w:abstractNum>
  <w:abstractNum w:abstractNumId="237">
    <w:nsid w:val="34CC3ACF"/>
    <w:multiLevelType w:val="hybridMultilevel"/>
    <w:lvl w:ilvl="0">
      <w:lvlJc w:val="left"/>
      <w:lvlText w:val="%1."/>
      <w:numFmt w:val="decimal"/>
      <w:start w:val="4"/>
    </w:lvl>
    <w:lvl w:ilvl="1">
      <w:lvlJc w:val="left"/>
      <w:lvlText w:val="(%2)"/>
      <w:numFmt w:val="lowerLetter"/>
      <w:start w:val="1"/>
    </w:lvl>
  </w:abstractNum>
  <w:abstractNum w:abstractNumId="238">
    <w:nsid w:val="4E556261"/>
    <w:multiLevelType w:val="hybridMultilevel"/>
    <w:lvl w:ilvl="0">
      <w:lvlJc w:val="left"/>
      <w:lvlText w:val="(%1)"/>
      <w:numFmt w:val="lowerLetter"/>
      <w:start w:val="4"/>
    </w:lvl>
  </w:abstractNum>
  <w:abstractNum w:abstractNumId="239">
    <w:nsid w:val="4C672FC9"/>
    <w:multiLevelType w:val="hybridMultilevel"/>
    <w:lvl w:ilvl="0">
      <w:lvlJc w:val="left"/>
      <w:lvlText w:val="(%1)"/>
      <w:numFmt w:val="lowerLetter"/>
      <w:start w:val="6"/>
    </w:lvl>
  </w:abstractNum>
  <w:abstractNum w:abstractNumId="240">
    <w:nsid w:val="52A311C3"/>
    <w:multiLevelType w:val="hybridMultilevel"/>
    <w:lvl w:ilvl="0">
      <w:lvlJc w:val="left"/>
      <w:lvlText w:val="(%1)"/>
      <w:numFmt w:val="lowerLetter"/>
      <w:start w:val="7"/>
    </w:lvl>
  </w:abstractNum>
  <w:abstractNum w:abstractNumId="241">
    <w:nsid w:val="44EF6B80"/>
    <w:multiLevelType w:val="hybridMultilevel"/>
    <w:lvl w:ilvl="0">
      <w:lvlJc w:val="left"/>
      <w:lvlText w:val="(%1)"/>
      <w:numFmt w:val="lowerRoman"/>
      <w:start w:val="2"/>
    </w:lvl>
  </w:abstractNum>
  <w:abstractNum w:abstractNumId="242">
    <w:nsid w:val="12FCDE5E"/>
    <w:multiLevelType w:val="hybridMultilevel"/>
    <w:lvl w:ilvl="0">
      <w:lvlJc w:val="left"/>
      <w:lvlText w:val="1"/>
      <w:numFmt w:val="bullet"/>
      <w:start w:val="1"/>
    </w:lvl>
  </w:abstractNum>
  <w:abstractNum w:abstractNumId="243">
    <w:nsid w:val="4A1D606E"/>
    <w:multiLevelType w:val="hybridMultilevel"/>
    <w:lvl w:ilvl="0">
      <w:lvlJc w:val="left"/>
      <w:lvlText w:val="(%1)"/>
      <w:numFmt w:val="upperLetter"/>
      <w:start w:val="1"/>
    </w:lvl>
  </w:abstractNum>
  <w:abstractNum w:abstractNumId="244">
    <w:nsid w:val="4382503"/>
    <w:multiLevelType w:val="hybridMultilevel"/>
    <w:lvl w:ilvl="0">
      <w:lvlJc w:val="left"/>
      <w:lvlText w:val="(%1)"/>
      <w:numFmt w:val="decimal"/>
      <w:start w:val="5"/>
    </w:lvl>
  </w:abstractNum>
  <w:abstractNum w:abstractNumId="245">
    <w:nsid w:val="59B76E28"/>
    <w:multiLevelType w:val="hybridMultilevel"/>
    <w:lvl w:ilvl="0">
      <w:lvlJc w:val="left"/>
      <w:lvlText w:val="(%1)"/>
      <w:numFmt w:val="decimal"/>
      <w:start w:val="10"/>
    </w:lvl>
  </w:abstractNum>
  <w:abstractNum w:abstractNumId="246">
    <w:nsid w:val="4252C2DA"/>
    <w:multiLevelType w:val="hybridMultilevel"/>
    <w:lvl w:ilvl="0">
      <w:lvlJc w:val="left"/>
      <w:lvlText w:val="%1"/>
      <w:numFmt w:val="upperLetter"/>
      <w:start w:val="1"/>
    </w:lvl>
    <w:lvl w:ilvl="1">
      <w:lvlJc w:val="left"/>
      <w:lvlText w:val="(%2)"/>
      <w:numFmt w:val="lowerLetter"/>
      <w:start w:val="1"/>
    </w:lvl>
  </w:abstractNum>
  <w:abstractNum w:abstractNumId="247">
    <w:nsid w:val="6A92EF4C"/>
    <w:multiLevelType w:val="hybridMultilevel"/>
    <w:lvl w:ilvl="0">
      <w:lvlJc w:val="left"/>
      <w:lvlText w:val="(%1)"/>
      <w:numFmt w:val="upperLetter"/>
      <w:start w:val="2"/>
    </w:lvl>
    <w:lvl w:ilvl="1">
      <w:lvlJc w:val="left"/>
      <w:lvlText w:val="(%2)"/>
      <w:numFmt w:val="lowerLetter"/>
      <w:start w:val="2"/>
    </w:lvl>
  </w:abstractNum>
  <w:abstractNum w:abstractNumId="248">
    <w:nsid w:val="41ED20D7"/>
    <w:multiLevelType w:val="hybridMultilevel"/>
    <w:lvl w:ilvl="0">
      <w:lvlJc w:val="left"/>
      <w:lvlText w:val="(%1)"/>
      <w:numFmt w:val="decimal"/>
      <w:start w:val="10"/>
    </w:lvl>
  </w:abstractNum>
  <w:abstractNum w:abstractNumId="249">
    <w:nsid w:val="E6B3F6A"/>
    <w:multiLevelType w:val="hybridMultilevel"/>
    <w:lvl w:ilvl="0">
      <w:lvlJc w:val="left"/>
      <w:lvlText w:val="(%1)"/>
      <w:numFmt w:val="decimal"/>
      <w:start w:val="12"/>
    </w:lvl>
  </w:abstractNum>
  <w:abstractNum w:abstractNumId="250">
    <w:nsid w:val="3EB21819"/>
    <w:multiLevelType w:val="hybridMultilevel"/>
    <w:lvl w:ilvl="0">
      <w:lvlJc w:val="left"/>
      <w:lvlText w:val="(%1)"/>
      <w:numFmt w:val="upperLetter"/>
      <w:start w:val="1"/>
    </w:lvl>
  </w:abstractNum>
  <w:abstractNum w:abstractNumId="251">
    <w:nsid w:val="41531DED"/>
    <w:multiLevelType w:val="hybridMultilevel"/>
    <w:lvl w:ilvl="0">
      <w:lvlJc w:val="left"/>
      <w:lvlText w:val="(%1)"/>
      <w:numFmt w:val="lowerRoman"/>
      <w:start w:val="1"/>
    </w:lvl>
  </w:abstractNum>
  <w:abstractNum w:abstractNumId="252">
    <w:nsid w:val="6353CD2"/>
    <w:multiLevelType w:val="hybridMultilevel"/>
    <w:lvl w:ilvl="0">
      <w:lvlJc w:val="left"/>
      <w:lvlText w:val="(%1)"/>
      <w:numFmt w:val="lowerRoman"/>
      <w:start w:val="1"/>
    </w:lvl>
  </w:abstractNum>
  <w:abstractNum w:abstractNumId="253">
    <w:nsid w:val="683CAAD3"/>
    <w:multiLevelType w:val="hybridMultilevel"/>
    <w:lvl w:ilvl="0">
      <w:lvlJc w:val="left"/>
      <w:lvlText w:val="(%1)"/>
      <w:numFmt w:val="lowerRoman"/>
      <w:start w:val="2"/>
    </w:lvl>
  </w:abstractNum>
  <w:abstractNum w:abstractNumId="254">
    <w:nsid w:val="313C7C99"/>
    <w:multiLevelType w:val="hybridMultilevel"/>
    <w:lvl w:ilvl="0">
      <w:lvlJc w:val="left"/>
      <w:lvlText w:val="(%1)"/>
      <w:numFmt w:val="lowerRoman"/>
      <w:start w:val="1"/>
    </w:lvl>
  </w:abstractNum>
  <w:abstractNum w:abstractNumId="255">
    <w:nsid w:val="519EB94C"/>
    <w:multiLevelType w:val="hybridMultilevel"/>
    <w:lvl w:ilvl="0">
      <w:lvlJc w:val="left"/>
      <w:lvlText w:val="(%1)"/>
      <w:numFmt w:val="lowerRoman"/>
      <w:start w:val="1"/>
    </w:lvl>
  </w:abstractNum>
  <w:abstractNum w:abstractNumId="256">
    <w:nsid w:val="39DF2579"/>
    <w:multiLevelType w:val="hybridMultilevel"/>
    <w:lvl w:ilvl="0">
      <w:lvlJc w:val="left"/>
      <w:lvlText w:val="(%1)"/>
      <w:numFmt w:val="lowerRoman"/>
      <w:start w:val="1"/>
    </w:lvl>
  </w:abstractNum>
  <w:abstractNum w:abstractNumId="257">
    <w:nsid w:val="126E008B"/>
    <w:multiLevelType w:val="hybridMultilevel"/>
    <w:lvl w:ilvl="0">
      <w:lvlJc w:val="left"/>
      <w:lvlText w:val="(%1)"/>
      <w:numFmt w:val="lowerRoman"/>
      <w:start w:val="8"/>
    </w:lvl>
  </w:abstractNum>
  <w:abstractNum w:abstractNumId="258">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1F9EC322"/>
    <w:multiLevelType w:val="hybridMultilevel"/>
    <w:lvl w:ilvl="0">
      <w:lvlJc w:val="left"/>
      <w:lvlText w:val="%1"/>
      <w:numFmt w:val="lowerLetter"/>
      <w:start w:val="1"/>
    </w:lvl>
    <w:lvl w:ilvl="1">
      <w:lvlJc w:val="left"/>
      <w:lvlText w:val="(%2)"/>
      <w:numFmt w:val="lowerRoman"/>
      <w:start w:val="4"/>
    </w:lvl>
  </w:abstractNum>
  <w:abstractNum w:abstractNumId="260">
    <w:nsid w:val="3410ED56"/>
    <w:multiLevelType w:val="hybridMultilevel"/>
    <w:lvl w:ilvl="0">
      <w:lvlJc w:val="left"/>
      <w:lvlText w:val="(%1)"/>
      <w:numFmt w:val="lowerLetter"/>
      <w:start w:val="5"/>
    </w:lvl>
    <w:lvl w:ilvl="1">
      <w:lvlJc w:val="left"/>
      <w:lvlText w:val="%2"/>
      <w:numFmt w:val="lowerRoman"/>
      <w:start w:val="1"/>
    </w:lvl>
  </w:abstractNum>
  <w:abstractNum w:abstractNumId="261">
    <w:nsid w:val="23C049A"/>
    <w:multiLevelType w:val="hybridMultilevel"/>
    <w:lvl w:ilvl="0">
      <w:lvlJc w:val="left"/>
      <w:lvlText w:val="%1"/>
      <w:numFmt w:val="decimal"/>
      <w:start w:val="1"/>
    </w:lvl>
    <w:lvl w:ilvl="1">
      <w:lvlJc w:val="left"/>
      <w:lvlText w:val="(%2)"/>
      <w:numFmt w:val="lowerLetter"/>
      <w:start w:val="12"/>
    </w:lvl>
  </w:abstractNum>
  <w:abstractNum w:abstractNumId="262">
    <w:nsid w:val="5BDA35D4"/>
    <w:multiLevelType w:val="hybridMultilevel"/>
    <w:lvl w:ilvl="0">
      <w:lvlJc w:val="left"/>
      <w:lvlText w:val="%1."/>
      <w:numFmt w:val="decimal"/>
      <w:start w:val="3"/>
    </w:lvl>
    <w:lvl w:ilvl="1">
      <w:lvlJc w:val="left"/>
      <w:lvlText w:val="%2"/>
      <w:numFmt w:val="lowerLetter"/>
      <w:start w:val="1"/>
    </w:lvl>
  </w:abstractNum>
  <w:abstractNum w:abstractNumId="263">
    <w:nsid w:val="496FB218"/>
    <w:multiLevelType w:val="hybridMultilevel"/>
    <w:lvl w:ilvl="0">
      <w:lvlJc w:val="left"/>
      <w:lvlText w:val="%1."/>
      <w:numFmt w:val="decimal"/>
      <w:start w:val="5"/>
    </w:lvl>
    <w:lvl w:ilvl="1">
      <w:lvlJc w:val="left"/>
      <w:lvlText w:val="(%2)"/>
      <w:numFmt w:val="lowerLetter"/>
      <w:start w:val="1"/>
    </w:lvl>
  </w:abstractNum>
  <w:abstractNum w:abstractNumId="264">
    <w:nsid w:val="680EA5D1"/>
    <w:multiLevelType w:val="hybridMultilevel"/>
    <w:lvl w:ilvl="0">
      <w:lvlJc w:val="left"/>
      <w:lvlText w:val="%1"/>
      <w:numFmt w:val="decimal"/>
      <w:start w:val="1"/>
    </w:lvl>
    <w:lvl w:ilvl="1">
      <w:lvlJc w:val="left"/>
      <w:lvlText w:val="(%2)"/>
      <w:numFmt w:val="lowerLetter"/>
      <w:start w:val="3"/>
    </w:lvl>
  </w:abstractNum>
  <w:abstractNum w:abstractNumId="265">
    <w:nsid w:val="4A9554FE"/>
    <w:multiLevelType w:val="hybridMultilevel"/>
    <w:lvl w:ilvl="0">
      <w:lvlJc w:val="left"/>
      <w:lvlText w:val="%1."/>
      <w:numFmt w:val="decimal"/>
      <w:start w:val="9"/>
    </w:lvl>
    <w:lvl w:ilvl="1">
      <w:lvlJc w:val="left"/>
      <w:lvlText w:val="(%2)"/>
      <w:numFmt w:val="lowerLetter"/>
      <w:start w:val="1"/>
    </w:lvl>
  </w:abstractNum>
  <w:abstractNum w:abstractNumId="266">
    <w:nsid w:val="392EDBE4"/>
    <w:multiLevelType w:val="hybridMultilevel"/>
    <w:lvl w:ilvl="0">
      <w:lvlJc w:val="left"/>
      <w:lvlText w:val="%1."/>
      <w:numFmt w:val="decimal"/>
      <w:start w:val="11"/>
    </w:lvl>
    <w:lvl w:ilvl="1">
      <w:lvlJc w:val="left"/>
      <w:lvlText w:val="(%2)"/>
      <w:numFmt w:val="lowerLetter"/>
      <w:start w:val="1"/>
    </w:lvl>
  </w:abstractNum>
  <w:abstractNum w:abstractNumId="267">
    <w:nsid w:val="3D1A2DD9"/>
    <w:multiLevelType w:val="hybridMultilevel"/>
    <w:lvl w:ilvl="0">
      <w:lvlJc w:val="left"/>
      <w:lvlText w:val="%1"/>
      <w:numFmt w:val="decimal"/>
      <w:start w:val="1"/>
    </w:lvl>
    <w:lvl w:ilvl="1">
      <w:lvlJc w:val="left"/>
      <w:lvlText w:val="(%2)"/>
      <w:numFmt w:val="lowerLetter"/>
      <w:start w:val="3"/>
    </w:lvl>
  </w:abstractNum>
  <w:abstractNum w:abstractNumId="268">
    <w:nsid w:val="7F618FCD"/>
    <w:multiLevelType w:val="hybridMultilevel"/>
    <w:lvl w:ilvl="0">
      <w:lvlJc w:val="left"/>
      <w:lvlText w:val="%1."/>
      <w:numFmt w:val="decimal"/>
      <w:start w:val="13"/>
    </w:lvl>
    <w:lvl w:ilvl="1">
      <w:lvlJc w:val="left"/>
      <w:lvlText w:val="(%2)"/>
      <w:numFmt w:val="lowerLetter"/>
      <w:start w:val="1"/>
    </w:lvl>
  </w:abstractNum>
  <w:abstractNum w:abstractNumId="269">
    <w:nsid w:val="7843E45"/>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270">
    <w:nsid w:val="9815DA3"/>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271">
    <w:nsid w:val="5204A191"/>
    <w:multiLevelType w:val="hybridMultilevel"/>
    <w:lvl w:ilvl="0">
      <w:lvlJc w:val="left"/>
      <w:lvlText w:val="(%1)"/>
      <w:numFmt w:val="decimal"/>
      <w:start w:val="30"/>
    </w:lvl>
    <w:lvl w:ilvl="1">
      <w:lvlJc w:val="left"/>
      <w:lvlText w:val="%2"/>
      <w:numFmt w:val="decimal"/>
      <w:start w:val="1"/>
    </w:lvl>
    <w:lvl w:ilvl="2">
      <w:lvlJc w:val="left"/>
      <w:lvlText w:val="(%3)"/>
      <w:numFmt w:val="lowerLetter"/>
      <w:start w:val="2"/>
    </w:lvl>
  </w:abstractNum>
  <w:abstractNum w:abstractNumId="272">
    <w:nsid w:val="4C73A9C6"/>
    <w:multiLevelType w:val="hybridMultilevel"/>
    <w:lvl w:ilvl="0">
      <w:lvlJc w:val="left"/>
      <w:lvlText w:val="%1"/>
      <w:numFmt w:val="decimal"/>
      <w:start w:val="1"/>
    </w:lvl>
    <w:lvl w:ilvl="1">
      <w:lvlJc w:val="left"/>
      <w:lvlText w:val="(%2)"/>
      <w:numFmt w:val="lowerLetter"/>
      <w:start w:val="6"/>
    </w:lvl>
  </w:abstractNum>
  <w:abstractNum w:abstractNumId="273">
    <w:nsid w:val="1C7E3C01"/>
    <w:multiLevelType w:val="hybridMultilevel"/>
    <w:lvl w:ilvl="0">
      <w:lvlJc w:val="left"/>
      <w:lvlText w:val="%1."/>
      <w:numFmt w:val="decimal"/>
      <w:start w:val="15"/>
    </w:lvl>
    <w:lvl w:ilvl="1">
      <w:lvlJc w:val="left"/>
      <w:lvlText w:val="(%2)"/>
      <w:numFmt w:val="lowerLetter"/>
      <w:start w:val="1"/>
    </w:lvl>
  </w:abstractNum>
  <w:abstractNum w:abstractNumId="274">
    <w:nsid w:val="1C2201F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75">
    <w:nsid w:val="50ABCEC9"/>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276">
    <w:nsid w:val="7635AA2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77">
    <w:nsid w:val="5E74C4D9"/>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278">
    <w:nsid w:val="3B3EBE1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9">
    <w:nsid w:val="3822CB01"/>
    <w:multiLevelType w:val="hybridMultilevel"/>
    <w:lvl w:ilvl="0">
      <w:lvlJc w:val="left"/>
      <w:lvlText w:val="(%1)"/>
      <w:numFmt w:val="lowerLetter"/>
      <w:start w:val="2"/>
    </w:lvl>
  </w:abstractNum>
  <w:abstractNum w:abstractNumId="280">
    <w:nsid w:val="6CE00443"/>
    <w:multiLevelType w:val="hybridMultilevel"/>
    <w:lvl w:ilvl="0">
      <w:lvlJc w:val="left"/>
      <w:lvlText w:val="%1"/>
      <w:numFmt w:val="lowerLetter"/>
      <w:start w:val="1"/>
    </w:lvl>
    <w:lvl w:ilvl="1">
      <w:lvlJc w:val="left"/>
      <w:lvlText w:val="%2."/>
      <w:numFmt w:val="decimal"/>
      <w:start w:val="22"/>
    </w:lvl>
  </w:abstractNum>
  <w:abstractNum w:abstractNumId="281">
    <w:nsid w:val="79F0D62F"/>
    <w:multiLevelType w:val="hybridMultilevel"/>
    <w:lvl w:ilvl="0">
      <w:lvlJc w:val="left"/>
      <w:lvlText w:val="(%1)"/>
      <w:numFmt w:val="lowerLetter"/>
      <w:start w:val="3"/>
    </w:lvl>
    <w:lvl w:ilvl="1">
      <w:lvlJc w:val="left"/>
      <w:lvlText w:val="%2."/>
      <w:numFmt w:val="decimal"/>
      <w:start w:val="23"/>
    </w:lvl>
  </w:abstractNum>
  <w:abstractNum w:abstractNumId="282">
    <w:nsid w:val="7975E8EE"/>
    <w:multiLevelType w:val="hybridMultilevel"/>
    <w:lvl w:ilvl="0">
      <w:lvlJc w:val="left"/>
      <w:lvlText w:val="%1."/>
      <w:numFmt w:val="decimal"/>
      <w:start w:val="28"/>
    </w:lvl>
  </w:abstractNum>
  <w:abstractNum w:abstractNumId="283">
    <w:nsid w:val="73154115"/>
    <w:multiLevelType w:val="hybridMultilevel"/>
    <w:lvl w:ilvl="0">
      <w:lvlJc w:val="left"/>
      <w:lvlText w:val="(%1)"/>
      <w:numFmt w:val="lowerLetter"/>
      <w:start w:val="1"/>
    </w:lvl>
  </w:abstractNum>
  <w:abstractNum w:abstractNumId="284">
    <w:nsid w:val="622D8102"/>
    <w:multiLevelType w:val="hybridMultilevel"/>
    <w:lvl w:ilvl="0">
      <w:lvlJc w:val="left"/>
      <w:lvlText w:val="(%1)"/>
      <w:numFmt w:val="lowerLetter"/>
      <w:start w:val="1"/>
    </w:lvl>
  </w:abstractNum>
  <w:abstractNum w:abstractNumId="285">
    <w:nsid w:val="2AB26587"/>
    <w:multiLevelType w:val="hybridMultilevel"/>
    <w:lvl w:ilvl="0">
      <w:lvlJc w:val="left"/>
      <w:lvlText w:val="(%1)"/>
      <w:numFmt w:val="lowerRoman"/>
      <w:start w:val="3"/>
    </w:lvl>
  </w:abstractNum>
  <w:abstractNum w:abstractNumId="286">
    <w:nsid w:val="44B3FA61"/>
    <w:multiLevelType w:val="hybridMultilevel"/>
    <w:lvl w:ilvl="0">
      <w:lvlJc w:val="left"/>
      <w:lvlText w:val="(%1)"/>
      <w:numFmt w:val="lowerLetter"/>
      <w:start w:val="1"/>
    </w:lvl>
  </w:abstractNum>
  <w:abstractNum w:abstractNumId="287">
    <w:nsid w:val="1C0CA67C"/>
    <w:multiLevelType w:val="hybridMultilevel"/>
    <w:lvl w:ilvl="0">
      <w:lvlJc w:val="left"/>
      <w:lvlText w:val="(%1)"/>
      <w:numFmt w:val="lowerLetter"/>
      <w:start w:val="3"/>
    </w:lvl>
  </w:abstractNum>
  <w:abstractNum w:abstractNumId="288">
    <w:nsid w:val="3D206613"/>
    <w:multiLevelType w:val="hybridMultilevel"/>
    <w:lvl w:ilvl="0">
      <w:lvlJc w:val="left"/>
      <w:lvlText w:val="(%1)"/>
      <w:numFmt w:val="lowerLetter"/>
      <w:start w:val="1"/>
    </w:lvl>
  </w:abstractNum>
  <w:abstractNum w:abstractNumId="289">
    <w:nsid w:val="7993B662"/>
    <w:multiLevelType w:val="hybridMultilevel"/>
    <w:lvl w:ilvl="0">
      <w:lvlJc w:val="left"/>
      <w:lvlText w:val="%1."/>
      <w:numFmt w:val="decimal"/>
      <w:start w:val="1"/>
    </w:lvl>
  </w:abstractNum>
  <w:abstractNum w:abstractNumId="290">
    <w:nsid w:val="3BAB699E"/>
    <w:multiLevelType w:val="hybridMultilevel"/>
    <w:lvl w:ilvl="0">
      <w:lvlJc w:val="left"/>
      <w:lvlText w:val="%1."/>
      <w:numFmt w:val="upperLetter"/>
      <w:start w:val="9"/>
    </w:lvl>
  </w:abstractNum>
  <w:abstractNum w:abstractNumId="291">
    <w:nsid w:val="71315369"/>
    <w:multiLevelType w:val="hybridMultilevel"/>
    <w:lvl w:ilvl="0">
      <w:lvlJc w:val="left"/>
      <w:lvlText w:val="•"/>
      <w:numFmt w:val="bullet"/>
      <w:start w:val="1"/>
    </w:lvl>
  </w:abstractNum>
  <w:abstractNum w:abstractNumId="292">
    <w:nsid w:val="7BCFBAFC"/>
    <w:multiLevelType w:val="hybridMultilevel"/>
    <w:lvl w:ilvl="0">
      <w:lvlJc w:val="left"/>
      <w:lvlText w:val="%1."/>
      <w:numFmt w:val="upperLetter"/>
      <w:start w:val="35"/>
    </w:lvl>
  </w:abstractNum>
  <w:abstractNum w:abstractNumId="293">
    <w:nsid w:val="17859F72"/>
    <w:multiLevelType w:val="hybridMultilevel"/>
    <w:lvl w:ilvl="0">
      <w:lvlJc w:val="left"/>
      <w:lvlText w:val="•"/>
      <w:numFmt w:val="bullet"/>
      <w:start w:val="1"/>
    </w:lvl>
  </w:abstractNum>
  <w:abstractNum w:abstractNumId="294">
    <w:nsid w:val="3AA10581"/>
    <w:multiLevelType w:val="hybridMultilevel"/>
    <w:lvl w:ilvl="0">
      <w:lvlJc w:val="left"/>
      <w:lvlText w:val="%1."/>
      <w:numFmt w:val="upperLetter"/>
      <w:start w:val="60"/>
    </w:lvl>
    <w:lvl w:ilvl="1">
      <w:lvlJc w:val="left"/>
      <w:lvlText w:val="•"/>
      <w:numFmt w:val="bullet"/>
      <w:start w:val="1"/>
    </w:lvl>
    <w:lvl w:ilvl="2">
      <w:lvlJc w:val="left"/>
      <w:lvlText w:val="•"/>
      <w:numFmt w:val="bullet"/>
      <w:start w:val="1"/>
    </w:lvl>
  </w:abstractNum>
  <w:abstractNum w:abstractNumId="295">
    <w:nsid w:val="63DE60CD"/>
    <w:multiLevelType w:val="hybridMultilevel"/>
    <w:lvl w:ilvl="0">
      <w:lvlJc w:val="left"/>
      <w:lvlText w:val="•"/>
      <w:numFmt w:val="bullet"/>
      <w:start w:val="1"/>
    </w:lvl>
  </w:abstractNum>
  <w:abstractNum w:abstractNumId="296">
    <w:nsid w:val="621AF471"/>
    <w:multiLevelType w:val="hybridMultilevel"/>
    <w:lvl w:ilvl="0">
      <w:lvlJc w:val="left"/>
      <w:lvlText w:val="%1."/>
      <w:numFmt w:val="upperLetter"/>
      <w:start w:val="22"/>
    </w:lvl>
  </w:abstractNum>
  <w:abstractNum w:abstractNumId="297">
    <w:nsid w:val="73CFE165"/>
    <w:multiLevelType w:val="hybridMultilevel"/>
    <w:lvl w:ilvl="0">
      <w:lvlJc w:val="left"/>
      <w:lvlText w:val="•"/>
      <w:numFmt w:val="bullet"/>
      <w:start w:val="1"/>
    </w:lvl>
  </w:abstractNum>
  <w:abstractNum w:abstractNumId="298">
    <w:nsid w:val="20F88EA6"/>
    <w:multiLevelType w:val="hybridMultilevel"/>
    <w:lvl w:ilvl="0">
      <w:lvlJc w:val="left"/>
      <w:lvlText w:val="•"/>
      <w:numFmt w:val="bullet"/>
      <w:start w:val="1"/>
    </w:lvl>
  </w:abstractNum>
  <w:abstractNum w:abstractNumId="299">
    <w:nsid w:val="617C843E"/>
    <w:multiLevelType w:val="hybridMultilevel"/>
    <w:lvl w:ilvl="0">
      <w:lvlJc w:val="left"/>
      <w:lvlText w:val="•"/>
      <w:numFmt w:val="bullet"/>
      <w:start w:val="1"/>
    </w:lvl>
  </w:abstractNum>
  <w:abstractNum w:abstractNumId="300">
    <w:nsid w:val="7B541FA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2020-09-16T16:19:36Z</dcterms:created>
  <dcterms:modified xsi:type="dcterms:W3CDTF">2020-09-16T16:19:36Z</dcterms:modified>
</cp:coreProperties>
</file>