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140" w:type="dxa"/>
            <w:vAlign w:val="bottom"/>
          </w:tcPr>
          <w:p>
            <w:pPr>
              <w:jc w:val="center"/>
              <w:ind w:right="2418"/>
              <w:spacing w:after="0"/>
              <w:rPr>
                <w:sz w:val="20"/>
                <w:szCs w:val="20"/>
                <w:color w:val="auto"/>
              </w:rPr>
            </w:pPr>
            <w:r>
              <w:rPr>
                <w:rFonts w:ascii="Arial" w:cs="Arial" w:eastAsia="Arial" w:hAnsi="Arial"/>
                <w:sz w:val="18"/>
                <w:szCs w:val="18"/>
                <w:b w:val="1"/>
                <w:bCs w:val="1"/>
                <w:color w:val="auto"/>
                <w:w w:val="90"/>
              </w:rPr>
              <w:t>Cayman Islands</w:t>
            </w:r>
          </w:p>
        </w:tc>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001-39544</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98-1550750</w:t>
            </w:r>
          </w:p>
        </w:tc>
      </w:tr>
      <w:tr>
        <w:trPr>
          <w:trHeight w:val="148"/>
        </w:trPr>
        <w:tc>
          <w:tcPr>
            <w:tcW w:w="4140" w:type="dxa"/>
            <w:vAlign w:val="bottom"/>
          </w:tcPr>
          <w:p>
            <w:pPr>
              <w:jc w:val="center"/>
              <w:ind w:right="241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1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140" w:type="dxa"/>
            <w:vAlign w:val="bottom"/>
          </w:tcPr>
          <w:p>
            <w:pPr>
              <w:jc w:val="center"/>
              <w:ind w:right="2398"/>
              <w:spacing w:after="0"/>
              <w:rPr>
                <w:sz w:val="20"/>
                <w:szCs w:val="20"/>
                <w:color w:val="auto"/>
              </w:rPr>
            </w:pPr>
            <w:r>
              <w:rPr>
                <w:rFonts w:ascii="Arial" w:cs="Arial" w:eastAsia="Arial" w:hAnsi="Arial"/>
                <w:sz w:val="14"/>
                <w:szCs w:val="14"/>
                <w:b w:val="1"/>
                <w:bCs w:val="1"/>
                <w:color w:val="auto"/>
                <w:w w:val="94"/>
              </w:rPr>
              <w:t>of incorporation)</w:t>
            </w:r>
          </w:p>
        </w:tc>
        <w:tc>
          <w:tcPr>
            <w:tcW w:w="2180" w:type="dxa"/>
            <w:vAlign w:val="bottom"/>
          </w:tcPr>
          <w:p>
            <w:pPr>
              <w:ind w:left="2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40" w:type="dxa"/>
            <w:vAlign w:val="bottom"/>
          </w:tcPr>
          <w:p>
            <w:pPr>
              <w:jc w:val="center"/>
              <w:ind w:left="1058"/>
              <w:spacing w:after="0"/>
              <w:rPr>
                <w:sz w:val="20"/>
                <w:szCs w:val="20"/>
                <w:color w:val="auto"/>
              </w:rPr>
            </w:pPr>
            <w:r>
              <w:rPr>
                <w:rFonts w:ascii="Arial" w:cs="Arial" w:eastAsia="Arial" w:hAnsi="Arial"/>
                <w:sz w:val="18"/>
                <w:szCs w:val="18"/>
                <w:b w:val="1"/>
                <w:bCs w:val="1"/>
                <w:color w:val="auto"/>
                <w:w w:val="94"/>
              </w:rPr>
              <w:t>Victory Park Capital Advisors, LLC</w:t>
            </w:r>
          </w:p>
        </w:tc>
        <w:tc>
          <w:tcPr>
            <w:tcW w:w="21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140" w:type="dxa"/>
            <w:vAlign w:val="bottom"/>
          </w:tcPr>
          <w:p>
            <w:pPr>
              <w:jc w:val="center"/>
              <w:ind w:left="107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1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4140" w:type="dxa"/>
            <w:vAlign w:val="bottom"/>
          </w:tcPr>
          <w:p>
            <w:pPr>
              <w:jc w:val="center"/>
              <w:ind w:left="1078"/>
              <w:spacing w:after="0"/>
              <w:rPr>
                <w:sz w:val="20"/>
                <w:szCs w:val="20"/>
                <w:color w:val="auto"/>
              </w:rPr>
            </w:pPr>
            <w:r>
              <w:rPr>
                <w:rFonts w:ascii="Arial" w:cs="Arial" w:eastAsia="Arial" w:hAnsi="Arial"/>
                <w:sz w:val="18"/>
                <w:szCs w:val="18"/>
                <w:b w:val="1"/>
                <w:bCs w:val="1"/>
                <w:color w:val="auto"/>
                <w:w w:val="92"/>
              </w:rPr>
              <w:t>Chicago, IL</w:t>
            </w:r>
          </w:p>
        </w:tc>
        <w:tc>
          <w:tcPr>
            <w:tcW w:w="21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186"/>
        </w:trPr>
        <w:tc>
          <w:tcPr>
            <w:tcW w:w="4140" w:type="dxa"/>
            <w:vAlign w:val="bottom"/>
          </w:tcPr>
          <w:p>
            <w:pPr>
              <w:jc w:val="center"/>
              <w:ind w:left="10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1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$0.0001 par value, and one-half of one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 purchase one Class A ordinary share</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86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May 26, 2021, VPC Impact Acquisition Holdings (“VIH”) issued a press release announcing that it has filed with the Securities and Exchange Commission (the “SEC”) Amendment No. 1 to the registration statement on Form S-4, which includes a preliminary proxy statement of VIH in connection with the proposed business combination (the “Proposed Transaction”) with Bakkt Holdings, LLC (“Bakkt”). A copy of the press release is furnished as Exhibit 99.1 hereto and incorporated by reference hereby.</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liabilities under that section, and shall not be deemed to be incorporated by reference into the filings of VPC Impact Acquisition Holdings (“VIH”) under the Securities Act or the Exchange Act, regardless of any general incorporation language in such filings. This Current Report on Form 8-K will not be deemed an admission as to the materiality of any information of the information contained in this Item 7.01, including Exhibit 99.1.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Proposed Transaction, VIH has filed a registration statement on Form S-4 that includes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After the registration statement is declared effective, VIH will mail a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85"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WILL CONTAIN IMPORTANT INFORMATION ABOUT BAKKT, VIH, THE PROPOSED TRANSACTION AND RELATED MATTERS.</w:t>
      </w:r>
    </w:p>
    <w:p>
      <w:pPr>
        <w:sectPr>
          <w:pgSz w:w="11900" w:h="16838" w:orient="portrait"/>
          <w:cols w:equalWidth="0" w:num="1">
            <w:col w:w="10960"/>
          </w:cols>
          <w:pgMar w:left="440" w:top="270" w:right="499" w:bottom="1440" w:gutter="0" w:footer="0" w:header="0"/>
        </w:sectPr>
      </w:pPr>
    </w:p>
    <w:bookmarkStart w:id="2" w:name="page3"/>
    <w:bookmarkEnd w:id="2"/>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available, the definitive proxy statement/prospectus and other relevant materials for the Proposed Transaction will be mailed to shareholders of VIH as of a record date to be established for voting on the Proposed Transaction. VIH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w:t>
      </w:r>
    </w:p>
    <w:p>
      <w:pPr>
        <w:sectPr>
          <w:pgSz w:w="11900" w:h="16838" w:orient="portrait"/>
          <w:cols w:equalWidth="0" w:num="1">
            <w:col w:w="11000"/>
          </w:cols>
          <w:pgMar w:left="440" w:top="274" w:right="459" w:bottom="1440" w:gutter="0" w:footer="0" w:header="0"/>
        </w:sectPr>
      </w:pPr>
    </w:p>
    <w:bookmarkStart w:id="3" w:name="page4"/>
    <w:bookmarkEnd w:id="3"/>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w:t>
      </w:r>
    </w:p>
    <w:p>
      <w:pPr>
        <w:spacing w:after="0" w:line="2" w:lineRule="exact"/>
        <w:rPr>
          <w:sz w:val="20"/>
          <w:szCs w:val="20"/>
          <w:color w:val="auto"/>
        </w:rPr>
      </w:pPr>
    </w:p>
    <w:p>
      <w:pPr>
        <w:ind w:left="4" w:right="280" w:hanging="4"/>
        <w:spacing w:after="0" w:line="252"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94" w:lineRule="exact"/>
        <w:rPr>
          <w:sz w:val="20"/>
          <w:szCs w:val="20"/>
          <w:color w:val="auto"/>
        </w:rPr>
      </w:pPr>
    </w:p>
    <w:p>
      <w:pPr>
        <w:ind w:left="4" w:right="40"/>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29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Press Release, dated as of May 26, 2021.</w:t>
              </w:r>
            </w:hyperlink>
          </w:p>
        </w:tc>
      </w:tr>
    </w:tbl>
    <w:p>
      <w:pPr>
        <w:sectPr>
          <w:pgSz w:w="11900" w:h="16838" w:orient="portrait"/>
          <w:cols w:equalWidth="0" w:num="1">
            <w:col w:w="11004"/>
          </w:cols>
          <w:pgMar w:left="436" w:top="274"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20" w:type="dxa"/>
            <w:vAlign w:val="bottom"/>
            <w:gridSpan w:val="2"/>
          </w:tcPr>
          <w:p>
            <w:pPr>
              <w:ind w:left="5520"/>
              <w:spacing w:after="0"/>
              <w:rPr>
                <w:sz w:val="20"/>
                <w:szCs w:val="20"/>
                <w:color w:val="auto"/>
              </w:rPr>
            </w:pPr>
            <w:r>
              <w:rPr>
                <w:rFonts w:ascii="Arial" w:cs="Arial" w:eastAsia="Arial" w:hAnsi="Arial"/>
                <w:sz w:val="18"/>
                <w:szCs w:val="18"/>
                <w:color w:val="auto"/>
              </w:rPr>
              <w:t>VPC Impact Acquisition Holdings</w:t>
            </w:r>
          </w:p>
        </w:tc>
      </w:t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Date: May 26, 2021</w:t>
            </w:r>
          </w:p>
        </w:tc>
        <w:tc>
          <w:tcPr>
            <w:tcW w:w="4860" w:type="dxa"/>
            <w:vAlign w:val="bottom"/>
          </w:tcPr>
          <w:p>
            <w:pPr>
              <w:spacing w:after="0"/>
              <w:rPr>
                <w:sz w:val="24"/>
                <w:szCs w:val="24"/>
                <w:color w:val="auto"/>
              </w:rPr>
            </w:pPr>
          </w:p>
        </w:tc>
      </w:tr>
      <w:tr>
        <w:trPr>
          <w:trHeight w:val="432"/>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Martin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Martin</w:t>
            </w: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bl>
    <w:p>
      <w:pPr>
        <w:sectPr>
          <w:pgSz w:w="11900" w:h="16838" w:orient="portrait"/>
          <w:cols w:equalWidth="0" w:num="1">
            <w:col w:w="11020"/>
          </w:cols>
          <w:pgMar w:left="440" w:top="274"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VPC Impact Acquisition Holdings Announces Filing of Amendment No. 1 to the Registration Statement on SEC Form S-4 in Connection with its Proposed Business Combination with Bakkt Holdings, LLC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Proposed Business Combination expected to close in June 2021</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CHICAGO – May 26, 2021 – VPC Impact Acquisition Holdings (NASDAQ: VIHAU, VIH and VIHAW) (“VIH”), announced today that it has filed with the U.S. Securities and Exchange Commission (“SEC”) Amendment No. 1 to the registration statement on Form S-4 (the “Registration Statement”), which includes a preliminary proxy statement of VIH with respect to the proposed business combination (the “Business Combination”) with Bakkt Holdings, LLC (“Bakkt”), a digital asset marketplace. The Registration Statement includes amendments intended to comply with the SEC’s recent guidance with respect to warrant accounting policies applicable to SPACs and represents further progress towards the closing of the Business Combination.</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Upon the consummation of the Business Combination, VIH is expected to be renamed “Bakkt Holdings, Inc.” Bakkt Holdings, Inc. is anticipated to become a NYSE-listed public company trading under the ticker symbol “BKKT.”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Business Combination, which was announced on January 11, 2021, has been unanimously approved by the VIH Board of Directors and is expected to close in June 2021, subject to certain customary closing conditions, including VIH shareholder approval.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PJ Solomon is serving as financial advisor and Wilson Sonsini Goodrich &amp; Rosati, P.C. and Shearman &amp; Sterling are serving as legal advisors to Bakkt.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Citigroup and Jefferies are serving as financial and capital markets advisors to VIH. White &amp; Case LLP is serving as legal advisor to VIH.</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VPC Impact Acquisition Holdings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San Francisco. Victory Park Capital is privately held and a Registered Investment Advisor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Bakkt is a trusted digital asset marketplace that enables institutions and consumers to buy, sell, store and spend digital assets. Bakkt’s retail platform, now widely available through the new Bakkt App, amplifies consumer spending, reduces traditional payment costs and bolsters loyalty programs, adding value for all key stakeholders within the payments and digital assets ecosystem. Launched in 2018 by Intercontinental Exchange, Inc., Bakkt is headquartered in Atlanta, GA.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connection with the Business Combination, VIH has filed the Registration Statement with the SEC, which includes a prospectus with respect to changing VIH’s jurisdiction of incorporation from the Cayman Islands to the State of Delaware and a proxy statement with respect to VIH’s shareholder meeting at which VIH shareholders will be asked to vote on the proposed Business Combination. VIH and Bakkt urge shareholders and other interested persons to read the Form S-4, as amended, including the proxy statement/prospectus, as well as other documents filed with the SEC, because these documents will contain important information about the Business Combination.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6" w:name="page7"/>
    <w:bookmarkEnd w:id="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available, the definitive proxy statement/prospectus and other relevant materials for the Business Combination will be mailed to shareholders of VIH as of a record date to be established for voting on the Business Combination. VIH’s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VIH, Bakkt and their respective directors, managers, executive officers and other members of their management and employees, under SEC rules, may be deemed to be participants in the solicitation of proxies of VIH shareholders in connection with the Business Combination. Information regarding the persons who may, under SEC rules, be deemed participants in the solicitation of proxies to VIH’s shareholders in connection with the Business Combination is set forth in the preliminary proxy statement/prospectus contained in the Form S-4, as amended, and will also be included in the definitive proxy statement/prospectus for the Business Combination when available. Information concerning the interests of VIH and Bakkt’s participants in the solicitation, which may, in some cases, be different than those of VIH and Bakkt’s equity holders generally, is also set forth in the proxy statement/prospectus contained in the Form S-4, as amended, and will also be included in the definitive proxy statement/prospectus for the Business Combination when available.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the timing of the closing of the Business Combination; our plans, objectives, expectations and intentions with respect to future operations;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Business Combination, including the implied enterprise value,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Business Combination, including the occurrence of any event, change or other circumstances that could give rise to the termination of the definitive agreement; (ii) the inability to complete the Business Combination due to the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7" w:name="page8"/>
    <w:bookmarkEnd w:id="7"/>
    <w:p>
      <w:pPr>
        <w:ind w:left="4" w:right="2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failure to obtain approval of VIH’s shareholders, the failure to achieve the minimum amount of cash available following any redemptions by VIH’s shareholders or the failure to meet the national stock exchange’s listing standards in connection with the consummation of the Business Combination;</w:t>
      </w:r>
    </w:p>
    <w:p>
      <w:pPr>
        <w:ind w:left="4" w:hanging="4"/>
        <w:spacing w:after="0" w:line="287" w:lineRule="auto"/>
        <w:tabs>
          <w:tab w:leader="none" w:pos="319"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costs related to the Business Combination; (iv) a delay or failure to realize the expected benefits from the Business Combination; (v) risks related to disruption of management time from ongoing business operations due to the Business Combination;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and (x) risks relating to data security. The foregoing list of factors is not exhaustive. You should carefully consider the foregoing factors and the other risks and uncertainties described in the “Risk Factors” section of the Registration Statement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70" w:lineRule="exact"/>
        <w:rPr>
          <w:sz w:val="20"/>
          <w:szCs w:val="20"/>
          <w:color w:val="auto"/>
        </w:rPr>
      </w:pPr>
    </w:p>
    <w:p>
      <w:pPr>
        <w:ind w:left="4" w:right="100"/>
        <w:spacing w:after="0" w:line="288" w:lineRule="auto"/>
        <w:rPr>
          <w:sz w:val="20"/>
          <w:szCs w:val="20"/>
          <w:color w:val="auto"/>
        </w:rPr>
      </w:pPr>
      <w:r>
        <w:rPr>
          <w:rFonts w:ascii="Arial" w:cs="Arial" w:eastAsia="Arial" w:hAnsi="Arial"/>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VIH and Bakkt disclaim any intention or obligation to update any forward-looking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Bakkt: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BakktIR@edelman.com</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Rachel Ford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rachel.ford@bakkt.com</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VIH:</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vihinfo@victoryparkcapital.com</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Julia Fisher (Sahin)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Julia.Fisher@edelman.com</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0"/>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2021-05-26T07:42:05Z</dcterms:created>
  <dcterms:modified xsi:type="dcterms:W3CDTF">2021-05-26T07:42:05Z</dcterms:modified>
</cp:coreProperties>
</file>