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1442720</wp:posOffset>
            </wp:positionH>
            <wp:positionV relativeFrom="page">
              <wp:posOffset>843280</wp:posOffset>
            </wp:positionV>
            <wp:extent cx="46634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63440" cy="8255"/>
                    </a:xfrm>
                    <a:prstGeom prst="rect">
                      <a:avLst/>
                    </a:prstGeom>
                    <a:noFill/>
                  </pic:spPr>
                </pic:pic>
              </a:graphicData>
            </a:graphic>
          </wp:anchor>
        </w:drawing>
        <w:drawing>
          <wp:anchor simplePos="0" relativeHeight="251657728" behindDoc="1" locked="0" layoutInCell="0" allowOverlap="1">
            <wp:simplePos x="0" y="0"/>
            <wp:positionH relativeFrom="page">
              <wp:posOffset>1442720</wp:posOffset>
            </wp:positionH>
            <wp:positionV relativeFrom="page">
              <wp:posOffset>868680</wp:posOffset>
            </wp:positionV>
            <wp:extent cx="46634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63440" cy="8255"/>
                    </a:xfrm>
                    <a:prstGeom prst="rect">
                      <a:avLst/>
                    </a:prstGeom>
                    <a:noFill/>
                  </pic:spPr>
                </pic:pic>
              </a:graphicData>
            </a:graphic>
          </wp:anchor>
        </w:drawing>
        <w:t>UNITED STATES</w:t>
      </w:r>
    </w:p>
    <w:p>
      <w:pPr>
        <w:jc w:val="center"/>
        <w:ind w:right="-19"/>
        <w:spacing w:after="0" w:line="212"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2310765</wp:posOffset>
            </wp:positionH>
            <wp:positionV relativeFrom="paragraph">
              <wp:posOffset>64135</wp:posOffset>
            </wp:positionV>
            <wp:extent cx="25114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2310765</wp:posOffset>
            </wp:positionH>
            <wp:positionV relativeFrom="paragraph">
              <wp:posOffset>87630</wp:posOffset>
            </wp:positionV>
            <wp:extent cx="25114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jc w:val="center"/>
        <w:ind w:left="8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4" w:lineRule="exact"/>
        <w:rPr>
          <w:sz w:val="24"/>
          <w:szCs w:val="24"/>
          <w:color w:val="auto"/>
        </w:rPr>
      </w:pPr>
    </w:p>
    <w:p>
      <w:pPr>
        <w:jc w:val="center"/>
        <w:ind w:left="88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spacing w:after="0" w:line="6" w:lineRule="exact"/>
        <w:rPr>
          <w:sz w:val="24"/>
          <w:szCs w:val="24"/>
          <w:color w:val="auto"/>
        </w:rPr>
      </w:pPr>
    </w:p>
    <w:p>
      <w:pPr>
        <w:jc w:val="center"/>
        <w:ind w:left="88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jc w:val="center"/>
        <w:ind w:right="3440"/>
        <w:spacing w:after="0"/>
        <w:rPr>
          <w:sz w:val="20"/>
          <w:szCs w:val="20"/>
          <w:color w:val="auto"/>
        </w:rPr>
      </w:pPr>
      <w:r>
        <w:rPr>
          <w:rFonts w:ascii="Times New Roman" w:cs="Times New Roman" w:eastAsia="Times New Roman" w:hAnsi="Times New Roman"/>
          <w:sz w:val="22"/>
          <w:szCs w:val="22"/>
          <w:b w:val="1"/>
          <w:bCs w:val="1"/>
          <w:color w:val="auto"/>
        </w:rPr>
        <w:t>CURRENT REPORT</w:t>
      </w:r>
    </w:p>
    <w:p>
      <w:pPr>
        <w:jc w:val="center"/>
        <w:ind w:right="3440"/>
        <w:spacing w:after="0" w:line="204" w:lineRule="auto"/>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 w:lineRule="exact"/>
        <w:rPr>
          <w:sz w:val="24"/>
          <w:szCs w:val="24"/>
          <w:color w:val="auto"/>
        </w:rPr>
      </w:pPr>
    </w:p>
    <w:p>
      <w:pPr>
        <w:jc w:val="center"/>
        <w:ind w:right="344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440"/>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w:t>
      </w:r>
    </w:p>
    <w:p>
      <w:pPr>
        <w:spacing w:after="0" w:line="3" w:lineRule="exact"/>
        <w:rPr>
          <w:sz w:val="24"/>
          <w:szCs w:val="24"/>
          <w:color w:val="auto"/>
        </w:rPr>
      </w:pPr>
    </w:p>
    <w:p>
      <w:pPr>
        <w:jc w:val="center"/>
        <w:ind w:right="3440"/>
        <w:spacing w:after="0"/>
        <w:rPr>
          <w:sz w:val="20"/>
          <w:szCs w:val="20"/>
          <w:color w:val="auto"/>
        </w:rPr>
      </w:pPr>
      <w:r>
        <w:rPr>
          <w:rFonts w:ascii="Times New Roman" w:cs="Times New Roman" w:eastAsia="Times New Roman" w:hAnsi="Times New Roman"/>
          <w:sz w:val="22"/>
          <w:szCs w:val="22"/>
          <w:b w:val="1"/>
          <w:bCs w:val="1"/>
          <w:color w:val="auto"/>
        </w:rPr>
        <w:t>December 15,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126365</wp:posOffset>
            </wp:positionH>
            <wp:positionV relativeFrom="paragraph">
              <wp:posOffset>64135</wp:posOffset>
            </wp:positionV>
            <wp:extent cx="25114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23" w:lineRule="exact"/>
        <w:rPr>
          <w:sz w:val="24"/>
          <w:szCs w:val="24"/>
          <w:color w:val="auto"/>
        </w:rPr>
      </w:pPr>
    </w:p>
    <w:p>
      <w:pPr>
        <w:jc w:val="center"/>
        <w:ind w:right="3440"/>
        <w:spacing w:after="0"/>
        <w:rPr>
          <w:sz w:val="20"/>
          <w:szCs w:val="20"/>
          <w:color w:val="auto"/>
        </w:rPr>
      </w:pPr>
      <w:r>
        <w:rPr>
          <w:rFonts w:ascii="Times New Roman" w:cs="Times New Roman" w:eastAsia="Times New Roman" w:hAnsi="Times New Roman"/>
          <w:sz w:val="36"/>
          <w:szCs w:val="36"/>
          <w:b w:val="1"/>
          <w:bCs w:val="1"/>
          <w:color w:val="auto"/>
        </w:rPr>
        <w:t>Bakkt Holdings, Inc.</w:t>
      </w:r>
    </w:p>
    <w:p>
      <w:pPr>
        <w:ind w:left="20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126365</wp:posOffset>
            </wp:positionH>
            <wp:positionV relativeFrom="paragraph">
              <wp:posOffset>73025</wp:posOffset>
            </wp:positionV>
            <wp:extent cx="25114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22" w:lineRule="exact"/>
        <w:rPr>
          <w:sz w:val="24"/>
          <w:szCs w:val="24"/>
          <w:color w:val="auto"/>
        </w:rPr>
      </w:pPr>
    </w:p>
    <w:tbl>
      <w:tblPr>
        <w:tblLayout w:type="fixed"/>
        <w:tblInd w:w="1760" w:type="dxa"/>
        <w:tblCellMar>
          <w:top w:w="0" w:type="dxa"/>
          <w:left w:w="0" w:type="dxa"/>
          <w:bottom w:w="0" w:type="dxa"/>
          <w:right w:w="0" w:type="dxa"/>
        </w:tblCellMar>
      </w:tblPr>
      <w:tr>
        <w:trPr>
          <w:trHeight w:val="238"/>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001-39544</w:t>
            </w:r>
          </w:p>
        </w:tc>
        <w:tc>
          <w:tcPr>
            <w:tcW w:w="2560" w:type="dxa"/>
            <w:vAlign w:val="bottom"/>
          </w:tcPr>
          <w:p>
            <w:pPr>
              <w:jc w:val="center"/>
              <w:ind w:left="1362"/>
              <w:spacing w:after="0"/>
              <w:rPr>
                <w:sz w:val="20"/>
                <w:szCs w:val="20"/>
                <w:color w:val="auto"/>
              </w:rPr>
            </w:pPr>
            <w:r>
              <w:rPr>
                <w:rFonts w:ascii="Times New Roman" w:cs="Times New Roman" w:eastAsia="Times New Roman" w:hAnsi="Times New Roman"/>
                <w:sz w:val="18"/>
                <w:szCs w:val="18"/>
                <w:b w:val="1"/>
                <w:bCs w:val="1"/>
                <w:color w:val="auto"/>
              </w:rPr>
              <w:t>41-2324812</w:t>
            </w:r>
          </w:p>
        </w:tc>
      </w:tr>
      <w:tr>
        <w:trPr>
          <w:trHeight w:val="178"/>
        </w:trPr>
        <w:tc>
          <w:tcPr>
            <w:tcW w:w="2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2560" w:type="dxa"/>
            <w:vAlign w:val="bottom"/>
          </w:tcPr>
          <w:p>
            <w:pPr>
              <w:jc w:val="center"/>
              <w:ind w:left="136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560" w:type="dxa"/>
            <w:vAlign w:val="bottom"/>
          </w:tcPr>
          <w:p>
            <w:pPr>
              <w:jc w:val="center"/>
              <w:ind w:left="136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145" w:lineRule="exact"/>
        <w:rPr>
          <w:sz w:val="24"/>
          <w:szCs w:val="24"/>
          <w:color w:val="auto"/>
        </w:rPr>
      </w:pPr>
    </w:p>
    <w:p>
      <w:pPr>
        <w:sectPr>
          <w:pgSz w:w="11900" w:h="16838" w:orient="portrait"/>
          <w:cols w:equalWidth="0" w:num="2">
            <w:col w:w="2720" w:space="720"/>
            <w:col w:w="7800"/>
          </w:cols>
          <w:pgMar w:left="320" w:top="1413" w:right="339" w:bottom="1440" w:gutter="0" w:footer="0" w:header="0"/>
          <w:type w:val="continuous"/>
        </w:sectPr>
      </w:pPr>
    </w:p>
    <w:tbl>
      <w:tblPr>
        <w:tblLayout w:type="fixed"/>
        <w:tblInd w:w="1240" w:type="dxa"/>
        <w:tblCellMar>
          <w:top w:w="0" w:type="dxa"/>
          <w:left w:w="0" w:type="dxa"/>
          <w:bottom w:w="0" w:type="dxa"/>
          <w:right w:w="0" w:type="dxa"/>
        </w:tblCellMar>
      </w:tblPr>
      <w:tr>
        <w:trPr>
          <w:trHeight w:val="207"/>
        </w:trPr>
        <w:tc>
          <w:tcPr>
            <w:tcW w:w="4980" w:type="dxa"/>
            <w:vAlign w:val="bottom"/>
          </w:tcPr>
          <w:p>
            <w:pPr>
              <w:jc w:val="center"/>
              <w:ind w:right="1855"/>
              <w:spacing w:after="0"/>
              <w:rPr>
                <w:sz w:val="20"/>
                <w:szCs w:val="20"/>
                <w:color w:val="auto"/>
              </w:rPr>
            </w:pPr>
            <w:r>
              <w:rPr>
                <w:rFonts w:ascii="Times New Roman" w:cs="Times New Roman" w:eastAsia="Times New Roman" w:hAnsi="Times New Roman"/>
                <w:sz w:val="18"/>
                <w:szCs w:val="18"/>
                <w:b w:val="1"/>
                <w:bCs w:val="1"/>
                <w:color w:val="auto"/>
                <w:w w:val="99"/>
              </w:rPr>
              <w:t>One Liberty Plaza</w:t>
            </w:r>
          </w:p>
        </w:tc>
        <w:tc>
          <w:tcPr>
            <w:tcW w:w="2600" w:type="dxa"/>
            <w:vAlign w:val="bottom"/>
          </w:tcPr>
          <w:p>
            <w:pPr>
              <w:spacing w:after="0"/>
              <w:rPr>
                <w:sz w:val="17"/>
                <w:szCs w:val="17"/>
                <w:color w:val="auto"/>
              </w:rPr>
            </w:pPr>
          </w:p>
        </w:tc>
      </w:tr>
      <w:tr>
        <w:trPr>
          <w:trHeight w:val="216"/>
        </w:trPr>
        <w:tc>
          <w:tcPr>
            <w:tcW w:w="4980" w:type="dxa"/>
            <w:vAlign w:val="bottom"/>
          </w:tcPr>
          <w:p>
            <w:pPr>
              <w:jc w:val="center"/>
              <w:ind w:right="1855"/>
              <w:spacing w:after="0"/>
              <w:rPr>
                <w:sz w:val="20"/>
                <w:szCs w:val="20"/>
                <w:color w:val="auto"/>
              </w:rPr>
            </w:pPr>
            <w:r>
              <w:rPr>
                <w:rFonts w:ascii="Times New Roman" w:cs="Times New Roman" w:eastAsia="Times New Roman" w:hAnsi="Times New Roman"/>
                <w:sz w:val="18"/>
                <w:szCs w:val="18"/>
                <w:b w:val="1"/>
                <w:bCs w:val="1"/>
                <w:color w:val="auto"/>
              </w:rPr>
              <w:t>1 Liberty Street, Floor 3, Suite 305-306,</w:t>
            </w:r>
          </w:p>
        </w:tc>
        <w:tc>
          <w:tcPr>
            <w:tcW w:w="2600" w:type="dxa"/>
            <w:vAlign w:val="bottom"/>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10006</w:t>
            </w:r>
          </w:p>
        </w:tc>
      </w:tr>
      <w:tr>
        <w:trPr>
          <w:trHeight w:val="238"/>
        </w:trPr>
        <w:tc>
          <w:tcPr>
            <w:tcW w:w="4980" w:type="dxa"/>
            <w:vAlign w:val="bottom"/>
          </w:tcPr>
          <w:p>
            <w:pPr>
              <w:jc w:val="center"/>
              <w:ind w:right="1875"/>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2600" w:type="dxa"/>
            <w:vAlign w:val="bottom"/>
          </w:tcPr>
          <w:p>
            <w:pPr>
              <w:spacing w:after="0"/>
              <w:rPr>
                <w:sz w:val="20"/>
                <w:szCs w:val="20"/>
                <w:color w:val="auto"/>
              </w:rPr>
            </w:pPr>
          </w:p>
        </w:tc>
      </w:tr>
      <w:tr>
        <w:trPr>
          <w:trHeight w:val="206"/>
        </w:trPr>
        <w:tc>
          <w:tcPr>
            <w:tcW w:w="4980" w:type="dxa"/>
            <w:vAlign w:val="bottom"/>
          </w:tcPr>
          <w:p>
            <w:pPr>
              <w:jc w:val="center"/>
              <w:ind w:right="1875"/>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600" w:type="dxa"/>
            <w:vAlign w:val="bottom"/>
          </w:tcPr>
          <w:p>
            <w:pPr>
              <w:jc w:val="center"/>
              <w:ind w:left="1859"/>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(678) 534-5849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2310765</wp:posOffset>
            </wp:positionH>
            <wp:positionV relativeFrom="paragraph">
              <wp:posOffset>345440</wp:posOffset>
            </wp:positionV>
            <wp:extent cx="25114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ind w:left="20" w:right="680"/>
        <w:spacing w:after="0" w:line="237"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4" w:lineRule="exact"/>
        <w:rPr>
          <w:sz w:val="24"/>
          <w:szCs w:val="24"/>
          <w:color w:val="auto"/>
        </w:rPr>
      </w:pPr>
    </w:p>
    <w:p>
      <w:pPr>
        <w:ind w:left="320" w:hanging="245"/>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76" w:lineRule="exact"/>
        <w:rPr>
          <w:rFonts w:ascii="MS PGothic" w:cs="MS PGothic" w:eastAsia="MS PGothic" w:hAnsi="MS PGothic"/>
          <w:sz w:val="18"/>
          <w:szCs w:val="18"/>
          <w:color w:val="auto"/>
        </w:rPr>
      </w:pPr>
    </w:p>
    <w:p>
      <w:pPr>
        <w:ind w:left="320" w:hanging="245"/>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320" w:hanging="245"/>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320" w:hanging="245"/>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20"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70"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5520" w:type="dxa"/>
            <w:vAlign w:val="bottom"/>
            <w:vMerge w:val="restart"/>
          </w:tcPr>
          <w:p>
            <w:pPr>
              <w:ind w:left="16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240" w:type="dxa"/>
            <w:vAlign w:val="bottom"/>
          </w:tcPr>
          <w:p>
            <w:pPr>
              <w:jc w:val="center"/>
              <w:ind w:left="56"/>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48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75"/>
        </w:trPr>
        <w:tc>
          <w:tcPr>
            <w:tcW w:w="5520" w:type="dxa"/>
            <w:vAlign w:val="bottom"/>
            <w:tcBorders>
              <w:bottom w:val="single" w:sz="8" w:color="auto"/>
            </w:tcBorders>
            <w:vMerge w:val="continue"/>
          </w:tcPr>
          <w:p>
            <w:pPr>
              <w:spacing w:after="0"/>
              <w:rPr>
                <w:sz w:val="15"/>
                <w:szCs w:val="15"/>
                <w:color w:val="auto"/>
              </w:rPr>
            </w:pPr>
          </w:p>
        </w:tc>
        <w:tc>
          <w:tcPr>
            <w:tcW w:w="2240" w:type="dxa"/>
            <w:vAlign w:val="bottom"/>
            <w:tcBorders>
              <w:bottom w:val="single" w:sz="8" w:color="auto"/>
            </w:tcBorders>
          </w:tcPr>
          <w:p>
            <w:pPr>
              <w:spacing w:after="0"/>
              <w:rPr>
                <w:sz w:val="15"/>
                <w:szCs w:val="15"/>
                <w:color w:val="auto"/>
              </w:rPr>
            </w:pPr>
          </w:p>
        </w:tc>
        <w:tc>
          <w:tcPr>
            <w:tcW w:w="34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14"/>
        </w:trPr>
        <w:tc>
          <w:tcPr>
            <w:tcW w:w="5520" w:type="dxa"/>
            <w:vAlign w:val="bottom"/>
          </w:tcPr>
          <w:p>
            <w:pPr>
              <w:jc w:val="center"/>
              <w:ind w:left="176"/>
              <w:spacing w:after="0"/>
              <w:rPr>
                <w:sz w:val="20"/>
                <w:szCs w:val="20"/>
                <w:color w:val="auto"/>
              </w:rPr>
            </w:pPr>
            <w:r>
              <w:rPr>
                <w:rFonts w:ascii="Times New Roman" w:cs="Times New Roman" w:eastAsia="Times New Roman" w:hAnsi="Times New Roman"/>
                <w:sz w:val="18"/>
                <w:szCs w:val="18"/>
                <w:b w:val="1"/>
                <w:bCs w:val="1"/>
                <w:color w:val="auto"/>
                <w:w w:val="99"/>
              </w:rPr>
              <w:t>Class A Common Stock, par value $0.0001 per share</w:t>
            </w:r>
          </w:p>
        </w:tc>
        <w:tc>
          <w:tcPr>
            <w:tcW w:w="2240" w:type="dxa"/>
            <w:vAlign w:val="bottom"/>
          </w:tcPr>
          <w:p>
            <w:pPr>
              <w:jc w:val="center"/>
              <w:ind w:left="36"/>
              <w:spacing w:after="0"/>
              <w:rPr>
                <w:sz w:val="20"/>
                <w:szCs w:val="20"/>
                <w:color w:val="auto"/>
              </w:rPr>
            </w:pPr>
            <w:r>
              <w:rPr>
                <w:rFonts w:ascii="Times New Roman" w:cs="Times New Roman" w:eastAsia="Times New Roman" w:hAnsi="Times New Roman"/>
                <w:sz w:val="18"/>
                <w:szCs w:val="18"/>
                <w:b w:val="1"/>
                <w:bCs w:val="1"/>
                <w:color w:val="auto"/>
                <w:w w:val="99"/>
              </w:rPr>
              <w:t>BKKT</w:t>
            </w:r>
          </w:p>
        </w:tc>
        <w:tc>
          <w:tcPr>
            <w:tcW w:w="348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9"/>
              </w:rPr>
              <w:t>The New York Stock Exchange</w:t>
            </w:r>
          </w:p>
        </w:tc>
        <w:tc>
          <w:tcPr>
            <w:tcW w:w="0" w:type="dxa"/>
            <w:vAlign w:val="bottom"/>
          </w:tcPr>
          <w:p>
            <w:pPr>
              <w:spacing w:after="0"/>
              <w:rPr>
                <w:sz w:val="1"/>
                <w:szCs w:val="1"/>
                <w:color w:val="auto"/>
              </w:rPr>
            </w:pPr>
          </w:p>
        </w:tc>
      </w:tr>
      <w:tr>
        <w:trPr>
          <w:trHeight w:val="238"/>
        </w:trPr>
        <w:tc>
          <w:tcPr>
            <w:tcW w:w="5520" w:type="dxa"/>
            <w:vAlign w:val="bottom"/>
          </w:tcPr>
          <w:p>
            <w:pPr>
              <w:jc w:val="center"/>
              <w:ind w:left="176"/>
              <w:spacing w:after="0"/>
              <w:rPr>
                <w:sz w:val="20"/>
                <w:szCs w:val="20"/>
                <w:color w:val="auto"/>
              </w:rPr>
            </w:pPr>
            <w:r>
              <w:rPr>
                <w:rFonts w:ascii="Times New Roman" w:cs="Times New Roman" w:eastAsia="Times New Roman" w:hAnsi="Times New Roman"/>
                <w:sz w:val="18"/>
                <w:szCs w:val="18"/>
                <w:b w:val="1"/>
                <w:bCs w:val="1"/>
                <w:color w:val="auto"/>
                <w:w w:val="99"/>
              </w:rPr>
              <w:t>Warrants to purchase Class A Common Stock</w:t>
            </w:r>
          </w:p>
        </w:tc>
        <w:tc>
          <w:tcPr>
            <w:tcW w:w="2240" w:type="dxa"/>
            <w:vAlign w:val="bottom"/>
          </w:tcPr>
          <w:p>
            <w:pPr>
              <w:jc w:val="center"/>
              <w:ind w:left="36"/>
              <w:spacing w:after="0"/>
              <w:rPr>
                <w:sz w:val="20"/>
                <w:szCs w:val="20"/>
                <w:color w:val="auto"/>
              </w:rPr>
            </w:pPr>
            <w:r>
              <w:rPr>
                <w:rFonts w:ascii="Times New Roman" w:cs="Times New Roman" w:eastAsia="Times New Roman" w:hAnsi="Times New Roman"/>
                <w:sz w:val="18"/>
                <w:szCs w:val="18"/>
                <w:b w:val="1"/>
                <w:bCs w:val="1"/>
                <w:color w:val="auto"/>
                <w:w w:val="99"/>
              </w:rPr>
              <w:t>BKKT WS</w:t>
            </w:r>
          </w:p>
        </w:tc>
        <w:tc>
          <w:tcPr>
            <w:tcW w:w="348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9"/>
              </w:rPr>
              <w:t>The New York Stock Exchange</w:t>
            </w:r>
          </w:p>
        </w:tc>
        <w:tc>
          <w:tcPr>
            <w:tcW w:w="0" w:type="dxa"/>
            <w:vAlign w:val="bottom"/>
          </w:tcPr>
          <w:p>
            <w:pPr>
              <w:spacing w:after="0"/>
              <w:rPr>
                <w:sz w:val="1"/>
                <w:szCs w:val="1"/>
                <w:color w:val="auto"/>
              </w:rPr>
            </w:pPr>
          </w:p>
        </w:tc>
      </w:tr>
    </w:tbl>
    <w:p>
      <w:pPr>
        <w:spacing w:after="0" w:line="171" w:lineRule="exact"/>
        <w:rPr>
          <w:sz w:val="24"/>
          <w:szCs w:val="24"/>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2" w:lineRule="exact"/>
        <w:rPr>
          <w:sz w:val="24"/>
          <w:szCs w:val="24"/>
          <w:color w:val="auto"/>
        </w:rPr>
      </w:pPr>
    </w:p>
    <w:p>
      <w:pPr>
        <w:ind w:right="160"/>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51435</wp:posOffset>
            </wp:positionV>
            <wp:extent cx="46634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63440" cy="8890"/>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76835</wp:posOffset>
            </wp:positionV>
            <wp:extent cx="46634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663440" cy="825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 xml:space="preserve">Bakkt Holdings, Inc. (the "Company") is announcing that it intends to use its official account on X (formerly known as Twitter), </w:t>
      </w:r>
      <w:r>
        <w:rPr>
          <w:rFonts w:ascii="Times New Roman" w:cs="Times New Roman" w:eastAsia="Times New Roman" w:hAnsi="Times New Roman"/>
          <w:sz w:val="18"/>
          <w:szCs w:val="18"/>
          <w:b w:val="1"/>
          <w:bCs w:val="1"/>
          <w:color w:val="auto"/>
        </w:rPr>
        <w:t>@bakkt</w:t>
      </w:r>
      <w:r>
        <w:rPr>
          <w:rFonts w:ascii="Times New Roman" w:cs="Times New Roman" w:eastAsia="Times New Roman" w:hAnsi="Times New Roman"/>
          <w:sz w:val="18"/>
          <w:szCs w:val="18"/>
          <w:color w:val="auto"/>
        </w:rPr>
        <w:t xml:space="preserve"> (https://x.com/bakkt), as a means of disclosing material non-public information and for complying with its disclosure obligations under Regulation FD.</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encourages investors, the media, and others interested in the Company to review the information it posts on the social media channel listed above, in addition to the Company's investor relations website (https://investors.bakkt.com), press releases, and filings with the Securities and Exchange Commission.</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 xml:space="preserve">Information posted on the official X account </w:t>
      </w:r>
      <w:r>
        <w:rPr>
          <w:rFonts w:ascii="Times New Roman" w:cs="Times New Roman" w:eastAsia="Times New Roman" w:hAnsi="Times New Roman"/>
          <w:sz w:val="18"/>
          <w:szCs w:val="18"/>
          <w:b w:val="1"/>
          <w:bCs w:val="1"/>
          <w:color w:val="auto"/>
        </w:rPr>
        <w:t>@bakkt</w:t>
      </w:r>
      <w:r>
        <w:rPr>
          <w:rFonts w:ascii="Times New Roman" w:cs="Times New Roman" w:eastAsia="Times New Roman" w:hAnsi="Times New Roman"/>
          <w:sz w:val="18"/>
          <w:szCs w:val="18"/>
          <w:color w:val="auto"/>
        </w:rPr>
        <w:t xml:space="preserve"> may be deemed to be material information. Accordingly, investors should monitor this account in addition to following the Company’s press releases, SEC filings, and public conference calls and webcasts.</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this Item 7.01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504825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15, 2025</w:t>
      </w:r>
    </w:p>
    <w:p>
      <w:pPr>
        <w:spacing w:after="0" w:line="262"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283" w:lineRule="exact"/>
        <w:rPr>
          <w:sz w:val="20"/>
          <w:szCs w:val="20"/>
          <w:color w:val="auto"/>
        </w:rPr>
      </w:pPr>
    </w:p>
    <w:tbl>
      <w:tblPr>
        <w:tblLayout w:type="fixed"/>
        <w:tblInd w:w="582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Marc D'Annunzio</w:t>
            </w:r>
          </w:p>
        </w:tc>
      </w:tr>
      <w:tr>
        <w:trPr>
          <w:trHeight w:val="21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 D’Annunzio</w:t>
            </w: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Counsel and Secretary</w:t>
            </w:r>
          </w:p>
        </w:tc>
      </w:tr>
    </w:tbl>
    <w:p>
      <w:pPr>
        <w:spacing w:after="0" w:line="1" w:lineRule="exact"/>
        <w:rPr>
          <w:sz w:val="20"/>
          <w:szCs w:val="20"/>
          <w:color w:val="auto"/>
        </w:rPr>
      </w:pP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2025-12-15T08:37:51Z</dcterms:created>
  <dcterms:modified xsi:type="dcterms:W3CDTF">2025-12-15T08:37:51Z</dcterms:modified>
</cp:coreProperties>
</file>