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line="247" w:lineRule="auto"/>
        <w:rPr>
          <w:sz w:val="20"/>
          <w:szCs w:val="20"/>
          <w:color w:val="auto"/>
        </w:rPr>
      </w:pPr>
      <w:r>
        <w:rPr>
          <w:rFonts w:ascii="Times New Roman" w:cs="Times New Roman" w:eastAsia="Times New Roman" w:hAnsi="Times New Roman"/>
          <w:sz w:val="32"/>
          <w:szCs w:val="32"/>
          <w:b w:val="1"/>
          <w:bCs w:val="1"/>
          <w:color w:val="auto"/>
        </w:rPr>
        <w:t>POST-EFFECTIVE AMENDMENT NO. 5 TO FORM S-1 ON FORM S-3 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96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58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Jared Fishman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4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Sullivan &amp; Cromwell</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86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860" w:type="dxa"/>
            <w:vAlign w:val="bottom"/>
          </w:tcPr>
          <w:p>
            <w:pPr>
              <w:spacing w:after="0"/>
              <w:rPr>
                <w:sz w:val="18"/>
                <w:szCs w:val="18"/>
                <w:color w:val="auto"/>
              </w:rPr>
            </w:pPr>
          </w:p>
        </w:tc>
      </w:tr>
      <w:tr>
        <w:trPr>
          <w:trHeight w:val="238"/>
        </w:trPr>
        <w:tc>
          <w:tcPr>
            <w:tcW w:w="240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8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time to time after the effective date of this registration statement.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229"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71"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71"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1" w:lineRule="exact"/>
        <w:rPr>
          <w:sz w:val="24"/>
          <w:szCs w:val="24"/>
          <w:color w:val="auto"/>
        </w:rPr>
      </w:pPr>
    </w:p>
    <w:p>
      <w:pPr>
        <w:ind w:right="6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71"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12, 2021, Bakkt Intermediate Holdings, Inc. (formerly “Bakkt Holdings, Inc.”), a Delaware corporation (the “Predecessor Registrant”), filed a registration statement with the Securities and Exchange Commission (the “SEC”), on Form S-1 (File No. 333-261034), as amended by Amendment No. 1 thereto filed with the SEC on December 8, 2021, initially declared effective by the SEC on December 15, 2021 (as amended, the “Initial Registration Statement”). The Initial Registration Statement registered (i) the issuance and sale by the Predecessor Registrant, and the resale by the Selling Securityholders (as defined in the Initial Registration Statement), from time to time, of up to 190,726,638 shares of Class A common stock, par value $0.0001 per share (“Class A Common Stock”), issuable upon the exchange of an equal number of common units of Bakkt Opco Holdings, LLC, a Delaware limited liability company (f/k/a/ Bakkt Holdings, LLC), coupled with a corresponding number of shares of Class V common stock, par value $0.0001 per share, of the Predecessor Registrant and (ii) the resale from time to time by the Selling Securityholders of (a) 32,500,000 shares of Class A Common Stock issued in a private placement to certain qualified institutional buyers and accredited investors; (b) 5,184,300 shares of Class A Common Stock issued to VPC Impact Acquisition Holdings Sponsor, LLC (the “Sponsor”) and certain of its affiliates that relate to securities acquired by them prior to the Predecessor Registrant’s initial public offering (the “IPO”); and (c) 3,967,362 shares of Class A Common Stock issued to the Sponsor upon the exercise of a portion of the warrants issued to the Sponsor in a private placement concurrently with the IPO.</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5, 2022, the Predecessor Registrant filed a post-effective amendment on Form S-1 (“Post-Effective Amendment No. 1”) to the Initial Registration Statement to (i) include information from the Predecessor Registrant’s Annual Report on Form 10-K for the year ended December 31, 2021 that was filed on March 31, 2022 and (ii) update certain other information in the Initial Registration Statement. No additional securities were registered under Post-Effective Amendment No. 1.</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20, 2023, the Predecessor Registrant filed post-effective amendment No. 2 to Form S-1 on Form S-3 to (i) convert the Initial Registration Statement, as amended by Post-Effective Amendment No. 1, into a registration statement on Form S-3, and (ii) update certain information regarding the Selling Securityholders. No additional securities were registered under such post-effective amendment.</w:t>
      </w:r>
    </w:p>
    <w:p>
      <w:pPr>
        <w:spacing w:after="0" w:line="17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On February 7, 2024, the Predecessor Registrant filed post-effective amendment No. 3 to Form S-1 on Form S-3 (“Post-Effective Amendment No. 3”) to update certain information regarding the Selling Securityholders. No additional securities were registered under such post-effective amendment.</w:t>
      </w:r>
    </w:p>
    <w:p>
      <w:pPr>
        <w:spacing w:after="0" w:line="14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February 14, 2024, the Predecessor Registrant filed post-effective amendment No. 4 to Form S-1 on Form S-3 to update certain information regarding the Predecessor Registrant’s liquidity and ability to continue as a going concern. No additional securities were registered under such post-effective amendment.</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Post-Effective Amendment No. 5 (the “Amendment”) to Form S-1 on Form S-3 is being filed pursuant to Rule 414 under the Securities Act of 1933, as amended (the “Securities Act”), by Bakkt Holdings, Inc. (formerly “Bakkt NewCo Holdings, Inc.”), a Delaware corporation (the “Successor Registrant”), as the successor registrant to the Predecessor Registrant solely to reflect a holding company reorganization in accordance with Section 251(g) of the General Corporation Law of the State of Delaware (the “Reorganization”). No additional securities are being registered pursuant to this Amendment.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Reorganization was completed on November 3, 2025 pursuant to the Agreement and Plan of Merger, dated as of November 3, 2025 (the “Merger Agreement”), among the Successor Registrant, the Predecessor Registrant and Bakkt Merger Sub 1, Inc., a Delaware corporation (“Merger Sub”) and a direct wholly-owned subsidiary of the Successor Registrant, pursuant to which Merger Sub was merged with and into the Predecessor Registrant, with the Predecessor Registrant surviving as a direct wholly owned subsidiary of the Successor Registrant. The Successor Registrant changed its name from “Bakkt NewCo Holdings, Inc.” to “Bakkt Holdings, Inc.” and the Predecessor Registrant changed its name from “Bakkt Holdings, Inc.” to “Bakkt Intermediate Holdings, Inc.” In accordance with the terms of the Merger Agreement, (i) each outstanding share of the Predecessor Registrant’s Class A common stock, par value $0.0001 per share (the “Predecessor Class A Common Stock”), was converted into one share of the Successor Registrant’s Class A common stock, par value $0.0001 per share, evidencing the same proportional interests in the Successor Registrant and having the same designations, rights, powers and preferences, and the same qualifications, limitations and restrictions as a share of the Predecessor Class A Common Stock immediately prior to the Reorganization, and (ii) the Successor Registrant adopted organizational documents substantially identical to those of the Predecessor Registrant and assumed certain obligations of the Predecessor Registrant, in each case, to enable the Successor Registrant to offer and sell the securities listed in the Registration Statement on the same terms and conditions as the Predecessor Registrant prior to the Reorganization as required by Rule 414.</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Registration fees were paid at the time of filing of the original Registration Statement.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14 of Registration Statement Form S-1 on Form S-3, File No. 333-261034, effective as of February 14, 2024.</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set forth in this item is incorporated by reference from Item 15 of Registration Statement Form S-1 on Form S-3, File No. 333-261034, effective as of February 14, 2024.</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0020" w:type="dxa"/>
            <w:vAlign w:val="bottom"/>
            <w:gridSpan w:val="1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40" w:type="dxa"/>
            <w:vAlign w:val="bottom"/>
            <w:gridSpan w:val="1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gridSpan w:val="12"/>
          </w:tcPr>
          <w:p>
            <w:pPr>
              <w:ind w:left="13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0" w:type="dxa"/>
            <w:vAlign w:val="bottom"/>
            <w:gridSpan w:val="14"/>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Agreement and Plan of Merger, dated as of November 3, 2025, by and among Bakkt Holdings, Inc. (formerly Bakkt NewCo</w:t>
              </w:r>
            </w:hyperlink>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Holdings, Inc.), Bakkt Intermediate Holdings, Inc. (formerly Bakkt Holdings, Inc.) and Bakkt Merger Sub 1, Inc.</w:t>
              </w:r>
            </w:hyperlink>
          </w:p>
        </w:tc>
        <w:tc>
          <w:tcPr>
            <w:tcW w:w="2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(incorporated by reference to Exhibit 2.1 to Bakkt Holdings, Inc.’s Current Report on Form 8-K (File No. 001-39544) filed</w:t>
              </w:r>
            </w:hyperlink>
          </w:p>
        </w:tc>
        <w:tc>
          <w:tcPr>
            <w:tcW w:w="14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with the SEC on November 3, 2025).</w:t>
              </w:r>
            </w:hyperlink>
          </w:p>
        </w:tc>
        <w:tc>
          <w:tcPr>
            <w:tcW w:w="6320" w:type="dxa"/>
            <w:vAlign w:val="bottom"/>
            <w:gridSpan w:val="1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Amended and Restated Certificate of Incorporation of Bakkt Holdings, Inc. (incorporated by reference to Exhibit 3.1 to</w:t>
              </w:r>
            </w:hyperlink>
          </w:p>
        </w:tc>
        <w:tc>
          <w:tcPr>
            <w:tcW w:w="40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Bakkt Holdings, Inc.’s Current Report on Form 8-K (File No. 001-39544) filed with the SEC on November 3, 2025).</w:t>
              </w:r>
            </w:hyperlink>
          </w:p>
        </w:tc>
        <w:tc>
          <w:tcPr>
            <w:tcW w:w="580" w:type="dxa"/>
            <w:vAlign w:val="bottom"/>
            <w:gridSpan w:val="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0" w:type="dxa"/>
            <w:vAlign w:val="bottom"/>
            <w:gridSpan w:val="14"/>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Bylaws of Bakkt Holdings, Inc. (incorporated by reference to Exhibit 3.2 to Bakkt Holdings, Inc.’s</w:t>
              </w:r>
            </w:hyperlink>
          </w:p>
        </w:tc>
      </w:tr>
      <w:tr>
        <w:trPr>
          <w:trHeight w:val="196"/>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Current Report on Form 8-K (File No. 001-39544) filed with the SEC on November 3, 2025).</w:t>
              </w:r>
            </w:hyperlink>
          </w:p>
        </w:tc>
        <w:tc>
          <w:tcPr>
            <w:tcW w:w="180" w:type="dxa"/>
            <w:vAlign w:val="bottom"/>
            <w:gridSpan w:val="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Opinion of Sullivan &amp; Cromwell LLP.</w:t>
            </w:r>
          </w:p>
        </w:tc>
        <w:tc>
          <w:tcPr>
            <w:tcW w:w="2260" w:type="dxa"/>
            <w:vAlign w:val="bottom"/>
            <w:gridSpan w:val="10"/>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of Bakkt Holdings, Inc.</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 of Bakkt Holdings, Inc.</w:t>
            </w:r>
          </w:p>
        </w:tc>
        <w:tc>
          <w:tcPr>
            <w:tcW w:w="1600" w:type="dxa"/>
            <w:vAlign w:val="bottom"/>
            <w:gridSpan w:val="8"/>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(included in the opinion filed as Exhibit 5.1 to this Registration Statement).</w:t>
            </w:r>
          </w:p>
        </w:tc>
        <w:tc>
          <w:tcPr>
            <w:tcW w:w="780" w:type="dxa"/>
            <w:vAlign w:val="bottom"/>
            <w:gridSpan w:val="6"/>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Powers of Attorney (included on the signature page to this Registration Statement).</w:t>
            </w:r>
          </w:p>
        </w:tc>
      </w:tr>
      <w:tr>
        <w:trPr>
          <w:trHeight w:val="169"/>
        </w:trPr>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68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36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5360" w:right="460" w:hanging="3932"/>
        <w:spacing w:after="0" w:line="454" w:lineRule="auto"/>
        <w:tabs>
          <w:tab w:leader="none" w:pos="167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 II-1</w:t>
      </w:r>
    </w:p>
    <w:p>
      <w:pPr>
        <w:sectPr>
          <w:pgSz w:w="11900" w:h="16838" w:orient="portrait"/>
          <w:cols w:equalWidth="0" w:num="1">
            <w:col w:w="11020"/>
          </w:cols>
          <w:pgMar w:left="440" w:top="266" w:right="439" w:bottom="1440" w:gutter="0" w:footer="0" w:header="0"/>
        </w:sectPr>
      </w:pPr>
    </w:p>
    <w:bookmarkStart w:id="4" w:name="page5"/>
    <w:bookmarkEnd w:id="4"/>
    <w:p>
      <w:pPr>
        <w:ind w:left="1640" w:hanging="212"/>
        <w:spacing w:after="0"/>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firstLine="1428"/>
        <w:spacing w:after="0" w:line="255" w:lineRule="auto"/>
        <w:tabs>
          <w:tab w:leader="none" w:pos="16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right="60" w:firstLine="1428"/>
        <w:spacing w:after="0" w:line="282" w:lineRule="auto"/>
        <w:tabs>
          <w:tab w:leader="none" w:pos="17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jc w:val="both"/>
        <w:ind w:right="60" w:firstLine="987"/>
        <w:spacing w:after="0" w:line="266"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ind w:right="20" w:firstLine="1428"/>
        <w:spacing w:after="0" w:line="253" w:lineRule="auto"/>
        <w:tabs>
          <w:tab w:leader="none" w:pos="169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0980"/>
          </w:cols>
          <w:pgMar w:left="440" w:top="270" w:right="479" w:bottom="1440" w:gutter="0" w:footer="0" w:header="0"/>
        </w:sectPr>
      </w:pPr>
    </w:p>
    <w:bookmarkStart w:id="5" w:name="page6"/>
    <w:bookmarkEnd w:id="5"/>
    <w:p>
      <w:pPr>
        <w:ind w:right="180" w:firstLine="987"/>
        <w:spacing w:after="0" w:line="258"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w:t>
      </w:r>
    </w:p>
    <w:p>
      <w:pPr>
        <w:spacing w:after="0" w:line="206" w:lineRule="exact"/>
        <w:rPr>
          <w:rFonts w:ascii="Times New Roman" w:cs="Times New Roman" w:eastAsia="Times New Roman" w:hAnsi="Times New Roman"/>
          <w:sz w:val="18"/>
          <w:szCs w:val="18"/>
          <w:color w:val="auto"/>
        </w:rPr>
      </w:pPr>
    </w:p>
    <w:p>
      <w:pPr>
        <w:ind w:right="140" w:firstLine="1428"/>
        <w:spacing w:after="0" w:line="282" w:lineRule="auto"/>
        <w:tabs>
          <w:tab w:leader="none" w:pos="169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right="160" w:firstLine="1428"/>
        <w:spacing w:after="0" w:line="282" w:lineRule="auto"/>
        <w:tabs>
          <w:tab w:leader="none" w:pos="174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0940"/>
          </w:cols>
          <w:pgMar w:left="440" w:top="270" w:right="5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S-3 and has duly caused this Post-Effective Amendment No. 5 to the Registration Statement to be signed on its behalf by the undersigned, thereunto duly authorized, in the City of New York, State of New York, on December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Akshay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Naheta, Karen Alexander and Marc D’Annunzio, or each one of them individually, as the undersigned’s true and lawful attorney-in-fact and agents, with full power of substitution and resubstitution for such person and in such person’s name, place and stead, in any and all capacities, to sign any and all amendments (including post-effective amendments, exhibits thereto, and other documents in connection therewith to this Registration Statement and any later registration statement filed by the registrant under Rule 462(b) of the Securities Act, which relates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such person might or could do in person, hereby ratifying and confirming all that each of said attorney-in-fact and agent, or their substitute or substitutes may lawfully do or cause to be done by virtue hereof.</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5 to the Registration Statement has been signed below by the following persons on behalf of the registrant in the capacities indicated on the 10th day of December,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04"/>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41"/>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36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4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18"/>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427"/>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Galvin</w:t>
            </w:r>
          </w:p>
        </w:tc>
        <w:tc>
          <w:tcPr>
            <w:tcW w:w="6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Richard Galvin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37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020"/>
          </w:cols>
          <w:pgMar w:left="440" w:top="263" w:right="4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380365</wp:posOffset>
            </wp:positionV>
            <wp:extent cx="2665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6657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TELEPHONE: 1-212-558-4000</w:t>
      </w:r>
    </w:p>
    <w:p>
      <w:pPr>
        <w:spacing w:after="0" w:line="3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FACSIMILE: 1-212-558-3588</w:t>
      </w:r>
    </w:p>
    <w:p>
      <w:pPr>
        <w:spacing w:after="0" w:line="9"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WWW.SULLCROM.COM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  </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Liberty Street, Suite 305-306,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125 Broad Street</w:t>
      </w:r>
    </w:p>
    <w:p>
      <w:pPr>
        <w:spacing w:after="0" w:line="31"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New York, New York 10004-2498</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-7620</wp:posOffset>
            </wp:positionV>
            <wp:extent cx="4572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 PALO ALTO • WASHINGTON, D.C.</w:t>
      </w:r>
    </w:p>
    <w:p>
      <w:pPr>
        <w:spacing w:after="0" w:line="27" w:lineRule="exact"/>
        <w:rPr>
          <w:sz w:val="20"/>
          <w:szCs w:val="20"/>
          <w:color w:val="auto"/>
        </w:rPr>
      </w:pPr>
    </w:p>
    <w:p>
      <w:pPr>
        <w:jc w:val="center"/>
        <w:ind w:left="220" w:right="600"/>
        <w:spacing w:after="0" w:line="255" w:lineRule="auto"/>
        <w:rPr>
          <w:sz w:val="20"/>
          <w:szCs w:val="20"/>
          <w:color w:val="auto"/>
        </w:rPr>
      </w:pPr>
      <w:r>
        <w:rPr>
          <w:rFonts w:ascii="Times New Roman" w:cs="Times New Roman" w:eastAsia="Times New Roman" w:hAnsi="Times New Roman"/>
          <w:sz w:val="18"/>
          <w:szCs w:val="18"/>
          <w:color w:val="auto"/>
        </w:rPr>
        <w:t>BRUSSELS • FRANKFURT • LONDON • PARIS BEIJING • HONG KONG • TOKYO MELBOURNE • SYDNEY</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xml:space="preserve">December 10, 2025          </w:t>
      </w:r>
    </w:p>
    <w:p>
      <w:pPr>
        <w:spacing w:after="0" w:line="1628" w:lineRule="exact"/>
        <w:rPr>
          <w:sz w:val="20"/>
          <w:szCs w:val="20"/>
          <w:color w:val="auto"/>
        </w:rPr>
      </w:pPr>
    </w:p>
    <w:p>
      <w:pPr>
        <w:sectPr>
          <w:pgSz w:w="11900" w:h="16838" w:orient="portrait"/>
          <w:cols w:equalWidth="0" w:num="2">
            <w:col w:w="5600" w:space="720"/>
            <w:col w:w="4700"/>
          </w:cols>
          <w:pgMar w:left="440" w:top="117" w:right="439" w:bottom="1440" w:gutter="0" w:footer="0" w:header="0"/>
        </w:sect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180,511,924 shares of Class A common stock, par value $0.0001 per share (“Class A Common Stock”), of Bakkt Holdings, Inc., a Delaware corporation (the “Company”), comprised of (i) 172,281,016 shares of Class A Common Stock (the “Paired Interest Shares”) issuable upon the exchange of common units of Bakkt Opco Holdings, LLC (“Opco Common Units”) paired with the Company’s Class V common stock, par value $0.0001 per share (“Class V Common Stock”, and each share of Class V Common Stock, when coupled with one Opco Common Unit, a “Paired Interest”), (ii) 4,798,470 shares of Class A Common Stock (the “PIPE Shares”) issued to certain qualified institutional buyers and accredited investors pursuant to subscription agreements, (iii) 2,235,441 shares of Class A Common Stock (the “Founder Shares”) issued to VPC Impact Acquisition Holdings Sponsor, LLC and certain of its affiliates that relate to securities acquired by them prior to the initial public offering of shares in Bakkt Intermediate Holdings, Inc. (formerly “Bakkt Holdings, Inc.”) or upon the exercise of warrants and (iv) 1,196,997 shares of Class A Common Stock (the “Previously Issued Paired Interest Shares”) previously issued to certain investors upon the exchange of Paired Interests (the Paired Interest Shares, the PIPE Shares, the Founder Shares and the Previously Issued Paired Interest Shares collectively, the “Securities”), we, as your counsel, have examined such corporate records, certificates and other documents, and such questions of law, as we have considered necessary or appropriate for the purposes of this opinion.</w:t>
      </w:r>
    </w:p>
    <w:p>
      <w:pPr>
        <w:spacing w:after="0" w:line="190" w:lineRule="exact"/>
        <w:rPr>
          <w:sz w:val="20"/>
          <w:szCs w:val="20"/>
          <w:color w:val="auto"/>
        </w:rPr>
      </w:pPr>
    </w:p>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as applicable, the Paired Interest Shares have been duly issued upon the exchange of Paired Interests in accordance with the terms thereof, the Securities will be validly issued, fully paid and nonassessable.</w:t>
      </w:r>
    </w:p>
    <w:p>
      <w:pPr>
        <w:sectPr>
          <w:pgSz w:w="11900" w:h="16838" w:orient="portrait"/>
          <w:cols w:equalWidth="0" w:num="1">
            <w:col w:w="11020"/>
          </w:cols>
          <w:pgMar w:left="440" w:top="117" w:right="4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270"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Post-Effective Amendment No. 5 to the Form S-1 on Form S-3 Registration Statement (File No. 333-261034) and related Prospectus of Bakkt Holdings, Inc. for the registration of 180,511,924 shares of Class A common stock and to the incorporation by reference therein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and except for the effects of Discontinued Operations, as disclosed in Note 2 as to which the date is December 10, 2025, with respect to the consolidated financial statements of Bakkt Holdings, Inc. for the fiscal year ended December 31, 2023, filed with the Securities and Exchange Commission.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except for the effects of the discontinued operations as discussed in Notes 3, 13, 18, 20 and 21, as to which the date is December 10, 2025, with respect to the consolidated financial statements of Bakkt Holdings, Inc., and the effectiveness of internal control over financial reporting,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lvl w:ilvl="1">
      <w:lvlJc w:val="left"/>
      <w:lvlText w:val="(%2)"/>
      <w:numFmt w:val="decimal"/>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2"/>
    </w:lvl>
    <w:lvl w:ilvl="1">
      <w:lvlJc w:val="left"/>
      <w:lvlText w:val="(%2)"/>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4">
    <w:nsid w:val="46E87C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png"/><Relationship Id="rId20" Type="http://schemas.openxmlformats.org/officeDocument/2006/relationships/hyperlink" Target="http://www.sec.gov/Archives/edgar/data/1820302/000119312525262732/d83327dex21.htm" TargetMode="External"/><Relationship Id="rId21" Type="http://schemas.openxmlformats.org/officeDocument/2006/relationships/hyperlink" Target="http://www.sec.gov/Archives/edgar/data/1820302/000119312525262732/d83327dex31.htm" TargetMode="External"/><Relationship Id="rId22" Type="http://schemas.openxmlformats.org/officeDocument/2006/relationships/hyperlink" Target="http://www.sec.gov/Archives/edgar/data/1820302/000119312525262732/d83327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2025-12-10T17:45:26Z</dcterms:created>
  <dcterms:modified xsi:type="dcterms:W3CDTF">2025-12-10T17:45:26Z</dcterms:modified>
</cp:coreProperties>
</file>