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96520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251460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560" w:type="dxa"/>
            <w:vAlign w:val="bottom"/>
          </w:tcPr>
          <w:p>
            <w:pPr>
              <w:spacing w:after="0"/>
              <w:rPr>
                <w:sz w:val="18"/>
                <w:szCs w:val="18"/>
                <w:color w:val="auto"/>
              </w:rPr>
            </w:pPr>
          </w:p>
        </w:tc>
      </w:tr>
      <w:tr>
        <w:trPr>
          <w:trHeight w:val="259"/>
        </w:trPr>
        <w:tc>
          <w:tcPr>
            <w:tcW w:w="47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180" w:firstLine="5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0"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420" w:firstLine="518"/>
        <w:spacing w:after="0" w:line="245" w:lineRule="auto"/>
        <w:rPr>
          <w:sz w:val="20"/>
          <w:szCs w:val="20"/>
          <w:color w:val="auto"/>
        </w:rPr>
      </w:pPr>
      <w:r>
        <w:rPr>
          <w:rFonts w:ascii="Times New Roman" w:cs="Times New Roman" w:eastAsia="Times New Roman" w:hAnsi="Times New Roman"/>
          <w:sz w:val="16"/>
          <w:szCs w:val="16"/>
          <w:color w:val="auto"/>
        </w:rPr>
        <w:t>As of May 9, 2025, there were 6,734,323 shares of the registrant’s Class A Common Stock, 7,177,076 shares of Class V Common Stock, and 7,140,383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w:t>
            </w:r>
          </w:p>
        </w:tc>
        <w:tc>
          <w:tcPr>
            <w:tcW w:w="1520" w:type="dxa"/>
            <w:vAlign w:val="bottom"/>
            <w:tcBorders>
              <w:top w:val="single" w:sz="8" w:color="0E32E1"/>
            </w:tcBorders>
            <w:gridSpan w:val="5"/>
          </w:tcPr>
          <w:p>
            <w:pPr>
              <w:spacing w:after="0"/>
              <w:rPr>
                <w:sz w:val="18"/>
                <w:szCs w:val="18"/>
                <w:color w:val="auto"/>
              </w:rPr>
            </w:pPr>
          </w:p>
        </w:tc>
        <w:tc>
          <w:tcPr>
            <w:tcW w:w="482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96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27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top w:val="single" w:sz="8" w:color="0E32E1"/>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2560" w:type="dxa"/>
            <w:vAlign w:val="bottom"/>
            <w:tcBorders>
              <w:top w:val="single" w:sz="8" w:color="0E32E1"/>
            </w:tcBorders>
            <w:gridSpan w:val="10"/>
          </w:tcPr>
          <w:p>
            <w:pPr>
              <w:spacing w:after="0"/>
              <w:rPr>
                <w:sz w:val="18"/>
                <w:szCs w:val="18"/>
                <w:color w:val="auto"/>
              </w:rPr>
            </w:pP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18"/>
                <w:szCs w:val="18"/>
                <w:color w:val="0E32E1"/>
                <w:w w:val="99"/>
              </w:rPr>
              <w:t>Unregistered Sales of Equity Securities, Use of Proceeds, and Issuer Purchases of Equity Securities</w:t>
            </w:r>
          </w:p>
        </w:tc>
        <w:tc>
          <w:tcPr>
            <w:tcW w:w="20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7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25" w:lineRule="exact"/>
        <w:rPr>
          <w:sz w:val="20"/>
          <w:szCs w:val="20"/>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w:t>
      </w:r>
    </w:p>
    <w:p>
      <w:pPr>
        <w:spacing w:after="0" w:line="157"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for our products and services;</w:t>
      </w:r>
    </w:p>
    <w:p>
      <w:pPr>
        <w:spacing w:after="0" w:line="144"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growth of the crypto industry and the improving regulatory environment for crypto:</w:t>
      </w:r>
    </w:p>
    <w:p>
      <w:pPr>
        <w:spacing w:after="0" w:line="157"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restructuring initiative and future potential reductions of expenses;</w:t>
      </w:r>
    </w:p>
    <w:p>
      <w:pPr>
        <w:spacing w:after="0" w:line="144" w:lineRule="exact"/>
        <w:rPr>
          <w:rFonts w:ascii="Times New Roman" w:cs="Times New Roman" w:eastAsia="Times New Roman" w:hAnsi="Times New Roman"/>
          <w:sz w:val="18"/>
          <w:szCs w:val="18"/>
          <w:color w:val="231F20"/>
        </w:rPr>
      </w:pPr>
    </w:p>
    <w:p>
      <w:pPr>
        <w:ind w:left="820" w:hanging="326"/>
        <w:spacing w:after="0" w:line="329" w:lineRule="auto"/>
        <w:tabs>
          <w:tab w:leader="none" w:pos="81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impact to our business of establishing a commercial partnership with DTR (as defined below) and offering stablecoin-based digital payments and working with DTR under the Cooperation Agreement (as defined below);</w:t>
      </w:r>
    </w:p>
    <w:p>
      <w:pPr>
        <w:spacing w:after="0" w:line="40" w:lineRule="exact"/>
        <w:rPr>
          <w:rFonts w:ascii="Times New Roman" w:cs="Times New Roman" w:eastAsia="Times New Roman" w:hAnsi="Times New Roman"/>
          <w:sz w:val="18"/>
          <w:szCs w:val="18"/>
          <w:color w:val="231F20"/>
        </w:rPr>
      </w:pPr>
    </w:p>
    <w:p>
      <w:pPr>
        <w:ind w:left="820" w:hanging="326"/>
        <w:spacing w:after="0" w:line="329" w:lineRule="auto"/>
        <w:tabs>
          <w:tab w:leader="none" w:pos="81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impact to our business of entering into a commercial agreement with DTR, including whether such agreement or the related integration will be executed on terms favorable to us, if at all, or be completed on the expected timeline;</w:t>
      </w:r>
    </w:p>
    <w:p>
      <w:pPr>
        <w:spacing w:after="0" w:line="40"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disposition of Bakkt Trust (as defined below) and continued strategic evaluation of our loyalty business; and</w:t>
      </w:r>
    </w:p>
    <w:p>
      <w:pPr>
        <w:spacing w:after="0" w:line="157"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expansion plans and opportunities.</w:t>
      </w:r>
    </w:p>
    <w:p>
      <w:pPr>
        <w:spacing w:after="0" w:line="252"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231F20"/>
        </w:rPr>
        <w:t xml:space="preserve">These forward-looking statements are based on information available as of the date of this </w:t>
      </w:r>
      <w:r>
        <w:rPr>
          <w:rFonts w:ascii="Times New Roman" w:cs="Times New Roman" w:eastAsia="Times New Roman" w:hAnsi="Times New Roman"/>
          <w:sz w:val="18"/>
          <w:szCs w:val="18"/>
          <w:color w:val="000000"/>
        </w:rPr>
        <w:t>Report</w:t>
      </w:r>
      <w:r>
        <w:rPr>
          <w:rFonts w:ascii="Times New Roman" w:cs="Times New Roman" w:eastAsia="Times New Roman" w:hAnsi="Times New Roman"/>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4" w:lineRule="exact"/>
        <w:rPr>
          <w:sz w:val="20"/>
          <w:szCs w:val="20"/>
          <w:color w:val="auto"/>
        </w:rPr>
      </w:pPr>
    </w:p>
    <w:p>
      <w:pPr>
        <w:jc w:val="both"/>
        <w:ind w:right="40" w:firstLine="648"/>
        <w:spacing w:after="0" w:line="305"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75"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events that raised substantial doubt about our ability to continue as a going concern;</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44" w:lineRule="exact"/>
        <w:rPr>
          <w:rFonts w:ascii="Times New Roman" w:cs="Times New Roman" w:eastAsia="Times New Roman" w:hAnsi="Times New Roman"/>
          <w:sz w:val="18"/>
          <w:szCs w:val="18"/>
          <w:color w:val="auto"/>
        </w:rPr>
      </w:pPr>
    </w:p>
    <w:p>
      <w:pPr>
        <w:ind w:left="820" w:right="20" w:hanging="326"/>
        <w:spacing w:after="0" w:line="329"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and our ability to adapt to those changes, including with respect to our competitive landscape, technology evolution or changes in applicable laws or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57" w:lineRule="exact"/>
        <w:rPr>
          <w:rFonts w:ascii="Times New Roman" w:cs="Times New Roman" w:eastAsia="Times New Roman" w:hAnsi="Times New Roman"/>
          <w:sz w:val="18"/>
          <w:szCs w:val="18"/>
          <w:color w:val="auto"/>
        </w:rPr>
      </w:pPr>
    </w:p>
    <w:p>
      <w:pPr>
        <w:ind w:left="820" w:hanging="326"/>
        <w:spacing w:after="0" w:line="27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market that subject us to additional risks, including the risk that banks may not provide banking services to us and market sentiment regarding cryptocurrencies;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regarding stablecoins or the broader digital asset industry may have an outsized negative effect on customer confidence;</w:t>
      </w:r>
    </w:p>
    <w:p>
      <w:pPr>
        <w:spacing w:after="0" w:line="98" w:lineRule="exact"/>
        <w:rPr>
          <w:rFonts w:ascii="Times New Roman" w:cs="Times New Roman" w:eastAsia="Times New Roman" w:hAnsi="Times New Roman"/>
          <w:sz w:val="18"/>
          <w:szCs w:val="18"/>
          <w:color w:val="auto"/>
        </w:rPr>
      </w:pPr>
    </w:p>
    <w:p>
      <w:pPr>
        <w:ind w:left="820" w:right="20" w:hanging="326"/>
        <w:spacing w:after="0" w:line="313"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 including elevated and fluctuating interest rates, inflationary pressures, instability in the global banking system, economic downturns, and other global events;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Crypto services revenue with a single client that has notified us it will not be renewing its agreement with us;</w:t>
      </w:r>
    </w:p>
    <w:p>
      <w:pPr>
        <w:spacing w:after="0" w:line="130" w:lineRule="exact"/>
        <w:rPr>
          <w:rFonts w:ascii="Times New Roman" w:cs="Times New Roman" w:eastAsia="Times New Roman" w:hAnsi="Times New Roman"/>
          <w:sz w:val="18"/>
          <w:szCs w:val="18"/>
          <w:color w:val="auto"/>
        </w:rPr>
      </w:pPr>
    </w:p>
    <w:p>
      <w:pPr>
        <w:ind w:left="820" w:right="520" w:hanging="326"/>
        <w:spacing w:after="0" w:line="237"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 partnership with DTR, integrate our platform with DTR’s platform and realize the benefits under the Cooperation Agreement or to consummate a transaction with DTR on the expected timeline, or be on acceptable terms or at all;</w:t>
      </w:r>
    </w:p>
    <w:p>
      <w:pPr>
        <w:spacing w:after="0" w:line="50"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or to profitably expand into new markets and services,and our ability to continue offering existing services or products;</w:t>
      </w:r>
    </w:p>
    <w:p>
      <w:pPr>
        <w:spacing w:after="0" w:line="68" w:lineRule="exact"/>
        <w:rPr>
          <w:rFonts w:ascii="Times New Roman" w:cs="Times New Roman" w:eastAsia="Times New Roman" w:hAnsi="Times New Roman"/>
          <w:sz w:val="18"/>
          <w:szCs w:val="18"/>
          <w:color w:val="auto"/>
        </w:rPr>
      </w:pPr>
    </w:p>
    <w:p>
      <w:pPr>
        <w:ind w:left="820" w:hanging="326"/>
        <w:spacing w:after="0" w:line="313"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existing customer relationships;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57" w:lineRule="exact"/>
        <w:rPr>
          <w:rFonts w:ascii="Times New Roman" w:cs="Times New Roman" w:eastAsia="Times New Roman" w:hAnsi="Times New Roman"/>
          <w:sz w:val="18"/>
          <w:szCs w:val="18"/>
          <w:color w:val="auto"/>
        </w:rPr>
      </w:pPr>
    </w:p>
    <w:p>
      <w:pPr>
        <w:ind w:left="820" w:hanging="326"/>
        <w:spacing w:after="0" w:line="313"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expected disposition of Bakkt Trust [and the possible disposition or winddown of] our loyalty business;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cash expenses and align headcount and employee-related costs with our budget priorities;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maintain management and other key personnel;</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government regulations, oversight, licensure and appraisals;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highly evolving regulatory regime governing blockchain technologies and crypto;</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to which we are subject gives rise to various licensing requirements, significant compliance costs and other</w:t>
      </w:r>
    </w:p>
    <w:p>
      <w:pPr>
        <w:spacing w:after="0" w:line="49" w:lineRule="exact"/>
        <w:rPr>
          <w:rFonts w:ascii="Times New Roman" w:cs="Times New Roman" w:eastAsia="Times New Roman" w:hAnsi="Times New Roman"/>
          <w:sz w:val="18"/>
          <w:szCs w:val="18"/>
          <w:color w:val="auto"/>
        </w:rPr>
      </w:pPr>
    </w:p>
    <w:p>
      <w:pPr>
        <w:ind w:left="820" w:right="4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noncompliance could result in a range of penalties, including fines, compliance costs, operational restrictions, reputational damage, and loss of licenses;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44" w:lineRule="exact"/>
        <w:rPr>
          <w:rFonts w:ascii="Times New Roman" w:cs="Times New Roman" w:eastAsia="Times New Roman" w:hAnsi="Times New Roman"/>
          <w:sz w:val="18"/>
          <w:szCs w:val="18"/>
          <w:color w:val="auto"/>
        </w:rPr>
      </w:pPr>
    </w:p>
    <w:p>
      <w:pPr>
        <w:ind w:left="820" w:hanging="326"/>
        <w:spacing w:after="0" w:line="329"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any liability, protracted and costly litigation, settlement expenses or reputational damage relating to legal proceedings or our data security;</w:t>
      </w:r>
    </w:p>
    <w:p>
      <w:pPr>
        <w:spacing w:after="0" w:line="4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 impairments on our operating results;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(“NYSE”); and</w:t>
      </w:r>
    </w:p>
    <w:p>
      <w:pPr>
        <w:spacing w:after="0" w:line="14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risks and uncertainties indicated in this Report, including those set forth under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7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1"/>
                <w:szCs w:val="11"/>
                <w:color w:val="auto"/>
              </w:rPr>
            </w:pPr>
          </w:p>
        </w:tc>
        <w:tc>
          <w:tcPr>
            <w:tcW w:w="15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39,049</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Assets of businesses held for sale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183,845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0" w:type="dxa"/>
            <w:vAlign w:val="bottom"/>
          </w:tcPr>
          <w:p>
            <w:pPr>
              <w:spacing w:after="0"/>
              <w:rPr>
                <w:sz w:val="1"/>
                <w:szCs w:val="1"/>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39,911</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of businesses held for sale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137,719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206,524</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($0.0001 par value, 30,000,000 shares authorized, 6,656,355 shares</w:t>
            </w: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March 31, 2025 and 6,510,885 shares issued and outstanding</w:t>
            </w:r>
          </w:p>
        </w:tc>
        <w:tc>
          <w:tcPr>
            <w:tcW w:w="2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V Common Stock ($0.0001 par value, 10,000,000 shares authorized, 7,177,774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March 31, 2025 and 7,178,303 shares issued and outstanding</w:t>
            </w:r>
          </w:p>
        </w:tc>
        <w:tc>
          <w:tcPr>
            <w:tcW w:w="2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832,693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(797,960)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33,894</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28,959</w:t>
            </w: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62,853</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841,340</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854,582</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831,972</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886,419</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(31,837)</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(21,119)</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(21,275)</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Bakkt Holdings, Inc.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Class A Common Stockholders: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Income (Loss)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(21,275)</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on available-for-sale securities, net of tax</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(21,854)</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Bakkt Holdings, Inc.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w:t>
            </w:r>
          </w:p>
        </w:tc>
      </w:tr>
      <w:tr>
        <w:trPr>
          <w:trHeight w:val="21"/>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2260" w:type="dxa"/>
        <w:tblCellMar>
          <w:top w:w="0" w:type="dxa"/>
          <w:left w:w="0" w:type="dxa"/>
          <w:bottom w:w="0" w:type="dxa"/>
          <w:right w:w="0" w:type="dxa"/>
        </w:tblCellMar>
      </w:tblPr>
      <w:tr>
        <w:trPr>
          <w:trHeight w:val="115"/>
        </w:trPr>
        <w:tc>
          <w:tcPr>
            <w:tcW w:w="1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180" w:type="dxa"/>
            <w:vAlign w:val="bottom"/>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1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5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10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18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1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24" w:lineRule="exact"/>
        <w:rPr>
          <w:sz w:val="20"/>
          <w:szCs w:val="20"/>
          <w:color w:val="auto"/>
        </w:rPr>
      </w:pPr>
    </w:p>
    <w:p>
      <w:pPr>
        <w:ind w:left="20" w:right="240"/>
        <w:spacing w:after="0" w:line="253" w:lineRule="auto"/>
        <w:rPr>
          <w:sz w:val="20"/>
          <w:szCs w:val="20"/>
          <w:color w:val="auto"/>
        </w:rPr>
      </w:pPr>
      <w:r>
        <w:rPr>
          <w:rFonts w:ascii="Times New Roman" w:cs="Times New Roman" w:eastAsia="Times New Roman" w:hAnsi="Times New Roman"/>
          <w:sz w:val="14"/>
          <w:szCs w:val="14"/>
          <w:b w:val="1"/>
          <w:bCs w:val="1"/>
          <w:color w:val="auto"/>
        </w:rPr>
        <w:t>Balance as of December 31, 2024</w:t>
      </w: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jc w:val="both"/>
        <w:ind w:left="140" w:right="60"/>
        <w:spacing w:after="0" w:line="241" w:lineRule="auto"/>
        <w:rPr>
          <w:sz w:val="20"/>
          <w:szCs w:val="20"/>
          <w:color w:val="auto"/>
        </w:rPr>
      </w:pPr>
      <w:r>
        <w:rPr>
          <w:rFonts w:ascii="Times New Roman" w:cs="Times New Roman" w:eastAsia="Times New Roman" w:hAnsi="Times New Roman"/>
          <w:sz w:val="14"/>
          <w:szCs w:val="14"/>
          <w:color w:val="auto"/>
        </w:rPr>
        <w:t>Shares issued upon vesting of share-based awards, net of tax withholding</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42"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560"/>
        <w:spacing w:after="0" w:line="251"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300"/>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6,510,885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7,178,303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832,693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(797,960)</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(841)</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33,894</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28,959</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62,853</w:t>
            </w:r>
          </w:p>
        </w:tc>
      </w:tr>
      <w:tr>
        <w:trPr>
          <w:trHeight w:val="203"/>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3,343</w:t>
            </w:r>
          </w:p>
        </w:tc>
        <w:tc>
          <w:tcPr>
            <w:tcW w:w="2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3,343</w:t>
            </w:r>
          </w:p>
        </w:tc>
        <w:tc>
          <w:tcPr>
            <w:tcW w:w="3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r>
      <w:tr>
        <w:trPr>
          <w:trHeight w:val="486"/>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144,937</w:t>
            </w:r>
          </w:p>
        </w:tc>
        <w:tc>
          <w:tcPr>
            <w:tcW w:w="200" w:type="dxa"/>
            <w:vAlign w:val="bottom"/>
          </w:tcPr>
          <w:p>
            <w:pPr>
              <w:spacing w:after="0"/>
              <w:rPr>
                <w:sz w:val="24"/>
                <w:szCs w:val="24"/>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203"/>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7"/>
                <w:szCs w:val="17"/>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38"/>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tcPr>
          <w:p>
            <w:pPr>
              <w:spacing w:after="0"/>
              <w:rPr>
                <w:sz w:val="24"/>
                <w:szCs w:val="24"/>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7,710</w:t>
            </w:r>
          </w:p>
        </w:tc>
        <w:tc>
          <w:tcPr>
            <w:tcW w:w="44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7,710</w:t>
            </w:r>
          </w:p>
        </w:tc>
        <w:tc>
          <w:tcPr>
            <w:tcW w:w="3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8,529</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16,239</w:t>
            </w:r>
          </w:p>
        </w:tc>
      </w:tr>
      <w:tr>
        <w:trPr>
          <w:trHeight w:val="23"/>
        </w:trPr>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6,656,355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7,177,774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835,134</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(790,250)</w:t>
            </w:r>
          </w:p>
        </w:tc>
        <w:tc>
          <w:tcPr>
            <w:tcW w:w="4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(827)</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44,059</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37,500</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81,559</w:t>
            </w:r>
          </w:p>
        </w:tc>
      </w:tr>
      <w:tr>
        <w:trPr>
          <w:trHeight w:val="27"/>
        </w:trPr>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-1508125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-1165225</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-728345</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-299720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20"/>
            <w:col w:w="928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12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104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5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20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1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1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24"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4"/>
          <w:szCs w:val="14"/>
          <w:b w:val="1"/>
          <w:bCs w:val="1"/>
          <w:color w:val="auto"/>
        </w:rPr>
        <w:t>Balance as of December 31, 2023</w:t>
      </w: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Shares issued upon vesting</w:t>
      </w:r>
    </w:p>
    <w:p>
      <w:pPr>
        <w:spacing w:after="0" w:line="4" w:lineRule="exact"/>
        <w:rPr>
          <w:sz w:val="20"/>
          <w:szCs w:val="20"/>
          <w:color w:val="auto"/>
        </w:rPr>
      </w:pPr>
    </w:p>
    <w:p>
      <w:pPr>
        <w:ind w:left="140" w:right="100"/>
        <w:spacing w:after="0" w:line="229" w:lineRule="auto"/>
        <w:rPr>
          <w:sz w:val="20"/>
          <w:szCs w:val="20"/>
          <w:color w:val="auto"/>
        </w:rPr>
      </w:pPr>
      <w:r>
        <w:rPr>
          <w:rFonts w:ascii="Times New Roman" w:cs="Times New Roman" w:eastAsia="Times New Roman" w:hAnsi="Times New Roman"/>
          <w:sz w:val="14"/>
          <w:szCs w:val="14"/>
          <w:color w:val="auto"/>
        </w:rPr>
        <w:t>of share-based awards, net of tax withholding</w:t>
      </w:r>
    </w:p>
    <w:p>
      <w:pPr>
        <w:spacing w:after="0" w:line="14" w:lineRule="exact"/>
        <w:rPr>
          <w:sz w:val="20"/>
          <w:szCs w:val="20"/>
          <w:color w:val="auto"/>
        </w:rPr>
      </w:pPr>
    </w:p>
    <w:p>
      <w:pPr>
        <w:ind w:left="140" w:right="280"/>
        <w:spacing w:after="0" w:line="251" w:lineRule="auto"/>
        <w:rPr>
          <w:sz w:val="20"/>
          <w:szCs w:val="20"/>
          <w:color w:val="auto"/>
        </w:rPr>
      </w:pPr>
      <w:r>
        <w:rPr>
          <w:rFonts w:ascii="Times New Roman" w:cs="Times New Roman" w:eastAsia="Times New Roman" w:hAnsi="Times New Roman"/>
          <w:sz w:val="14"/>
          <w:szCs w:val="14"/>
          <w:color w:val="auto"/>
        </w:rPr>
        <w:t>Equity offerings, net of issuance costs</w:t>
      </w:r>
    </w:p>
    <w:p>
      <w:pPr>
        <w:spacing w:after="0" w:line="1" w:lineRule="exact"/>
        <w:rPr>
          <w:sz w:val="20"/>
          <w:szCs w:val="20"/>
          <w:color w:val="auto"/>
        </w:rPr>
      </w:pPr>
    </w:p>
    <w:p>
      <w:pPr>
        <w:ind w:left="140" w:right="20"/>
        <w:spacing w:after="0" w:line="251"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380"/>
        <w:spacing w:after="0" w:line="251"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Unrealized loss on</w:t>
      </w:r>
    </w:p>
    <w:p>
      <w:pPr>
        <w:spacing w:after="0" w:line="4" w:lineRule="exact"/>
        <w:rPr>
          <w:sz w:val="20"/>
          <w:szCs w:val="20"/>
          <w:color w:val="auto"/>
        </w:rPr>
      </w:pPr>
    </w:p>
    <w:p>
      <w:pPr>
        <w:ind w:left="140"/>
        <w:spacing w:after="0" w:line="229" w:lineRule="auto"/>
        <w:rPr>
          <w:sz w:val="20"/>
          <w:szCs w:val="20"/>
          <w:color w:val="auto"/>
        </w:rPr>
      </w:pPr>
      <w:r>
        <w:rPr>
          <w:rFonts w:ascii="Times New Roman" w:cs="Times New Roman" w:eastAsia="Times New Roman" w:hAnsi="Times New Roman"/>
          <w:sz w:val="14"/>
          <w:szCs w:val="14"/>
          <w:color w:val="auto"/>
        </w:rPr>
        <w:t>available-for-sale securities, net of tax</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loss</w:t>
      </w:r>
    </w:p>
    <w:p>
      <w:pPr>
        <w:spacing w:after="0" w:line="40" w:lineRule="exact"/>
        <w:rPr>
          <w:sz w:val="20"/>
          <w:szCs w:val="20"/>
          <w:color w:val="auto"/>
        </w:rPr>
      </w:pPr>
    </w:p>
    <w:p>
      <w:pPr>
        <w:ind w:left="20" w:right="260"/>
        <w:spacing w:after="0" w:line="264" w:lineRule="auto"/>
        <w:rPr>
          <w:sz w:val="20"/>
          <w:szCs w:val="20"/>
          <w:color w:val="auto"/>
        </w:rPr>
      </w:pPr>
      <w:r>
        <w:rPr>
          <w:rFonts w:ascii="Times New Roman" w:cs="Times New Roman" w:eastAsia="Times New Roman" w:hAnsi="Times New Roman"/>
          <w:sz w:val="14"/>
          <w:szCs w:val="14"/>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300"/>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3,793,837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7,200,064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799,683</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(751,301)</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(101)</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48,282</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87,432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135,714</w:t>
            </w:r>
          </w:p>
        </w:tc>
      </w:tr>
      <w:tr>
        <w:trPr>
          <w:trHeight w:val="203"/>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8,013</w:t>
            </w:r>
          </w:p>
        </w:tc>
        <w:tc>
          <w:tcPr>
            <w:tcW w:w="26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8,013</w:t>
            </w:r>
          </w:p>
        </w:tc>
        <w:tc>
          <w:tcPr>
            <w:tcW w:w="3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w:t>
            </w:r>
          </w:p>
        </w:tc>
      </w:tr>
      <w:tr>
        <w:trPr>
          <w:trHeight w:val="486"/>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118,593</w:t>
            </w:r>
          </w:p>
        </w:tc>
        <w:tc>
          <w:tcPr>
            <w:tcW w:w="22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(2,259)</w:t>
            </w:r>
          </w:p>
        </w:tc>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3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r>
      <w:tr>
        <w:trPr>
          <w:trHeight w:val="338"/>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1,955,924</w:t>
            </w:r>
          </w:p>
        </w:tc>
        <w:tc>
          <w:tcPr>
            <w:tcW w:w="22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11,268</w:t>
            </w:r>
          </w:p>
        </w:tc>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11,269</w:t>
            </w:r>
          </w:p>
        </w:tc>
        <w:tc>
          <w:tcPr>
            <w:tcW w:w="3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w:t>
            </w:r>
          </w:p>
        </w:tc>
      </w:tr>
      <w:tr>
        <w:trPr>
          <w:trHeight w:val="338"/>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4,725</w:t>
            </w:r>
          </w:p>
        </w:tc>
        <w:tc>
          <w:tcPr>
            <w:tcW w:w="22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(4,725)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3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7"/>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486"/>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3"/>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(8,165)</w:t>
            </w:r>
          </w:p>
        </w:tc>
        <w:tc>
          <w:tcPr>
            <w:tcW w:w="46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3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(13,110)</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(21,275)</w:t>
            </w:r>
          </w:p>
        </w:tc>
      </w:tr>
      <w:tr>
        <w:trPr>
          <w:trHeight w:val="23"/>
        </w:trPr>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7"/>
        </w:trPr>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5,873,079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7,195,339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816,768</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(759,466)</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(321)</w:t>
            </w:r>
          </w:p>
        </w:tc>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56,983</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73,900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130,883</w:t>
            </w:r>
          </w:p>
        </w:tc>
      </w:tr>
      <w:tr>
        <w:trPr>
          <w:trHeight w:val="23"/>
        </w:trPr>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-1962150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-1619250</wp:posOffset>
            </wp:positionV>
            <wp:extent cx="71323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-1096645</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-668020</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-230505</wp:posOffset>
            </wp:positionV>
            <wp:extent cx="71323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60"/>
            <w:col w:w="9420"/>
          </w:cols>
          <w:pgMar w:left="320" w:top="108" w:right="339"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4"/>
        </w:trPr>
        <w:tc>
          <w:tcPr>
            <w:tcW w:w="814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(21,275)</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Forfeiture and cancellation of common units</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lease assignment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from change in fair value of warrant liability</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insurance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0" w:type="dxa"/>
            <w:vAlign w:val="bottom"/>
          </w:tcPr>
          <w:p>
            <w:pPr>
              <w:spacing w:after="0"/>
              <w:rPr>
                <w:sz w:val="1"/>
                <w:szCs w:val="1"/>
                <w:color w:val="auto"/>
              </w:rPr>
            </w:pPr>
          </w:p>
        </w:tc>
      </w:tr>
      <w:tr>
        <w:trPr>
          <w:trHeight w:val="195"/>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5"/>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95"/>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funds payable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and liabilities of businesses held for sale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38,353</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settlement of available-for-sale securities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Concurrent Offerings, net of issuance costs</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exercise of warrants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 tax payments on net share settlements on equity awards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 on revolving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9"/>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increase in cash, cash equivalents, restricted cash, customer funds and deposits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72,333</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customer funds and deposits at the beginning of the period</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0" w:type="dxa"/>
            <w:vAlign w:val="bottom"/>
          </w:tcPr>
          <w:p>
            <w:pPr>
              <w:spacing w:after="0"/>
              <w:rPr>
                <w:sz w:val="1"/>
                <w:szCs w:val="1"/>
                <w:color w:val="auto"/>
              </w:rPr>
            </w:pPr>
          </w:p>
        </w:tc>
      </w:tr>
      <w:tr>
        <w:trPr>
          <w:trHeight w:val="16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customer funds and deposits at the end of the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56,459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activity:</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 included in accounts payable and 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restricted cash, customer funds and deposits to consolidated balance sheets: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44,008</w:t>
            </w:r>
          </w:p>
        </w:tc>
        <w:tc>
          <w:tcPr>
            <w:tcW w:w="0" w:type="dxa"/>
            <w:vAlign w:val="bottom"/>
          </w:tcPr>
          <w:p>
            <w:pPr>
              <w:spacing w:after="0"/>
              <w:rPr>
                <w:sz w:val="1"/>
                <w:szCs w:val="1"/>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funds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 (Note 6)</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customer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56,459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190,831</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03" w:lineRule="exact"/>
        <w:rPr>
          <w:sz w:val="20"/>
          <w:szCs w:val="20"/>
          <w:color w:val="auto"/>
        </w:rPr>
      </w:pPr>
    </w:p>
    <w:p>
      <w:pPr>
        <w:ind w:right="7720" w:firstLine="8"/>
        <w:spacing w:after="0" w:line="511"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9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Holdings, Inc. and its subsidiaries, including Opco.</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(as defined below). Additionally, all outstanding membership interests and rights to acquire membership interests in Opco were exchanged for Opco Common Units and an equal number of newly issued shares of our Class V Common Stock (as defined below). The existing owners of Opco other than Bakkt are considered noncontrolling interests in the accompanying consolidated financial statements.</w:t>
      </w:r>
    </w:p>
    <w:p>
      <w:pPr>
        <w:spacing w:after="0" w:line="17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Apex to Bakkt Crypto Solutions, LLC ("Bakkt Crypto Solutions"), effective June 12, 2023. On March 20, 2024, Bakkt Crypto Solutions merged with and into Bakkt Marketplace, LLC ("Bakkt Marketplace"), with Bakkt Marketplace as the surviving entity in the merger. Bakkt Marketplace was then renamed to Bakkt Crypto Solutions, LLC ("Bakkt Crypto").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5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C0C0C"/>
        </w:rPr>
        <w:t>Our platform provides customers with the ability to buy, sell and store crypto via application programming interfaces or embedded web</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experience. We enable clients in various industries to provide their customers with the ability to transact in crypto directly in their trusted environments.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0C0C0C"/>
        </w:rPr>
        <w:t>, w</w:t>
      </w:r>
      <w:r>
        <w:rPr>
          <w:rFonts w:ascii="Times New Roman" w:cs="Times New Roman" w:eastAsia="Times New Roman" w:hAnsi="Times New Roman"/>
          <w:sz w:val="18"/>
          <w:szCs w:val="18"/>
          <w:color w:val="000000"/>
        </w:rPr>
        <w:t>e currently facilitate transactions in the crypto assets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330" w:type="dxa"/>
        <w:tblCellMar>
          <w:top w:w="0" w:type="dxa"/>
          <w:left w:w="0" w:type="dxa"/>
          <w:bottom w:w="0" w:type="dxa"/>
          <w:right w:w="0" w:type="dxa"/>
        </w:tblCellMar>
      </w:tblPr>
      <w:tr>
        <w:trPr>
          <w:trHeight w:val="275"/>
        </w:trPr>
        <w:tc>
          <w:tcPr>
            <w:tcW w:w="340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Crypto Asset</w:t>
            </w:r>
          </w:p>
        </w:tc>
        <w:tc>
          <w:tcPr>
            <w:tcW w:w="3240" w:type="dxa"/>
            <w:vAlign w:val="bottom"/>
            <w:tcBorders>
              <w:top w:val="single" w:sz="8" w:color="auto"/>
              <w:bottom w:val="single" w:sz="8" w:color="EEECE1"/>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color w:val="auto"/>
              </w:rPr>
              <w:t>Symbol</w:t>
            </w:r>
          </w:p>
        </w:tc>
      </w:tr>
      <w:tr>
        <w:trPr>
          <w:trHeight w:val="223"/>
        </w:trPr>
        <w:tc>
          <w:tcPr>
            <w:tcW w:w="3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3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AAVE</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Cardano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ADA</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Algorand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ALGO</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Arbitrum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ARB</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Cosmos</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ATOM</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Avalanche</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AVAX</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Attention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BCH</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BONK</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BTC</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DOGE</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Polka Dot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DOT</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EOS</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EOS</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ETC</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Graph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GRT</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Hedera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HBAR</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Lido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LDO</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Chainlink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LTC</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NEAR</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Optimism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PEPE</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SHIB</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Solana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SUI</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$TRUMP</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Uniswap</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USDC</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WIF</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WIF</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Stellar</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XLM</w:t>
            </w:r>
          </w:p>
        </w:tc>
      </w:tr>
      <w:tr>
        <w:trPr>
          <w:trHeight w:val="22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Ripple</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XRP</w:t>
            </w:r>
          </w:p>
        </w:tc>
      </w:tr>
    </w:tbl>
    <w:p>
      <w:pPr>
        <w:spacing w:after="0" w:line="200" w:lineRule="exact"/>
        <w:rPr>
          <w:sz w:val="20"/>
          <w:szCs w:val="20"/>
          <w:color w:val="auto"/>
        </w:rPr>
      </w:pPr>
    </w:p>
    <w:p>
      <w:pPr>
        <w:spacing w:after="0" w:line="345" w:lineRule="exact"/>
        <w:rPr>
          <w:sz w:val="20"/>
          <w:szCs w:val="20"/>
          <w:color w:val="auto"/>
        </w:rPr>
      </w:pPr>
    </w:p>
    <w:p>
      <w:pPr>
        <w:jc w:val="both"/>
        <w:ind w:left="660" w:hanging="328"/>
        <w:spacing w:after="0" w:line="291" w:lineRule="auto"/>
        <w:tabs>
          <w:tab w:leader="none" w:pos="655" w:val="left"/>
        </w:tabs>
        <w:numPr>
          <w:ilvl w:val="0"/>
          <w:numId w:val="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Prior to November 2024, we offered an institutional-grade qualified custody solution through our subsidiary, Bakkt Trust Company LLC</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(“Bakkt Trust”), a limited purpose trust company that is supervised by the New York State Department of Financial Services (“NYDFS”) and</w:t>
      </w:r>
    </w:p>
    <w:p>
      <w:pPr>
        <w:spacing w:after="0" w:line="1" w:lineRule="exact"/>
        <w:rPr>
          <w:rFonts w:ascii="Times New Roman" w:cs="Times New Roman" w:eastAsia="Times New Roman" w:hAnsi="Times New Roman"/>
          <w:sz w:val="18"/>
          <w:szCs w:val="18"/>
          <w:color w:val="0C0C0C"/>
        </w:rPr>
      </w:pPr>
    </w:p>
    <w:p>
      <w:pPr>
        <w:jc w:val="both"/>
        <w:ind w:left="660"/>
        <w:spacing w:after="0" w:line="289"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governed by an independent Board of Managers. In November 2024, we amended Bakkt Trust’s supervisory agreement with NYDFS; this amendment provides for lower capital requirements for Bakkt Trust in exchange for its suspension of all customer activities. In March 2025, we</w:t>
      </w:r>
    </w:p>
    <w:p>
      <w:pPr>
        <w:spacing w:after="0" w:line="1" w:lineRule="exact"/>
        <w:rPr>
          <w:rFonts w:ascii="Times New Roman" w:cs="Times New Roman" w:eastAsia="Times New Roman" w:hAnsi="Times New Roman"/>
          <w:sz w:val="18"/>
          <w:szCs w:val="18"/>
          <w:color w:val="0C0C0C"/>
        </w:rPr>
      </w:pPr>
    </w:p>
    <w:p>
      <w:pPr>
        <w:jc w:val="both"/>
        <w:ind w:left="660"/>
        <w:spacing w:after="0" w:line="305"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reached a definitive agreement to sell Bakkt Trust to Intercontinental Exchange, Inc. In connection with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0C0C0C"/>
        </w:rPr>
        <w:t>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we offer crypto services in the U.S., Latin America, Europe, and Asia.</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Loyalty</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7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accounting policies are as set forth in the notes to our Annual Report on Form 10-K for the year ended December 31, 2024 (our "Form 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three months ended March 31, 2025 are not necessarily indicative of the results that may be expected for the year ending December 31, 2025, or for any other future annual or interim period. These unaudited interim consolidated financial statements should be read in conjunction with the Company’s audited financial statements and accompanying notes thereto included in our Form 10-K.</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Quarterly Report on Form 10-Q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assets and property, equipment and software, fair value of financial assets and liabilities, determining provision for doubtful accounts, valuation of acquired tangible and intangible assets, the impairment of intangible and long-lived assets and goodwill, our issued warrants, and fair market value of stock-based awards. Actual results and outcomes may differ from management’s estimates and assumptions and such differences may be material to our audited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The Company classifies long-lived assets or disposal groups as held for sale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the period the criteria for held for sale classification are met. Upon classification as held for sale, the assets are recorded at the lower of their carrying amount or fair value less estimated costs to sell and are no longer depreciated. During the three months ended March 31, 2025, the Company determined that Bakkt Trust met the criteria to be classified as a business held for sale. The sale does not constitute a strategic shift of the Company’s operations and does not, and will not, have material effects on the Company’s operations and financial results. Therefore, the transaction does not meet the criteria for reporting as a discontinued operation. Refer to Note 7 for additional details related to held for sale classification of Bakkt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Safeguarding Obligation for Crypto</w:t>
      </w:r>
    </w:p>
    <w:p>
      <w:pPr>
        <w:spacing w:after="0" w:line="25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income (loss), net income (loss) per share, or any components of equity or net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one operating and reportable segment. Operating segments are defined as components of an enterprise about which separate financial information is evaluated regularly by the chief operating decision maker (“CODM”), who is Andrew Main, one of our Co-Chief Executive Officers, in deciding how to allocate resources and assessing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9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At each reporting period, in accordance with U.S. GAAP, we evaluate whether there are conditions or events that raise substantial doubt about our ability to continue as a going concern within one year after the date the financial statements are issued. In accordance with U.S. GAAP,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March 31, 2025 unaudited consolidated financial statements</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Since inception, the Company has consumed cash in excess of cash inflows from operations and fundraising. The Company’s accumulated deficit totaled $790.2 million as of March 31, 2025. Due to ongoing losses, the Company has been working to optimize capital allocation and reduce cash expenses since the fourth quarter of 2022. On March 14, 2025, Webull Pay LLC ("Webull"), the Company's largest Crypto client, notified Bakkt that it will not renew its agreement when it ends on June 14, 2025. Webull’s decision not to renew its agreement with Bakkt will materially reduce the Company's Crypto services revenue. Following the notice from Webull, the Company executed further cost reduction measures, including personnel reductions, a hiring freeze, and is making changes to its agreements with vendors, and additional discretionary spending cuts to preserve and extend cash to fund operations.</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crypto assets.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Historically, the Company’s sources of liquidity included cash and cash equivalents, available-for-sale securities and equity offerings. As discussed, in Note 7, on August 12, 2024, the Company secured a $40.0 million revolving credit facility with Intercontinental Exchange Holdings, Inc. ("ICE"), a major shareholder, that matures on December 31, 2026 (the “ICE Credit Facility”). On March 27, 2025, the Company drew $5.0 million under the ICE Credit Facility. Management believes that the Company's cash and cash equivalents and access to the ICE Credit Facility will be sufficient to fund Bakkt's operations for 12 months from the date of these financial statements are issued.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requiring public entities to disclose information about their reportable segments’ significant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on an interim and annual basis. The Company adopted ASU 2023-07 during the year ended December 31, 2024. The adoption of this ASU did not impact our consolidated financial results of operations, but it did result in enhanced segment disclosures in the notes to our consolidated financial statements.</w:t>
      </w:r>
    </w:p>
    <w:p>
      <w:pPr>
        <w:spacing w:after="0" w:line="178"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2023-08, </w:t>
      </w:r>
      <w:r>
        <w:rPr>
          <w:rFonts w:ascii="Times New Roman" w:cs="Times New Roman" w:eastAsia="Times New Roman" w:hAnsi="Times New Roman"/>
          <w:sz w:val="18"/>
          <w:szCs w:val="18"/>
          <w:i w:val="1"/>
          <w:iCs w:val="1"/>
          <w:color w:val="auto"/>
        </w:rPr>
        <w:t>Intangibles-Goodwill and Other-Crypto Assets (Topic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(“ASU 2023-08”), which requires entities measure assets that meet the scope criteria at fair value with changes recognized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each reporting period. ASU 2023-08 also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requires enhanced disclosures for interim and annual periods. The ASU is effective for fiscal years beginning after December 15, 2024, including interim periods within those years. Early adoption is permitted. The adoption of this ASU did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54"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will require additional tax disclosures, predominantly related to the effective income tax rate reconciliation and income taxes paid. The updated standard will be effective for our annual periods beginning in fiscal 2025. Early adoption is permitted. We are currently evaluating the impact that the updated standard will have on our consolidated financial statement disclosures.</w:t>
      </w:r>
    </w:p>
    <w:p>
      <w:pPr>
        <w:spacing w:after="0" w:line="170"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of additional information about specific expense categories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revenue</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847,984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redemption platform, net</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841,340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recognized revenue from foreign jurisdictions of $0.4 million for the three months ended March 31, 2025 and $14.4 million for the three months ended March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7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us meeting the criteria for revenue recognition. We invoice customers for service fees at the beginning of service performance, and such fees are recognized as revenue over time as we satisfy performance obligations. Contract liabilities are classified as “Deferred revenue, current” and “Deferred revenue, noncurrent” in our consolidated balance sheets. The activity in deferred revenue for the three months ended March 31, 2025 and March 31, 2024, respectively,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7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17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allocated to the remaining performance obligations related to partially completed contracts was $9.3 million, comprised of $5.4 million of subscription fees and $3.9 million of service fees that were deferred. We recognize our subscription fees as revenue over a weighted-average period of 16 months (ranges from 3 months to 18 months) and our service fees as revenue over approximately 15 months.</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the remaining performance obligations related to partially completed contracts was $18.0 million, comprised of $11.8 million of subscription fees and $6.2 million of service fees that were deferred. We recognize our subscription fees as revenue over a weighted-average period of 23 months (ranges from 1 month to 30 months) and our service fees as revenue over approximately 17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70"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we incurred no incremental costs to obtain and/or fulfill contracts with customers.</w:t>
      </w:r>
    </w:p>
    <w:p>
      <w:pPr>
        <w:spacing w:after="0" w:line="14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ind w:right="195"/>
              <w:spacing w:after="0" w:line="175"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6"/>
        </w:trPr>
        <w:tc>
          <w:tcPr>
            <w:tcW w:w="9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14, 2025, the Company's largest crypto client, Webull, notified the Company that it would not be renewing its agreement with Bakkt when the current term of the agreement ends on June 14, 2025. Due to the significance of Webull to the Company's historical Crypto services revenue, Bakkt management determined that the non-renewal notification was a triggering event indicating a potential impairment of the Company's goodwill during the three months ended March 31, 2025. Bakkt management elected to bypass performing a qualitative assessment and proceeded directly to a quantitative impairment assessment.</w:t>
      </w:r>
    </w:p>
    <w:p>
      <w:pPr>
        <w:spacing w:after="0" w:line="17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Company retained a third-party valuation firm to estimate the fair value of its indefinite lived intangible asset (the “Tradename”) and single reporting unit.</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7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discount rate used in the valuations described above was 12.5%.</w:t>
      </w:r>
    </w:p>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results of the Company’s quantitative impairment analyses as of March 31, 2025 indicated that there was no impairment of the Company’s Tradename or goodwill. Bakkt Management considered the existence of material nonpublic information as of March 31, 2025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three months ended March 31, 2024, management identified a triggering event related to the significant decline in the Company's stock price, indicating a potential impairment of the Company's goodwill. Management determined no goodwill impairment charge was required based on a comparison of the Company's market capitalization against the carrying value of its equity.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40" w:type="dxa"/>
            <w:vAlign w:val="bottom"/>
          </w:tcPr>
          <w:p>
            <w:pPr>
              <w:spacing w:after="0"/>
              <w:rPr>
                <w:sz w:val="13"/>
                <w:szCs w:val="13"/>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580" w:type="dxa"/>
            <w:vAlign w:val="bottom"/>
          </w:tcPr>
          <w:p>
            <w:pPr>
              <w:jc w:val="center"/>
              <w:ind w:right="17"/>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We did not record any amortization of intangible assets for the three months ended March 31, 2025 or March 31, 2024 as our finite-lived intangible assets have been fully impaired.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Estimated future amortization for definite-lived intangible assets as of March 31, 2025 was zero as our finite-lived intangible assets had been fully impaired.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customers, clients and liquidity partners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24,648</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For the three months ended March 31, 2025, depreciation and amortization expense related to property, equipment and software amounted to $0.2 million, of which $0.2 million related to amortization expense of capitalized internal-use software placed in service.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For the three months ended March 31, 2024, depreciation and amortization expense related to property, equipment and software amounted to $0.1 million, of which $0.1 million related to amortization expense of capitalized internal-use software placed in service.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Company accounts for crypto it owns as indefinite-lived intangible assets and initially measures such crypto assets at cost (under a first-in, first-out basis). These assets are not amortized, but are measured at fair value each reporting period with changes recognized in net income (loss). Bakkt generally holds a nominal amount of each crypto asset it supports on its platform to facilitate trades and settlements, if necessary. The crypto assets are reported in "Other assets" on the consolidated balance sheets and fair value changes are recognized in "other income, net" on the consolidated statements of operations. The Company's owned crypto assets are typically liquidated on a daily basis during the fulfillment of customer orders and settlement with liquidity providers. Fair value changes were not material for the three months ended March 31, 2025. Bakkt's owned crypto assets were not material as of March 31, 2025 and December 31, 2024. We classify cash flows from crypto within cash flows from operating activities.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revenue share liability</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 due to related party</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exchange such Paired Interests for Class A Common Stock on a one-for-one basis, subject to the terms of the Amended and Restated Exchange Agreement, dated as of May 3, 2022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7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2"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March 31, 2025, 1,060,377 Opco Common Units had been exchanged for Class A Common Stock. Based on the Company's history of taxable losses, the Company has concluded that it is not probable to expect cash tax payments in the foreseeable future and as such, no value has been recorded under the TRA. Refer to Note 13 regarding the contingency related to the TRA.</w:t>
      </w:r>
    </w:p>
    <w:p>
      <w:pPr>
        <w:spacing w:after="0" w:line="19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4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March 17, 2025, Bakkt entered into an agreement with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 The assets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liabilities of Bakkt Trust are recorded as held for sale and reported separately on the face of the consolidated balance sheet as of March 31, 2025. Current assets of businesses held for sale of $3.5 million consists of $3.0 million in restricted cash related to regulatory capital requirements, and $0.5 million in prepaid expenses, primarily technology platform fees. Current liabilities of businesses held for sale of $0.1 million consist of outstanding invoices for professional services. Bakkt management expects to close the sale of Bakkt Trust to ICE in the second quarter of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August 12, 2024, Bakkt and Opco entered into the ICE Credit Facility, with certain subsidiaries of Bakkt party thereto from time to time, as guarantors, whereby the Lender agreed to provide for a $40.0 million secured revolving line of credit to us for working capital and general corporate purposes.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w:t>
      </w:r>
    </w:p>
    <w:p>
      <w:pPr>
        <w:spacing w:after="0" w:line="18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1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March 27, 2025, the Company drew down $5.0 million under ICE Credit Facility. As of March 31, 2025, approximately $5.0 million of borrowings were outstanding under the ICE Credit Facility. Maturities of borrowings outstanding under the ICE Credit Facility as of March 31, 2025 are expected to be as follows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Year</w:t>
            </w:r>
          </w:p>
        </w:tc>
        <w:tc>
          <w:tcPr>
            <w:tcW w:w="10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Repayments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Payments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Payments</w:t>
            </w:r>
          </w:p>
        </w:tc>
      </w:tr>
      <w:tr>
        <w:trPr>
          <w:trHeight w:val="223"/>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5,011</w:t>
            </w: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Company recognized interest expense of less than $0.1 million for the three months ended March 31, 2025. No interest costs were incurred related to the ICE Credit Facility for the three months March 31, 2024 since the ICE Credit Facility was not in place as of March 31, 2024. The effective interest rate on the ICE Credit Facility as of March 31, 2025 was 16.3%.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54"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Upon consummation of the VIH Business Combination, the Company entered into a Transition Services Agreement with ICE (the “ICE TSA”), pursuant to which ICE provided insurance, digital warehouse, data center, technical support, and other transition-related services in exchange for quarterly service fees payable by us. The ICE TSA terminated in December 2023. Bakkt did not recognize any expense related to the ICE TSA for the three months ended March 31, 2025 and 2024, respectively. As of March 31, 2025 and December 31, 2024, $2.2 million and $2.4 million was recorded as “Due to related party” in the consolidated balance sheets related to the ICE TSA, respectively.</w:t>
      </w:r>
    </w:p>
    <w:p>
      <w:pPr>
        <w:spacing w:after="0" w:line="17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of March 31, 2025 and December 31, 2024, there were 7,140,383 public warrants to purchase Class A Common Stock (the "Public Warrants") outstanding. The Public Warrants may only be exercised for a whole number of shares. No fractional shares will be issued upon exercise of the Public Warrants.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9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received an immaterial amount of proceeds from the exercise of the Public Warrants. Bakkt recognized a gain from the change in fair value of the warrant liability during the three months ended March 31, 2025 of $2.6 million and a loss during the three months ended March 31, 2024 of $1.0 million.</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Concurrent Offerings (as defined below), Bakkt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Concurrently, under the terms of the ICE Offering (as defined below) the Company entered into a securities purchase agreement (the “ICE Purchase Agreement” and, together with the Third-Party Purchase Agreement, the “Purchase Agreements”) with ICE, pursuant to which Bakkt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Class 1 and Class 2 Warrants each have an exercise price of $25.50 and have a five-and-a-half year term. The Class 1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Class 1 Warrants and Class 2 Warrants issued on April 25, 2024 were valued at $2.6 million using the Black-Scholes-Merton model for Class 1 Warrants and a binomial lattice model for the Class 2 Warrants. Prior to the second quarter of 2024, the Company used a Monte Carlo simulation to measure the fair value of the Class 2 Warrants. During the second quarter of 2024, management 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9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March 31, 2025, Class 1 Warrants and Class 2 Warrants exercisable for 2,017,850 shares of Class A Common Stock remain outstanding. During the three months ended March 31, 2024, holders exercised all of the Pre-Funded Warrants. The proceeds received from the exercise of Pre-Funded Warrants were immaterial. Bakkt recognized a gain from the change in fair value of the warrant liability associated with the Class 1 and Class 2 Warrants during the three months ended March 31, 2025 and March 31, 2024 of $29.7 million and $7.6 million, respectively.</w:t>
      </w:r>
    </w:p>
    <w:p>
      <w:pPr>
        <w:spacing w:after="0" w:line="16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certain institutional investors (the “Third-Party Purchasers”),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 which we agreed to sell and issue a combination of Class A Common Stock, Class 1 Warrants and Class 2 Warrants. We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2025, no shares of preferred stock have been issued.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56"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provided that by agreement with ICE, any shares owned by ICE that exceeds 30.0% will be neutral shares with respect to voting rights, voted in proportion to all other votes cast (“for”, “against” or “abstain”) at a meeting of stockholders other than by ICE. As of March 31, 2025 and December 31, 2024, there were 6,656,355 and 6,510,885 shares of Class A Common Stock issued and outstanding,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March 31, 2025, no dividends have been declared.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Opco's Third Amended and Restated Limited Liability Company Agreement (the "LLC Agreement") and the Exchange Agreement. Holders of Paired Interests became eligible on April 16, 2022 under the Exchange Agreement to exchange their Paired Interests for Class A Common Stock, or, at our election, cash in lieu thereof. During the three months ended March 31, 2025, holders of Paired Interests exchanged 529 Paired Interests for our Class A Common Stock, respectively, and we did not elect to settle any such exchanges in cash. As of March 31, 2025 and December 31, 2024, there were 7,177,774 and 7,178,303 shares of Class V Common Stock issued and outstanding,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54"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shall not be entitled to receive any of our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6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us and cancelled for no consideration. We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will not issue additional shares of Class V Common Stock, other than in connection with the valid issuance or transfer of Opco Common Units in accordance with (the “LLC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March 31, 2025 and December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7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20" w:type="dxa"/>
            <w:vAlign w:val="bottom"/>
            <w:gridSpan w:val="2"/>
            <w:vMerge w:val="continue"/>
          </w:tcPr>
          <w:p>
            <w:pPr>
              <w:spacing w:after="0"/>
              <w:rPr>
                <w:sz w:val="21"/>
                <w:szCs w:val="21"/>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6,656,355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6,510,885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7,177,774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7,178,303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13,834,129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13,689,188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months ended March 31, 2025 was 52.4%,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VIH Business Combination, the Opco equity holders converted 16,000,000 Opco Class A voting units, 7,698,138 Opco Class B voting units, and 10,810,810 Opco Class C voting units to 7,597,331 shares of Class V common stock on a pro rata basis. Additionally, Bakkt issued 698,934 shares of Class V common stock related to the outstanding Opco incentive units.</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Because Class C Warrants expired in 2024, no expenses was recorded for the three months ended March 31, 2025, and no expense was recognized for the three months ended March 31, 2024, since the service conditions were not probable of being met.</w:t>
      </w:r>
    </w:p>
    <w:p>
      <w:pPr>
        <w:spacing w:after="0" w:line="189" w:lineRule="exact"/>
        <w:rPr>
          <w:sz w:val="20"/>
          <w:szCs w:val="20"/>
          <w:color w:val="auto"/>
        </w:rPr>
      </w:pPr>
    </w:p>
    <w:p>
      <w:pPr>
        <w:ind w:right="7560" w:firstLine="8"/>
        <w:spacing w:after="0" w:line="542" w:lineRule="auto"/>
        <w:tabs>
          <w:tab w:leader="none" w:pos="31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ind w:right="60" w:firstLine="648"/>
        <w:spacing w:after="0" w:line="293" w:lineRule="auto"/>
        <w:rPr>
          <w:sz w:val="20"/>
          <w:szCs w:val="20"/>
          <w:color w:val="auto"/>
        </w:rPr>
      </w:pPr>
      <w:r>
        <w:rPr>
          <w:rFonts w:ascii="Times New Roman" w:cs="Times New Roman" w:eastAsia="Times New Roman" w:hAnsi="Times New Roman"/>
          <w:sz w:val="18"/>
          <w:szCs w:val="18"/>
          <w:color w:val="auto"/>
        </w:rPr>
        <w:t>Bakkt's 2021 Omnibus Incentive Plan, as amended (the “2021 Incentive Plan”), became effective on the Closing Date with the approval of VIH’s shareholders and the Board. The 2021 Incentive Plan allows the Company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Incentive Plan was amended to increase the shares reserved for issuance under the 2021 Incentive Plan by 1,063,618 shares. On May 31, 2024, the 2021 Incentive Plan was again amended to increase the shares reserved for issuance under the 2021 Incentive Plan by 938,625 shares for a new aggregate total of 3,034,920 shares. No award may vest earlier than the first anniversary of the date of grant, subject to limited exceptions.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7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granted 729,849 and 482,599 RSUs, respectively, to employees and directors. No PSUs were granted during the during the three months ended March 31, 2025 and March 31, 2024.</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Bakkt recorded $2.8 million and $7.7 million of share-based compensation expense related to RSUs during the three months ended March 31, 2025 and March 31, 2024, respectively. The Company recorded $0.5 million and $0.3 million of share-based compensation expense related to PSUs during the three months ended March 31, 2025 and March 31, 2024, respectively. Share-based compensation expense for both RSUs and PSUs, is included in “Compensation and benefits” in the consolidated statements of operations.</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March 31, 2025 and December 31, 2024 was $17.3 million and $12.9 million, respectively, for the RSUs and PSUs. The unrecognized compensation expense as of March 31, 2025 and December 31, 2024 will be recognized over a weighted-average period of 1.54 years and 1.36 years,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7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three months ended March 31, 2025 and March 31, 2024 (in thousands,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9"/>
        </w:trPr>
        <w:tc>
          <w:tcPr>
            <w:tcW w:w="40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6"/>
                <w:szCs w:val="16"/>
                <w:color w:val="auto"/>
              </w:rPr>
            </w:pPr>
          </w:p>
        </w:tc>
        <w:tc>
          <w:tcPr>
            <w:tcW w:w="16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vMerge w:val="continue"/>
          </w:tcPr>
          <w:p>
            <w:pPr>
              <w:spacing w:after="0"/>
              <w:rPr>
                <w:sz w:val="19"/>
                <w:szCs w:val="19"/>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19"/>
                <w:szCs w:val="19"/>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Bakkt recorded zero and $4.9 million, respectively, of share-based compensation expense related to the accelerated vesting of awards for certain employees, primarily related to the termination of a former executive. Acceleration of share-based compensation expense related to the Company's restructuring efforts is included in “Restructuring expenses” in the consolidated statements of operations. The Company also recorded reversal of share-based compensation expense of zero and $0.1 million during the three months ended March 31, 2025 and March 31, 2024, respectively, for forfeitures related to the termination of employees. Reversal of share-based compensation expense related to the Company's restructuring efforts is included in “Restructuring expenses” in the consolidated statements of operations.</w:t>
      </w:r>
    </w:p>
    <w:p>
      <w:pPr>
        <w:spacing w:after="0" w:line="19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Total fair value of vested RSU and PSU awards was $2.8 million and $4.8 million for the three months ended March 31, 2025 and March 31, 2024, respectively.</w:t>
      </w:r>
    </w:p>
    <w:p>
      <w:pPr>
        <w:spacing w:after="0" w:line="17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Bakkt's common stock on the grant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our common stock based on various performance metrics. Upon vesting, each performance stock unit equals one share of common stock of the Company. The Company accrues compensation expense for the PSUs based on management's assessment of the probable outcome of the performance conditions. The metrics for PSUs granted during 2024 relate to the Company's performance during fiscal year 2024, as measured against objective performance goals approved by the Board. The actual number of units earned may range from 0% to 150% or 200% of the target number of units depending on the metric and depending upon achievement of the 2024 performance goals. PSUs granted in 2024 vest in two equal annual installments from 2025 to 2026. The metrics for PSUs granted during 2023 relate to Bakkt's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 The metrics for PSUs granted during 2022 relate to the Company's performance during fiscal years 2022, 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Refer to Note 11 to the consolidated financial statements included in the Company's 2024 Form 10-K where the modifications to the Opco Plan are described in detail.</w:t>
      </w:r>
    </w:p>
    <w:p>
      <w:pPr>
        <w:spacing w:after="0" w:line="191"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were terminated without cause after the Closing Date vested in the unvested portion of their awards immediately upon their termination date. There has not been, and will not be, any additional awards made under the Opco Plan following the VIH Business Combination.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three months ended March 31, 2025 (in thousands,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56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6"/>
        </w:trPr>
        <w:tc>
          <w:tcPr>
            <w:tcW w:w="44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gridSpan w:val="2"/>
            <w:vMerge w:val="continue"/>
          </w:tcPr>
          <w:p>
            <w:pPr>
              <w:spacing w:after="0"/>
              <w:rPr>
                <w:sz w:val="15"/>
                <w:szCs w:val="15"/>
                <w:color w:val="auto"/>
              </w:rPr>
            </w:pPr>
          </w:p>
        </w:tc>
        <w:tc>
          <w:tcPr>
            <w:tcW w:w="156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21"/>
                <w:szCs w:val="21"/>
                <w:color w:val="auto"/>
              </w:rPr>
            </w:pPr>
          </w:p>
        </w:tc>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156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gridSpan w:val="2"/>
            <w:vMerge w:val="continue"/>
          </w:tcPr>
          <w:p>
            <w:pPr>
              <w:spacing w:after="0"/>
              <w:rPr>
                <w:sz w:val="15"/>
                <w:szCs w:val="15"/>
                <w:color w:val="auto"/>
              </w:rPr>
            </w:pPr>
          </w:p>
        </w:tc>
        <w:tc>
          <w:tcPr>
            <w:tcW w:w="156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vMerge w:val="continue"/>
          </w:tcPr>
          <w:p>
            <w:pPr>
              <w:spacing w:after="0"/>
              <w:rPr>
                <w:sz w:val="19"/>
                <w:szCs w:val="19"/>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Incentive Units</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19"/>
                <w:szCs w:val="19"/>
                <w:color w:val="auto"/>
              </w:rPr>
            </w:pPr>
          </w:p>
        </w:tc>
        <w:tc>
          <w:tcPr>
            <w:tcW w:w="13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cash payments to settle vested participation units during the three months ended March 31, 2025 or March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 potentially dilutive securities that would be anti-dilutive are not included in the calculation of diluted earnings per share attributable to controlling interest.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income (loss)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(21,275)</w:t>
            </w: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(13,110)</w:t>
            </w:r>
          </w:p>
        </w:tc>
      </w:tr>
      <w:tr>
        <w:trPr>
          <w:trHeight w:val="212"/>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Bakkt Holdings, Inc. – basic</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Dilutive effect from assumed vesting of RSUs and PSUs, net of tax</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Bakkt Holdings, Inc. – diluted</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4,396,495</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Assumed vesting of RSUs and PSUs, net of tax</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4,396,495</w:t>
            </w:r>
          </w:p>
        </w:tc>
      </w:tr>
      <w:tr>
        <w:trPr>
          <w:trHeight w:val="273"/>
        </w:trPr>
        <w:tc>
          <w:tcPr>
            <w:tcW w:w="8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No shares that are contingently issuable as part of the Bakkt Crypto Solutions acquisition have been included in the calculation of diluted EPS as no amounts are payable as of March 31, 2025. The following table summarizes the total potential common shares excluded from diluted earnings per common share as their effect would be anti-dilutive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1560" w:type="dxa"/>
            <w:vAlign w:val="bottom"/>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9680" w:type="dxa"/>
            <w:vAlign w:val="bottom"/>
          </w:tcPr>
          <w:p>
            <w:pPr>
              <w:spacing w:after="0"/>
              <w:rPr>
                <w:sz w:val="20"/>
                <w:szCs w:val="20"/>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3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1 and Class 2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r>
      <w:tr>
        <w:trPr>
          <w:trHeight w:val="20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1"/>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Capital Requirements</w:t>
      </w:r>
    </w:p>
    <w:p>
      <w:pPr>
        <w:spacing w:after="0" w:line="25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Bakkt Trust </w:t>
      </w:r>
      <w:r>
        <w:rPr>
          <w:rFonts w:ascii="Times New Roman" w:cs="Times New Roman" w:eastAsia="Times New Roman" w:hAnsi="Times New Roman"/>
          <w:sz w:val="18"/>
          <w:szCs w:val="18"/>
          <w:color w:val="auto"/>
        </w:rPr>
        <w:t>is subject to certain reduced regulatory capital requirements imposed by NYDFS given its current state of not conducting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These capital requirements require Bakkt Trust to maintain in cash an amount sufficient for its estimated wind-down costs, as calculated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NYDFS.</w:t>
      </w:r>
    </w:p>
    <w:p>
      <w:pPr>
        <w:spacing w:after="0" w:line="26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Bakkt Crypto </w:t>
      </w:r>
      <w:r>
        <w:rPr>
          <w:rFonts w:ascii="Times New Roman" w:cs="Times New Roman" w:eastAsia="Times New Roman" w:hAnsi="Times New Roman"/>
          <w:sz w:val="18"/>
          <w:szCs w:val="18"/>
          <w:color w:val="0C0C0C"/>
        </w:rPr>
        <w:t>holds a BitLicense from NYDFS, which subjects it to NYDFS’s oversight with respect to business activities conducted in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C0C0C"/>
        </w:rPr>
        <w:t xml:space="preserve">York State and with New York residents, and </w:t>
      </w:r>
      <w:r>
        <w:rPr>
          <w:rFonts w:ascii="Times New Roman" w:cs="Times New Roman" w:eastAsia="Times New Roman" w:hAnsi="Times New Roman"/>
          <w:sz w:val="18"/>
          <w:szCs w:val="18"/>
          <w:color w:val="000000"/>
        </w:rPr>
        <w:t>is required to maintain a capital balance equal to the greater of a predefined minimum amount or the sum of</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the 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187"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Bakkt Brokerage </w:t>
      </w:r>
      <w:r>
        <w:rPr>
          <w:rFonts w:ascii="Times New Roman" w:cs="Times New Roman" w:eastAsia="Times New Roman" w:hAnsi="Times New Roman"/>
          <w:sz w:val="18"/>
          <w:szCs w:val="18"/>
          <w:color w:val="auto"/>
        </w:rPr>
        <w:t>was registered as a broker-dealer with the Financial Industry Regulatory Authority (“FINRA”) and was required to maintain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non-material minimum amount of net capital. Bakkt Brokerage filed for a withdrawal of its membership with FINRA on July 16, 2024. Following Bakkt Brokerage’s withdrawal filing, FINRA expelled Bakkt Brokerage for a failure to file independently audited financial statements for 2023, a period when Bakkt Brokerage was inactive. Bakkt Brokerage has not received approval to correct this filing and is in the process of winding down its business.</w:t>
      </w:r>
    </w:p>
    <w:p>
      <w:pPr>
        <w:spacing w:after="0" w:line="18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March 31, 2025 and December 31, 2024,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Both Company and employee contributions to the 401(k) plan are discretionary. For the three months ended March 31, 2025 and March 31, 2024, we recorded approximately $0.5 million and $0.7 million, respectively of expenses related to the 401(k) plan, which is included in "Compensation and benefits" in the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As of March 31, 2025,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statements of operations and comprehensive loss at that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described above, in October 2021, Bakkt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The Court granted a final approval of the settlement on April 16, 2025. The settlement was covered primarily by the Company's insurance less its contractual retention.</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 up requests for additional documents and information, and the Company responded to those requests on a timely basis. On March 3, 2025, the SEC concluded its inquiry of Bakkt Crypto and, based on the information it had at such time, the SEC advised the Company that it did not intend to recommend an enforcement action against Bakkt Crypto.</w:t>
      </w:r>
    </w:p>
    <w:p>
      <w:pPr>
        <w:spacing w:after="0" w:line="177"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2024, the Company settled the matter for $1.1 million.</w:t>
      </w:r>
    </w:p>
    <w:p>
      <w:pPr>
        <w:spacing w:after="0" w:line="18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Held on Platform</w:t>
      </w:r>
    </w:p>
    <w:p>
      <w:pPr>
        <w:spacing w:after="0" w:line="29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 therefore has not accrued a liability for losses as of March 31, 2025 or December 31, 2024. The Company has no 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was $35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In March 2025, Bank of America further reduced our credit line associated with the purchasing card facility from $18.0 million to $15.0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 In July 2024, we terminated the agreement, which required a settlement payment of $1.1 million and resulted in the release from future obligations. As of March 31, 2025, our outstanding purchase obligations, net of the settlement described above, consisted of the following future minimum commitments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56"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On March 19, 2025, the Company entered into a Cooperation Agreement with Distributed Technologies Research Global Ltd. (“DTR”) and Akshay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18 to our consolidated financial statements included in our Form 10-K where the Cooperation Agreement is described in detail.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income tax benefit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rates of 0.3% and (0.5)% for the three months ended March 31, 2025 and March 31, 2024, respectively, differ from statutory rates primarily due to the noncontrolling interest that is not taxed to the Company and the absence of taxable income to realize the Company's net operating losses and other deferred tax assets.</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The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results and tax planning strategies. As of March 31, 2025 and December 31, 2024, the Company believed that it was not more likely than not that the net deferred tax assets would be realizable and thus has maintained a full valuation allowance.</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March 31, 2025 or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4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We lease real estate for office space under operating leases. We consider a lease to have commenced on the date when we are granted access to the leased asset.</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 and severally liable with the third-party assignee for the obligations under the New York office lease. For the three months ended March 31, 2025 the Company recognized income of approximately $1.8 million related to the Lease Assignment, net of approximately $0.9 million paid to the third-party assignee under the Lease Assignment, all of which is recognized in "Other income, net" in the consolidated statements of operations.</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December 21, 2023, we signed an agreement to sublease a portion of our corporate headquarters office space in Alpharetta, Georgia. The sublease commenced in March 2024. Our Scottsdale, Arizona lease has a term of 89 months and total fixed lease payments over the term of $5.7 million. The Alpharetta call center lease has a term of 47 months and total fixed lease payments over the term of the lease are $5.9 million. As of March 31, 2025, we do not have any active finance leases. Several of these leases include escalation clauses for adjusting rentals.</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real estate leases have remaining lease terms as of March 31, 2025 ranging from 13 months to 90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March 31, 2025, the weighted average remaining lease term for our operating leases was approximately 77 months, and the weighted average discount rate for our operating leases was 5.4%. As of December 31, 2024, the weighted average remaining lease term for our operating leases was approximately 76 months, and the weighted average discount rate for our operating leases was 5.3%. We were party to short-term leases during the three months ended March 31, 2025 and March 31, 2024, which resulted in less than and less than $0.1 million of rent expense,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Crypto Assets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right="1060"/>
        <w:spacing w:after="0" w:line="284" w:lineRule="auto"/>
        <w:rPr>
          <w:sz w:val="20"/>
          <w:szCs w:val="20"/>
          <w:color w:val="auto"/>
        </w:rPr>
      </w:pPr>
      <w:r>
        <w:rPr>
          <w:rFonts w:ascii="Times New Roman" w:cs="Times New Roman" w:eastAsia="Times New Roman" w:hAnsi="Times New Roman"/>
          <w:sz w:val="18"/>
          <w:szCs w:val="18"/>
          <w:color w:val="auto"/>
        </w:rPr>
        <w:t>Warrant liability - Class 1 and Class 2 warrants Warrant liability - public warrants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right="1060"/>
        <w:spacing w:after="0" w:line="284" w:lineRule="auto"/>
        <w:rPr>
          <w:sz w:val="20"/>
          <w:szCs w:val="20"/>
          <w:color w:val="auto"/>
        </w:rPr>
      </w:pPr>
      <w:r>
        <w:rPr>
          <w:rFonts w:ascii="Times New Roman" w:cs="Times New Roman" w:eastAsia="Times New Roman" w:hAnsi="Times New Roman"/>
          <w:sz w:val="18"/>
          <w:szCs w:val="18"/>
          <w:color w:val="auto"/>
        </w:rPr>
        <w:t>Warrant liability - Class 1 and Class 2 warrants Warrant liability - public warrants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39"/>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91"/>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r>
      <w:tr>
        <w:trPr>
          <w:trHeight w:val="234"/>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-1259205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-967740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-624840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-334010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34"/>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r>
      <w:tr>
        <w:trPr>
          <w:trHeight w:val="234"/>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-624840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-333375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940"/>
          </w:cols>
          <w:pgMar w:left="320" w:top="108" w:right="339" w:bottom="1440" w:gutter="0" w:footer="0" w:header="0"/>
          <w:type w:val="continuous"/>
        </w:sectPr>
      </w:pPr>
    </w:p>
    <w:p>
      <w:pPr>
        <w:spacing w:after="0" w:line="1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fair value of our crypto assets was determined using Level 2 inputs which included using the value of the crypto asset determined as the mid-point of a bid-ask spread in the market we determined to be the principal market for the related crypto assets as of March 31, 2025.</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Public Warrant liability is valued based on quoted prices in active markets and is classified within Level 1.</w:t>
      </w:r>
    </w:p>
    <w:p>
      <w:pPr>
        <w:spacing w:after="0" w:line="26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Since the second quarter 2024, our Class 1 Warrants and Class 2 Warrants were valued using the Black-Scholes-Merton model and a binomial lattice model, respectively, both of which utilize certain Level 3 inputs. Prior to the second quarter of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The significant unobservable inputs used for the fair value measurement of our Class 1 Warrants and Class 2 Warrants liabilities as of March 31, 2025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Continuous risk-free rate</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
        </w:trPr>
        <w:tc>
          <w:tcPr>
            <w:tcW w:w="62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As described in Note 5, fair value of the Company's owned crypto assets are determined using Level 2 inputs as the mid-point of a bid-ask spread in the market we determined to be the principal market for the related crypto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all material operations are within the United States. Our chief operating decision maker allocates resources and assesses performance based upon financial information at the consolidated level.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represents significant segment expenses provided to the CODM for the three months ended March 31, 2025, and March 31, 2024 (in thousands):</w:t>
      </w: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line="185"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6"/>
                <w:szCs w:val="16"/>
                <w:color w:val="auto"/>
              </w:rPr>
            </w:pPr>
          </w:p>
        </w:tc>
        <w:tc>
          <w:tcPr>
            <w:tcW w:w="1340" w:type="dxa"/>
            <w:vAlign w:val="bottom"/>
          </w:tcPr>
          <w:p>
            <w:pPr>
              <w:jc w:val="center"/>
              <w:ind w:right="58"/>
              <w:spacing w:after="0" w:line="185" w:lineRule="exact"/>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180"/>
        </w:trPr>
        <w:tc>
          <w:tcPr>
            <w:tcW w:w="7820" w:type="dxa"/>
            <w:vAlign w:val="bottom"/>
          </w:tcPr>
          <w:p>
            <w:pPr>
              <w:spacing w:after="0"/>
              <w:rPr>
                <w:sz w:val="15"/>
                <w:szCs w:val="15"/>
                <w:color w:val="auto"/>
              </w:rPr>
            </w:pPr>
          </w:p>
        </w:tc>
        <w:tc>
          <w:tcPr>
            <w:tcW w:w="158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Ended March 31,</w:t>
            </w:r>
          </w:p>
        </w:tc>
        <w:tc>
          <w:tcPr>
            <w:tcW w:w="14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38"/>
        </w:trPr>
        <w:tc>
          <w:tcPr>
            <w:tcW w:w="78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0"/>
        </w:trPr>
        <w:tc>
          <w:tcPr>
            <w:tcW w:w="7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1,074,910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854,582</w:t>
            </w:r>
          </w:p>
        </w:tc>
      </w:tr>
      <w:tr>
        <w:trPr>
          <w:trHeight w:val="266"/>
        </w:trPr>
        <w:tc>
          <w:tcPr>
            <w:tcW w:w="7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Personnel</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16,216</w:t>
            </w:r>
          </w:p>
        </w:tc>
      </w:tr>
      <w:tr>
        <w:trPr>
          <w:trHeight w:val="216"/>
        </w:trPr>
        <w:tc>
          <w:tcPr>
            <w:tcW w:w="7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Non-cash compensation</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Occupancy</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16"/>
        </w:trPr>
        <w:tc>
          <w:tcPr>
            <w:tcW w:w="7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Marketing and promotions</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16"/>
        </w:trPr>
        <w:tc>
          <w:tcPr>
            <w:tcW w:w="7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Business insurance</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operating costs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9,182</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costs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831,972</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r>
      <w:tr>
        <w:trPr>
          <w:trHeight w:val="207"/>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 per Consolidated Statements of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1,093,430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886,419</w:t>
            </w:r>
          </w:p>
        </w:tc>
      </w:tr>
      <w:tr>
        <w:trPr>
          <w:trHeight w:val="212"/>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(31,837)</w:t>
            </w:r>
          </w:p>
        </w:tc>
      </w:tr>
      <w:tr>
        <w:trPr>
          <w:trHeight w:val="216"/>
        </w:trPr>
        <w:tc>
          <w:tcPr>
            <w:tcW w:w="7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income, net</w:t>
            </w:r>
            <w:r>
              <w:rPr>
                <w:rFonts w:ascii="Times New Roman" w:cs="Times New Roman" w:eastAsia="Times New Roman" w:hAnsi="Times New Roman"/>
                <w:sz w:val="21"/>
                <w:szCs w:val="21"/>
                <w:color w:val="auto"/>
                <w:vertAlign w:val="superscript"/>
              </w:rPr>
              <w:t>6</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w:t>
            </w:r>
          </w:p>
        </w:tc>
      </w:tr>
      <w:tr>
        <w:trPr>
          <w:trHeight w:val="235"/>
        </w:trPr>
        <w:tc>
          <w:tcPr>
            <w:tcW w:w="7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60" w:right="240" w:hanging="234"/>
        <w:spacing w:after="0" w:line="282"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includes payroll and benefits, excluding stock-based compensation, which is included in Non-cash compensation. Both are reported as part of Compensation and benefits on the consolidated statements of operations.</w:t>
      </w:r>
    </w:p>
    <w:p>
      <w:pPr>
        <w:spacing w:after="0" w:line="13" w:lineRule="exact"/>
        <w:rPr>
          <w:sz w:val="20"/>
          <w:szCs w:val="20"/>
          <w:color w:val="auto"/>
        </w:rPr>
      </w:pPr>
    </w:p>
    <w:p>
      <w:pPr>
        <w:ind w:left="260" w:hanging="234"/>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includes facility related expenses such as rent and is reported as Selling, general and administrative on the consolidated statements of operations.</w:t>
      </w:r>
    </w:p>
    <w:p>
      <w:pPr>
        <w:spacing w:after="0" w:line="42" w:lineRule="exact"/>
        <w:rPr>
          <w:sz w:val="20"/>
          <w:szCs w:val="20"/>
          <w:color w:val="auto"/>
        </w:rPr>
      </w:pPr>
    </w:p>
    <w:p>
      <w:pPr>
        <w:ind w:left="260" w:right="340" w:hanging="234"/>
        <w:spacing w:after="0" w:line="241"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14" w:lineRule="exact"/>
        <w:rPr>
          <w:sz w:val="20"/>
          <w:szCs w:val="20"/>
          <w:color w:val="auto"/>
        </w:rPr>
      </w:pPr>
    </w:p>
    <w:p>
      <w:pPr>
        <w:ind w:left="260" w:hanging="234"/>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insurance primarily consists of business liability insurance premiums and is recorded as Selling, general and administrative on the consolidated statements of operations.</w:t>
      </w:r>
    </w:p>
    <w:p>
      <w:pPr>
        <w:spacing w:after="0" w:line="42" w:lineRule="exact"/>
        <w:rPr>
          <w:sz w:val="20"/>
          <w:szCs w:val="20"/>
          <w:color w:val="auto"/>
        </w:rPr>
      </w:pPr>
    </w:p>
    <w:p>
      <w:pPr>
        <w:ind w:left="260" w:right="200" w:hanging="234"/>
        <w:spacing w:after="0" w:line="241"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costs consist primarily of Restructuring costs and Impairment of long-lived assets as presented on the statements of operations, as well as costs that are reported as Selling, general and administrative, Other operating expenses, and Compensation and benefits on the consolidated statements of operations.</w:t>
      </w:r>
    </w:p>
    <w:p>
      <w:pPr>
        <w:spacing w:after="0" w:line="14" w:lineRule="exact"/>
        <w:rPr>
          <w:sz w:val="20"/>
          <w:szCs w:val="20"/>
          <w:color w:val="auto"/>
        </w:rPr>
      </w:pPr>
    </w:p>
    <w:p>
      <w:pPr>
        <w:ind w:left="260" w:right="100" w:hanging="234"/>
        <w:spacing w:after="0" w:line="241"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1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March 14, 2025, the Company's largest client, Webull Pay LLC (“Webull”), notified the Company that it will not renew its agreement with Bakkt when the current term of the agreement ends on June 14, 2025. Webull represented approximately 74% of the Company’s Crypto services revenue for the year ended December 31, 2024.</w:t>
      </w:r>
    </w:p>
    <w:p>
      <w:pPr>
        <w:spacing w:after="0" w:line="183" w:lineRule="exact"/>
        <w:rPr>
          <w:sz w:val="20"/>
          <w:szCs w:val="20"/>
          <w:color w:val="auto"/>
        </w:rPr>
      </w:pPr>
    </w:p>
    <w:p>
      <w:pPr>
        <w:ind w:right="40" w:firstLine="648"/>
        <w:spacing w:after="0" w:line="302" w:lineRule="auto"/>
        <w:rPr>
          <w:sz w:val="20"/>
          <w:szCs w:val="20"/>
          <w:color w:val="auto"/>
        </w:rPr>
      </w:pPr>
      <w:r>
        <w:rPr>
          <w:rFonts w:ascii="Times New Roman" w:cs="Times New Roman" w:eastAsia="Times New Roman" w:hAnsi="Times New Roman"/>
          <w:sz w:val="18"/>
          <w:szCs w:val="18"/>
          <w:color w:val="auto"/>
        </w:rPr>
        <w:t>Bakkt also received notice from Bank of America Corporation (“Bank of America”) on March 14, 2025 that Bank of America will not renew its commercial agreement with Bakkt. As a result, such agreement will expire in accordance with its terms on April 22, 2025, subject to the Company’s obligation to provide transition services for up to a 12-month period. Bank of America represented approximately 16% of the Company's loyalty business’s net revenue for the year ended December 31, 2024.</w:t>
      </w:r>
    </w:p>
    <w:p>
      <w:pPr>
        <w:spacing w:after="0" w:line="169"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Subsequent Events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On April 2, 2025, a putative class action complaint was filed in the U.S. District Court for the Southern District of New York against the Company and certain current and former officers. The complaint alleges that the Company made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spacing w:after="0" w:line="297" w:lineRule="auto"/>
        <w:rPr>
          <w:sz w:val="20"/>
          <w:szCs w:val="20"/>
          <w:color w:val="auto"/>
        </w:rPr>
      </w:pPr>
      <w:r>
        <w:rPr>
          <w:rFonts w:ascii="Times New Roman" w:cs="Times New Roman" w:eastAsia="Times New Roman" w:hAnsi="Times New Roman"/>
          <w:sz w:val="18"/>
          <w:szCs w:val="18"/>
          <w:color w:val="auto"/>
        </w:rPr>
        <w:t>false or misleading statements and omissions of purportedly material fact, in violation of federal securities laws, in connection with disclosures relating to the non-renewal of the Company’s agreements with Webull and Bank of America N.A. (Bank of America"). The complaint seeks damages, as well as fees and costs. The Company intends to defend the matter vigorously; however, it is refraining from expressing any judgment upon the likelihood of a favorable or unfavorable outcome in this matter given the early stage of the litigation. On May 6, 2025, the class action complaint was transferred to the Northern District of Georgia.</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April 28, 2025, the Company dissolved Bakkt Brokerage.</w:t>
      </w:r>
    </w:p>
    <w:p>
      <w:pPr>
        <w:spacing w:after="0" w:line="25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Management evaluated subsequent events through the date of issuance of these consolidated financial statements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 w:cs="Times New Roman" w:eastAsia="Times New Roman" w:hAnsi="Times New Roman"/>
          <w:sz w:val="18"/>
          <w:szCs w:val="18"/>
          <w:i w:val="1"/>
          <w:iCs w:val="1"/>
          <w:color w:val="000000"/>
        </w:rPr>
        <w:t>March 31, 2025</w:t>
      </w:r>
      <w:r>
        <w:rPr>
          <w:rFonts w:ascii="Times New Roman" w:cs="Times New Roman" w:eastAsia="Times New Roman" w:hAnsi="Times New Roman"/>
          <w:sz w:val="18"/>
          <w:szCs w:val="18"/>
          <w:i w:val="1"/>
          <w:iCs w:val="1"/>
          <w:color w:val="231F20"/>
        </w:rPr>
        <w:t xml:space="preserve"> (this "Report") and in our Annual Report on Form 10-K for the fiscal year ended </w:t>
      </w:r>
      <w:r>
        <w:rPr>
          <w:rFonts w:ascii="Times New Roman" w:cs="Times New Roman" w:eastAsia="Times New Roman" w:hAnsi="Times New Roman"/>
          <w:sz w:val="18"/>
          <w:szCs w:val="18"/>
          <w:i w:val="1"/>
          <w:iCs w:val="1"/>
          <w:color w:val="000000"/>
        </w:rPr>
        <w:t>December 31, 2024 (our "Form 10-K")</w:t>
      </w:r>
      <w:r>
        <w:rPr>
          <w:rFonts w:ascii="Times New Roman" w:cs="Times New Roman" w:eastAsia="Times New Roman" w:hAnsi="Times New Roman"/>
          <w:sz w:val="18"/>
          <w:szCs w:val="18"/>
          <w:i w:val="1"/>
          <w:iCs w:val="1"/>
          <w:color w:val="231F20"/>
        </w:rPr>
        <w:t xml:space="preserve">, which is incorporated herein by reference. References in this section to “we,” “us,” “our,” “Bakkt” or the “Company” and like terms refer to Bakkt Holdings, Inc. and its subsidiaries for the </w:t>
      </w:r>
      <w:r>
        <w:rPr>
          <w:rFonts w:ascii="Times New Roman" w:cs="Times New Roman" w:eastAsia="Times New Roman" w:hAnsi="Times New Roman"/>
          <w:sz w:val="18"/>
          <w:szCs w:val="18"/>
          <w:i w:val="1"/>
          <w:iCs w:val="1"/>
          <w:color w:val="000000"/>
        </w:rPr>
        <w:t>three months ending March 31, 2025,</w:t>
      </w:r>
      <w:r>
        <w:rPr>
          <w:rFonts w:ascii="Times New Roman" w:cs="Times New Roman" w:eastAsia="Times New Roman" w:hAnsi="Times New Roman"/>
          <w:sz w:val="18"/>
          <w:szCs w:val="18"/>
          <w:i w:val="1"/>
          <w:iCs w:val="1"/>
          <w:color w:val="231F20"/>
        </w:rPr>
        <w:t xml:space="preserve"> unless the context otherwise requires. Some of the information contained in this discussion and analysis or set forth elsewhere in this 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In this section and elsewhere in this Report, we use the following terms, which are defined as follows:</w:t>
      </w:r>
    </w:p>
    <w:p>
      <w:pPr>
        <w:spacing w:after="0" w:line="24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p>
    <w:p>
      <w:pPr>
        <w:spacing w:after="0" w:line="53"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Standards Board (“FASB”) Accounting Standards Codification (“ASC”) Topic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w:t>
      </w:r>
    </w:p>
    <w:p>
      <w:pPr>
        <w:spacing w:after="0" w:line="1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or "Crypto asset" </w:t>
      </w:r>
      <w:r>
        <w:rPr>
          <w:rFonts w:ascii="Times New Roman" w:cs="Times New Roman" w:eastAsia="Times New Roman" w:hAnsi="Times New Roman"/>
          <w:sz w:val="18"/>
          <w:szCs w:val="18"/>
          <w:color w:val="auto"/>
        </w:rPr>
        <w:t>means an asset that is built using blockchain technology, including virtual currencies (as used in the State of New</w:t>
      </w:r>
    </w:p>
    <w:p>
      <w:pPr>
        <w:spacing w:after="0" w:line="53"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 coins, cryptocurrencies, stablecoins, and other tokens. Our platform enables transactions in certain supported crypto assets. For purposes of this Form 10-Q, we use crypto assets, virtual currency, coins, and tokens interchangeably.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loyalty points, as well as customers of our clients who transact in crypto through, and have accounts on, our platform (except as defined for ASC 606 purposes above).</w:t>
      </w:r>
    </w:p>
    <w:p>
      <w:pPr>
        <w:spacing w:after="0" w:line="1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151515"/>
        </w:rPr>
        <w:t>Founded in 2018, Bakkt builds technology that enables our clients to deliver new opportunities to their customers through Software as a Service (“SaaS”) and Application Programming Interface (“API”) solutions that provide crypto trading capabilities and loyalty solutions for our clients and customers.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24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151515"/>
        </w:rPr>
        <w:t>The U.S. cryptocurrency market evolved dramatically in 2024 and early 2025, marked by changes to the regulatory framework, technological innovation and institutional change. Bitcoin’s price increased from approximately $39,500 on January 22, 2024 to a price exceeding $103,000 in January 2025. There were several regulatory and macroeconomic events that likely contributed to this rise in price, including the Securities and Exchange Commission (the "SEC") approving of the first Exchange Traded Funds (“ETFs") focused on crypto assets in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Donald J. Trump, who has vocalized his support of the crypto industry and establishing the U.S. as a blockchain innovation hub.</w:t>
      </w:r>
    </w:p>
    <w:p>
      <w:pPr>
        <w:spacing w:after="0" w:line="17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151515"/>
        </w:rPr>
        <w:t>According to Security.org’s 2025 Cryptocurrency Adoption and Consumer Sentiment Report, as of January 31, 2025, an estimated 28% of U.S. adults owned cryptocurrencies, reflecting a near doubling in adoption since 2021. We believe this significant and expedient market adoption of crypto assets reflect a maturing cryptocurrency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Trust Exit</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17, 2025, we entered into an agreement with ICE whereby ICE has agreed to purchase all of the outstanding equity interests of Bakkt Trust Company LLC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 We expect this transaction to close on or about May 15,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Loyalty Solutions Exit</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March 19, 2025, we announced that we entered into a Cooperation Agreement with Distributed Technologies Research Global Ltd (“DTR”) and Akshay Naheta, the sole stockholder of DTR (the “Cooperation Agreement”). Pursuant to the Cooperation Agreement and subject to the negotiation and execution of a definitive commercial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 Further, and subject to the negotiation and execution of a definitive commercial agreement, Bakkt will provide DTR with access to its existing and future regulatory licenses to leverage DTR's technology infrastructure for the enablement of global payment processing.</w:t>
      </w:r>
    </w:p>
    <w:p>
      <w:pPr>
        <w:spacing w:after="0" w:line="19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9" w:name="page40"/>
    <w:bookmarkEnd w:id="39"/>
    <w:p>
      <w:pPr>
        <w:jc w:val="both"/>
        <w:spacing w:after="0" w:line="297" w:lineRule="auto"/>
        <w:rPr>
          <w:sz w:val="20"/>
          <w:szCs w:val="20"/>
          <w:color w:val="auto"/>
        </w:rPr>
      </w:pPr>
      <w:r>
        <w:rPr>
          <w:rFonts w:ascii="Times New Roman" w:cs="Times New Roman" w:eastAsia="Times New Roman" w:hAnsi="Times New Roman"/>
          <w:sz w:val="18"/>
          <w:szCs w:val="18"/>
          <w:color w:val="auto"/>
        </w:rPr>
        <w:t>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of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the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81"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19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Non-renewal of Customer Contracts</w:t>
      </w:r>
    </w:p>
    <w:p>
      <w:pPr>
        <w:spacing w:after="0" w:line="25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March 14, 2025, our largest client, Webull Pay LLC (“Webull”), notified us that it will not renew its agreement with us when the current term of the agreement ends on June 14, 2025. Webull represented approximately 74% of the Company’s Crypto services revenue for the year ended December 31, 2024.</w:t>
      </w:r>
    </w:p>
    <w:p>
      <w:pPr>
        <w:spacing w:after="0" w:line="183"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We also received notice from Bank of America Corporation (“Bank of America”) on March 14, 2025 that Bank of America will not renew its commercial agreement with us. As a result, such agreement expired in accordance with its terms on April 22, 2025, subject to the Company’s obligation to provide transition services for up to a 12-month period. Bank of America represented approximately 16% of our loyalty business’s net revenue for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54"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 purposes. The ICE Credit Facility is available in defined commitment amounts at specified dates in the future. On March 27, 2025, we drew $5.0 million under the ICE Credit Facility. Refer to Liquidity and Capital Resources elsewhere in this section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the Board, we effected a reverse stock split (the “Reverse Stock Split”) of our Class A Common Stock, par value $0.0001 per share,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Quarterly Report on Form 10-Q (unless otherwise noted).</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9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Concurrent Registered Direct Offerings</w:t>
      </w:r>
    </w:p>
    <w:p>
      <w:pPr>
        <w:spacing w:after="0" w:line="25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91"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231F20"/>
        </w:rPr>
        <w:t>Liquidity and Capital Resources</w:t>
      </w:r>
      <w:r>
        <w:rPr>
          <w:rFonts w:ascii="Times New Roman" w:cs="Times New Roman" w:eastAsia="Times New Roman" w:hAnsi="Times New Roman"/>
          <w:sz w:val="18"/>
          <w:szCs w:val="18"/>
          <w:color w:val="231F20"/>
        </w:rPr>
        <w:t>” below for management’s assertions on the impact of the Concurrent Offerings on our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considerations.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NYSE Listing Notification</w:t>
      </w:r>
    </w:p>
    <w:p>
      <w:pPr>
        <w:spacing w:after="0" w:line="25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$1.00 per share minimum bid price requirement of Section 802.01C of the NYSE Listed Company Manual (the “Listing Rule”), we had six months following the NYSE notification to regain compliance with the Listing Rule, during which time our Class A Common Stock would continue to be listed on the NYSE.</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Executive Officer Transitions</w:t>
      </w:r>
    </w:p>
    <w:p>
      <w:pPr>
        <w:spacing w:after="0" w:line="26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Effective March 25, 2024, Gavin Michael resigned as President, Chief Executive Officer and as a director of the Company, as well as from all positions held with the Company’s subsidiaries. Mr. Michael was engaged as an advisor to the Company through March 26, 2025.</w:t>
      </w:r>
    </w:p>
    <w:p>
      <w:pPr>
        <w:spacing w:after="0" w:line="17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Andrew Main, a member of the Board, succeeded Mr. Michael and served as the Company’s President and Chief Executive Officer from March 26, 2024 until March 20, 2025, and continued to serve on the Board.</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Effective May 22, 2024, Charles Goodroe resigned from his position as Chief Accounting Officer of the Company and Karen Alexander, the Company’s Chief Financial Officer and principal financial officer, assumed the role of the Company’s principal accounting officer until July 7, 2024. On July 8, 2024, the Company appointed Joe Henderson as Vice President, Chief Accounting Officer and principal accounting officer of the Company. Ms. Alexander has continued to serve as the Company's Chief Financial Officer since Mr. Henderson's appointment.</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connection with the entrance into the Cooperation Agreement, on March 19, 2025, we appointed Akshay Naheta and Mr. Main as our Co-Chief Executive Officers, effective as of March 21, 2025. Mr. Naheta was also appointed as a member of the Board and Mr. Main continues to serve as a member of the Board and as our principal executive officer and principal operating officer, for purposes of the rules and regulations of the SEC, and will continue to have operating responsibility for our regulated subsidiaries, Bakkt Crypto Solutions, LLC (“Bakkt Crypto Solutions”) [and Bakkt Trust], until such time as Mr. Naheta has been approved by all relevant regulatory authorities to serve in such capacity [and/or the announced sale of Bakkt Trust is complete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B2B2C model. Our goal is to provide these clients opportunities to leverage our capabilities either through their existing environment or by leveraging our platform. Our acquisition of Bakkt Crypto Solutions complements our B2B2C growth strategy by broadening our business partnerships to fintechs and neobanks.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alongside loyalty points on a single, highly secure, institutional-grade technology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See </w:t>
      </w:r>
      <w:r>
        <w:rPr>
          <w:rFonts w:ascii="Times New Roman" w:cs="Times New Roman" w:eastAsia="Times New Roman" w:hAnsi="Times New Roman"/>
          <w:sz w:val="18"/>
          <w:szCs w:val="18"/>
          <w:i w:val="1"/>
          <w:iCs w:val="1"/>
          <w:color w:val="231F20"/>
        </w:rPr>
        <w:t>"Crypto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Market Developments" </w:t>
      </w:r>
      <w:r>
        <w:rPr>
          <w:rFonts w:ascii="Times New Roman" w:cs="Times New Roman" w:eastAsia="Times New Roman" w:hAnsi="Times New Roman"/>
          <w:sz w:val="18"/>
          <w:szCs w:val="18"/>
          <w:color w:val="231F20"/>
        </w:rPr>
        <w:t>above</w:t>
      </w:r>
      <w:r>
        <w:rPr>
          <w:rFonts w:ascii="Times New Roman" w:cs="Times New Roman" w:eastAsia="Times New Roman" w:hAnsi="Times New Roman"/>
          <w:sz w:val="18"/>
          <w:szCs w:val="18"/>
          <w:i w:val="1"/>
          <w:iCs w:val="1"/>
          <w:color w:val="231F20"/>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are seeking to bring trust and transparency to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As investment continues, the intersection of technology and finance will require ongoing engagement as new applications emerge. Crypto asset and distributed ledger technology have significant, positive potential with proper collaboration between industry and regulators.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Cryptocurrency Held on Platform</w:t>
      </w:r>
    </w:p>
    <w:p>
      <w:pPr>
        <w:spacing w:after="0" w:line="25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The Company held cryptocurrency in custodial products on its platform for client customers totaling $2,301.9 million at fair value as of December 31, 2024. In accordance with the SEC Staff Accounting Bulletin No. 122, these assets are not recorded in the Company’s consolidated balance sheets. Similarly, as the Company has an obligation to securely store cryptocurrency on its platform, it had a corresponding unrecorded liability of $2,301.9 million as of December 31, 2024. Since the risk of loss related to the obligation to safeguard crypto assets for users of its platform is remote, the Company did not record a liability for such risk of loss as of March 31, 2025 and December 31, 2024 in the Company’s consolidated balance sheets.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0C0C0C"/>
        </w:rPr>
        <w:t>We use four key performance indicators (“KPIs”) that are key to understanding our business performance, as they reflect the different ways we enable clients to engage with our platform.</w:t>
      </w:r>
    </w:p>
    <w:p>
      <w:pPr>
        <w:spacing w:after="0" w:line="172" w:lineRule="exact"/>
        <w:rPr>
          <w:sz w:val="20"/>
          <w:szCs w:val="20"/>
          <w:color w:val="auto"/>
        </w:rPr>
      </w:pPr>
    </w:p>
    <w:p>
      <w:pPr>
        <w:ind w:left="660" w:right="20" w:hanging="328"/>
        <w:spacing w:after="0" w:line="318" w:lineRule="auto"/>
        <w:tabs>
          <w:tab w:leader="none" w:pos="655" w:val="left"/>
        </w:tabs>
        <w:numPr>
          <w:ilvl w:val="0"/>
          <w:numId w:val="22"/>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Crypto-enabled accounts. </w:t>
      </w:r>
      <w:r>
        <w:rPr>
          <w:rFonts w:ascii="Times New Roman" w:cs="Times New Roman" w:eastAsia="Times New Roman" w:hAnsi="Times New Roman"/>
          <w:sz w:val="18"/>
          <w:szCs w:val="18"/>
          <w:color w:val="0C0C0C"/>
        </w:rPr>
        <w:t>We define crypto-enabled accounts as the total crypto accounts open on our platform. There were 6.8 million and 6.7</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million crypto-enabled accounts </w:t>
      </w:r>
      <w:r>
        <w:rPr>
          <w:rFonts w:ascii="Times New Roman" w:cs="Times New Roman" w:eastAsia="Times New Roman" w:hAnsi="Times New Roman"/>
          <w:sz w:val="18"/>
          <w:szCs w:val="18"/>
          <w:color w:val="000000"/>
        </w:rPr>
        <w:t>as of March 31, 2025 and December 31, 2024, respectively</w:t>
      </w:r>
      <w:r>
        <w:rPr>
          <w:rFonts w:ascii="Times New Roman" w:cs="Times New Roman" w:eastAsia="Times New Roman" w:hAnsi="Times New Roman"/>
          <w:sz w:val="18"/>
          <w:szCs w:val="18"/>
          <w:color w:val="0C0C0C"/>
        </w:rPr>
        <w:t>.</w:t>
      </w:r>
    </w:p>
    <w:p>
      <w:pPr>
        <w:spacing w:after="0" w:line="166" w:lineRule="exact"/>
        <w:rPr>
          <w:rFonts w:ascii="Times New Roman" w:cs="Times New Roman" w:eastAsia="Times New Roman" w:hAnsi="Times New Roman"/>
          <w:sz w:val="18"/>
          <w:szCs w:val="18"/>
          <w:color w:val="0C0C0C"/>
        </w:rPr>
      </w:pPr>
    </w:p>
    <w:p>
      <w:pPr>
        <w:jc w:val="both"/>
        <w:ind w:left="660" w:hanging="328"/>
        <w:spacing w:after="0" w:line="29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Transacting accounts. </w:t>
      </w:r>
      <w:r>
        <w:rPr>
          <w:rFonts w:ascii="Times New Roman" w:cs="Times New Roman" w:eastAsia="Times New Roman" w:hAnsi="Times New Roman"/>
          <w:sz w:val="18"/>
          <w:szCs w:val="18"/>
          <w:color w:val="0C0C0C"/>
        </w:rPr>
        <w:t>We define transacting accounts as unique accounts that perform transactions on our platform each month. We use</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transacting accounts to reflect how users across our platform use the variety of services we offer, such as buying and selling crypto to facilitate</w:t>
      </w:r>
    </w:p>
    <w:p>
      <w:pPr>
        <w:spacing w:after="0" w:line="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 xml:space="preserve">everyday purchases, redeeming loyalty points for travel or merchandise, or converting loyalty points to cash or gift cards. There were 0.8 million and 0.8 million unique monthly transacting accounts during the </w:t>
      </w:r>
      <w:r>
        <w:rPr>
          <w:rFonts w:ascii="Times New Roman" w:cs="Times New Roman" w:eastAsia="Times New Roman" w:hAnsi="Times New Roman"/>
          <w:sz w:val="18"/>
          <w:szCs w:val="18"/>
          <w:color w:val="000000"/>
        </w:rPr>
        <w:t>three months ending March 31, 2025 and March 31, 2024, respectively</w:t>
      </w:r>
      <w:r>
        <w:rPr>
          <w:rFonts w:ascii="Times New Roman" w:cs="Times New Roman" w:eastAsia="Times New Roman" w:hAnsi="Times New Roman"/>
          <w:sz w:val="18"/>
          <w:szCs w:val="18"/>
          <w:color w:val="0C0C0C"/>
        </w:rPr>
        <w: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22"/>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Notional traded volume. </w:t>
      </w:r>
      <w:r>
        <w:rPr>
          <w:rFonts w:ascii="Times New Roman" w:cs="Times New Roman" w:eastAsia="Times New Roman" w:hAnsi="Times New Roman"/>
          <w:sz w:val="18"/>
          <w:szCs w:val="18"/>
          <w:color w:val="0C0C0C"/>
        </w:rPr>
        <w:t>We define notional traded volume as the total notional volume of transactions across crypto and loyalty platforms.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 xml:space="preserve">figures we use represent gross values recorded as of the order date. Notional traded volumes were $1,213.5 million and $1,040.7 million during the </w:t>
      </w:r>
      <w:r>
        <w:rPr>
          <w:rFonts w:ascii="Times New Roman" w:cs="Times New Roman" w:eastAsia="Times New Roman" w:hAnsi="Times New Roman"/>
          <w:sz w:val="18"/>
          <w:szCs w:val="18"/>
          <w:color w:val="000000"/>
        </w:rPr>
        <w:t>three months ending March 31, 2025 and March 31, 2024, respectively</w:t>
      </w:r>
      <w:r>
        <w:rPr>
          <w:rFonts w:ascii="Times New Roman" w:cs="Times New Roman" w:eastAsia="Times New Roman" w:hAnsi="Times New Roman"/>
          <w:sz w:val="18"/>
          <w:szCs w:val="18"/>
          <w:color w:val="0C0C0C"/>
        </w:rPr>
        <w:t>.</w:t>
      </w:r>
    </w:p>
    <w:p>
      <w:pPr>
        <w:spacing w:after="0" w:line="164" w:lineRule="exact"/>
        <w:rPr>
          <w:rFonts w:ascii="Times New Roman" w:cs="Times New Roman" w:eastAsia="Times New Roman" w:hAnsi="Times New Roman"/>
          <w:sz w:val="18"/>
          <w:szCs w:val="18"/>
          <w:color w:val="0C0C0C"/>
        </w:rPr>
      </w:pPr>
    </w:p>
    <w:p>
      <w:pPr>
        <w:jc w:val="both"/>
        <w:ind w:left="660" w:hanging="328"/>
        <w:spacing w:after="0" w:line="367" w:lineRule="auto"/>
        <w:tabs>
          <w:tab w:leader="none" w:pos="655" w:val="left"/>
        </w:tabs>
        <w:numPr>
          <w:ilvl w:val="0"/>
          <w:numId w:val="22"/>
        </w:numPr>
        <w:rPr>
          <w:rFonts w:ascii="Times New Roman" w:cs="Times New Roman" w:eastAsia="Times New Roman" w:hAnsi="Times New Roman"/>
          <w:sz w:val="17"/>
          <w:szCs w:val="17"/>
          <w:color w:val="0C0C0C"/>
        </w:rPr>
      </w:pPr>
      <w:r>
        <w:rPr>
          <w:rFonts w:ascii="Times New Roman" w:cs="Times New Roman" w:eastAsia="Times New Roman" w:hAnsi="Times New Roman"/>
          <w:sz w:val="17"/>
          <w:szCs w:val="17"/>
          <w:b w:val="1"/>
          <w:bCs w:val="1"/>
          <w:i w:val="1"/>
          <w:iCs w:val="1"/>
          <w:color w:val="auto"/>
        </w:rPr>
        <w:t xml:space="preserve">Assets under custody. </w:t>
      </w:r>
      <w:r>
        <w:rPr>
          <w:rFonts w:ascii="Times New Roman" w:cs="Times New Roman" w:eastAsia="Times New Roman" w:hAnsi="Times New Roman"/>
          <w:sz w:val="17"/>
          <w:szCs w:val="17"/>
          <w:color w:val="0C0C0C"/>
        </w:rPr>
        <w:t>We define assets under custody as the sum of coin quantities held by customers multiplied by the final quote for each coin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0C0C0C"/>
        </w:rPr>
        <w:t xml:space="preserve">on the last day of the period. Assets under custody were $1,872.6 and $2,301.9 million </w:t>
      </w:r>
      <w:r>
        <w:rPr>
          <w:rFonts w:ascii="Times New Roman" w:cs="Times New Roman" w:eastAsia="Times New Roman" w:hAnsi="Times New Roman"/>
          <w:sz w:val="17"/>
          <w:szCs w:val="17"/>
          <w:color w:val="000000"/>
        </w:rPr>
        <w:t>as of March 31, 2025 and December 31, 2024,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is our consolidated statements of operations </w:t>
      </w:r>
      <w:r>
        <w:rPr>
          <w:rFonts w:ascii="Times New Roman" w:cs="Times New Roman" w:eastAsia="Times New Roman" w:hAnsi="Times New Roman"/>
          <w:sz w:val="18"/>
          <w:szCs w:val="18"/>
          <w:color w:val="000000"/>
        </w:rPr>
        <w:t>for the three months ended March 31, 2025 and March 31, 2024, respectively</w:t>
      </w:r>
      <w:r>
        <w:rPr>
          <w:rFonts w:ascii="Times New Roman" w:cs="Times New Roman" w:eastAsia="Times New Roman" w:hAnsi="Times New Roman"/>
          <w:sz w:val="18"/>
          <w:szCs w:val="18"/>
          <w:color w:val="231F20"/>
        </w:rPr>
        <w:t xml:space="preserv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841,340</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854,582</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831,972</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886,419</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(31,837)</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(21,119)</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(21,275)</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Bakkt Holdings, Inc.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Class A Common Stockholders: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0"/>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March 31, 2025 compared to Three Months Ended March 31,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three months ended March 31, 2025 included the following notable items relative to the three months ended March 31, 2024:</w:t>
      </w:r>
    </w:p>
    <w:p>
      <w:pPr>
        <w:spacing w:after="0" w:line="252" w:lineRule="exact"/>
        <w:rPr>
          <w:sz w:val="20"/>
          <w:szCs w:val="20"/>
          <w:color w:val="auto"/>
        </w:rPr>
      </w:pPr>
    </w:p>
    <w:p>
      <w:pPr>
        <w:ind w:left="660" w:hanging="328"/>
        <w:spacing w:after="0" w:line="329"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$220.3 million</w:t>
      </w:r>
      <w:r>
        <w:rPr>
          <w:rFonts w:ascii="Times New Roman" w:cs="Times New Roman" w:eastAsia="Times New Roman" w:hAnsi="Times New Roman"/>
          <w:sz w:val="18"/>
          <w:szCs w:val="18"/>
          <w:color w:val="231F20"/>
        </w:rPr>
        <w:t xml:space="preserve"> primarily driven by a significant increase in Crypto services revenue resulting from an increase in trading volume; and</w:t>
      </w:r>
    </w:p>
    <w:p>
      <w:pPr>
        <w:spacing w:after="0" w:line="148" w:lineRule="exact"/>
        <w:rPr>
          <w:rFonts w:ascii="Times New Roman" w:cs="Times New Roman" w:eastAsia="Times New Roman" w:hAnsi="Times New Roman"/>
          <w:sz w:val="18"/>
          <w:szCs w:val="18"/>
          <w:color w:val="231F20"/>
        </w:rPr>
      </w:pPr>
    </w:p>
    <w:p>
      <w:pPr>
        <w:ind w:left="660" w:right="20" w:hanging="328"/>
        <w:spacing w:after="0" w:line="32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$207.0 million primarily driven by increased crypto trading costs in conjunction with increased crypto service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Crypto Services Revenue</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224,416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$224.4 million, or 26.7%,</w:t>
      </w:r>
      <w:r>
        <w:rPr>
          <w:rFonts w:ascii="Times New Roman" w:cs="Times New Roman" w:eastAsia="Times New Roman" w:hAnsi="Times New Roman"/>
          <w:sz w:val="18"/>
          <w:szCs w:val="18"/>
          <w:color w:val="231F20"/>
        </w:rPr>
        <w:t xml:space="preserve"> for the three months ended March 31, 2025 compared to the three months ended March 31, 2024. The increase was primarily driven by increased crypto trading volume.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4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4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40"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Net loyalty services revenue decreased by </w:t>
      </w:r>
      <w:r>
        <w:rPr>
          <w:rFonts w:ascii="Times New Roman" w:cs="Times New Roman" w:eastAsia="Times New Roman" w:hAnsi="Times New Roman"/>
          <w:sz w:val="18"/>
          <w:szCs w:val="18"/>
          <w:color w:val="000000"/>
        </w:rPr>
        <w:t>$4.1 million</w:t>
      </w:r>
      <w:r>
        <w:rPr>
          <w:rFonts w:ascii="Times New Roman" w:cs="Times New Roman" w:eastAsia="Times New Roman" w:hAnsi="Times New Roman"/>
          <w:sz w:val="18"/>
          <w:szCs w:val="18"/>
          <w:color w:val="231F20"/>
        </w:rPr>
        <w:t xml:space="preserve"> for the three months ended March 31, 2025 compared to the three months ended March 31, 2024. The decrease was primarily related to the exit of a client of our loyalty business in 2024 due to divestiture of its business, as well as reduced volume-based service revenue and transaction volume.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restructuring expenses, and other 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increased by $222.7 million, or </w:t>
      </w:r>
      <w:r>
        <w:rPr>
          <w:rFonts w:ascii="Times New Roman" w:cs="Times New Roman" w:eastAsia="Times New Roman" w:hAnsi="Times New Roman"/>
          <w:sz w:val="18"/>
          <w:szCs w:val="18"/>
          <w:color w:val="000000"/>
        </w:rPr>
        <w:t>26.8%,</w:t>
      </w:r>
      <w:r>
        <w:rPr>
          <w:rFonts w:ascii="Times New Roman" w:cs="Times New Roman" w:eastAsia="Times New Roman" w:hAnsi="Times New Roman"/>
          <w:sz w:val="18"/>
          <w:szCs w:val="18"/>
          <w:color w:val="231F20"/>
        </w:rPr>
        <w:t xml:space="preserve"> for the three months ended March 31, 2025 compared to the three months ended March 31, 2024. This increase was primarily driven by increased crypto service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Execution, clearing and brokerage fees primarily represent payments to clients in exchange for driving order flow to our platform. Execution, clearing and brokerage fees increased $2.1 million, or </w:t>
      </w:r>
      <w:r>
        <w:rPr>
          <w:rFonts w:ascii="Times New Roman" w:cs="Times New Roman" w:eastAsia="Times New Roman" w:hAnsi="Times New Roman"/>
          <w:sz w:val="18"/>
          <w:szCs w:val="18"/>
          <w:color w:val="000000"/>
        </w:rPr>
        <w:t>36.6%,</w:t>
      </w:r>
      <w:r>
        <w:rPr>
          <w:rFonts w:ascii="Times New Roman" w:cs="Times New Roman" w:eastAsia="Times New Roman" w:hAnsi="Times New Roman"/>
          <w:sz w:val="18"/>
          <w:szCs w:val="18"/>
          <w:color w:val="231F20"/>
        </w:rPr>
        <w:t xml:space="preserve"> during the three months ended March 31, 2025 relative to the same period in the prior year. The increase reflects increased volume in Crypto services revenue.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compensation and other employee related costs.</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have restructured our personnel to reduce headcount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w:t>
      </w:r>
    </w:p>
    <w:p>
      <w:pPr>
        <w:spacing w:after="0" w:line="17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Compensation and benefits decreased by $6.7 million, or 27.4%, for the three months ended March 31, 2025 compared to the three months ended March 31, 2024. The decrease was primarily due to decreases of $4.7 million in stock-based compensation and $1.2 million in bonuses.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$1.6 million, or 42.8%, for the three months ended March 31, 2025 compared to the three months ended March 31, 2024. The increase was primarily due to increases of $1.5 million in legal fees.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 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w:t>
      </w:r>
    </w:p>
    <w:p>
      <w:pPr>
        <w:spacing w:after="0" w:line="17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Technology and communications expense decreased by $2.4 million, or 39.8%, for the three months ended March 31, 2025 compared to the three months ended March 31, 2024. The decrease was primarily due to a decrease of $1.6 million in hardware and software license fees and of $0.6 million in hosting and telecommunications fees.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in the Consolidated Statements of Operations. We expect these costs will decrease as a percentage of our revenue in future years as we gain improved operating leverage from our projected revenue growth.</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Selling, general and administrative costs decreased by $4.0 million, or 51.0%, for the three months ended March 31, 2025 compared to the three months ended March 31, 2024. The decrease was primarily due to a $2.3 million decrease in general insurance, $1.0 million in marketing and promotions, and a $0.5 million decrease in non-recurring vendor cost.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Solutions.</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Depreciation and amortization increased by $0.2 million, or 286.0%, for the three months ended March 31, 2025 compared to the three months ended March 31, 2024. The increase was primarily due to lower net book values of intangible assets and property, equipment and software in 2024 after impairments were recorded in 2023. The Company continues to capitalize internally developed software related to Bakkt Crypto, which contributes to the asset base being amortized.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Restructuring expenses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during the three months ended March 31, 2025 consist of severance costs related to a reduction in force executed in the first quarter of 2025. Restructuring expenses of $6.1 million during the three months ended March 31, 2024 consisted of severance costs and accelerated vesting of non-cash compensation related to the termination of a former executive.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3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Gain (Loss) from Change in Fair Value of Warrant Liability</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 xml:space="preserve">We recorded a gain of $32.2 million during the three months ended March 31, 2025 for the change in fair value on the revaluation of our warrant liabilities associated with our public warrants and warrants from the Concurrent Offerings. We recorded a gain of </w:t>
      </w:r>
      <w:r>
        <w:rPr>
          <w:rFonts w:ascii="Times New Roman" w:cs="Times New Roman" w:eastAsia="Times New Roman" w:hAnsi="Times New Roman"/>
          <w:sz w:val="18"/>
          <w:szCs w:val="18"/>
          <w:color w:val="000000"/>
        </w:rPr>
        <w:t>$9.0 million</w:t>
      </w:r>
      <w:r>
        <w:rPr>
          <w:rFonts w:ascii="Times New Roman" w:cs="Times New Roman" w:eastAsia="Times New Roman" w:hAnsi="Times New Roman"/>
          <w:sz w:val="18"/>
          <w:szCs w:val="18"/>
          <w:color w:val="231F20"/>
        </w:rPr>
        <w:t xml:space="preserve"> during the three months ended March 31, 2024 for the change in fair value on the revaluation of our warrant liability associated with our public warrants. These are non-cash losses and gains and are driven by fluctuations in the market price of our public warrants and valuation of our warrants from the Concurrent Offerings.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net</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Other income, net primarily consists of non-operating gains and losses. During the three months ended March 31, 2025, we recognized income of </w:t>
      </w:r>
      <w:r>
        <w:rPr>
          <w:rFonts w:ascii="Times New Roman" w:cs="Times New Roman" w:eastAsia="Times New Roman" w:hAnsi="Times New Roman"/>
          <w:sz w:val="18"/>
          <w:szCs w:val="18"/>
          <w:color w:val="000000"/>
        </w:rPr>
        <w:t xml:space="preserve">$1.9 million </w:t>
      </w:r>
      <w:r>
        <w:rPr>
          <w:rFonts w:ascii="Times New Roman" w:cs="Times New Roman" w:eastAsia="Times New Roman" w:hAnsi="Times New Roman"/>
          <w:sz w:val="18"/>
          <w:szCs w:val="18"/>
          <w:color w:val="231F20"/>
        </w:rPr>
        <w:t>primarily related to a net gain of approximately $1.8 million on the assignment of our New York office lease. During the three months ended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March 31, 2024, we recognized income of $0.7 million primarily related to foreign currency.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Income tax expense during the three months ended March 31, 2025 and March 31, 2024 primarily consists of current state tax expense related to certain state jurisdictions wherein we are required to file income tax returns during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As of March 31, 2025, we had $23.0 million and $19.8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 and our purchasing card facility.</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As discussed above, we consummated the Concurrent Offerings in March and April 2024. We raised aggregate net proceeds from the Concurrent Offerings of approximately $46.5 million, after deducting the placement agent’s fees and offering expenses payable by us.</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August 12, 2024, Bakkt and Opco executed a secured revolving credit facility with the Lender (the credit facility herein referred to as the "ICE Credit Facility"), with certain subsidiaries of Bakkt to be party thereto from time to time, as guarantors, whereby the Lender agreed to provide for a $40.0 million secured revolving line of credit to us for working capital and general corporate purposes. For the period beginning December 31, 2024 through March 30, 2025, we can borrow up to an aggregate principal amount (excluding any capitalized interest) of $10.0 million. For the period beginning March 31 through June 29, 2025, we can borrow up to an aggregate principal amount (excluding any capitalized interest) of $20.0 million. From the period beginning June 30 through September 29, 2025, we can borrow up to an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9" w:name="page50"/>
    <w:bookmarkEnd w:id="49"/>
    <w:p>
      <w:pPr>
        <w:jc w:val="both"/>
        <w:spacing w:after="0" w:line="305" w:lineRule="auto"/>
        <w:rPr>
          <w:sz w:val="20"/>
          <w:szCs w:val="20"/>
          <w:color w:val="auto"/>
        </w:rPr>
      </w:pPr>
      <w:r>
        <w:rPr>
          <w:rFonts w:ascii="Times New Roman" w:cs="Times New Roman" w:eastAsia="Times New Roman" w:hAnsi="Times New Roman"/>
          <w:sz w:val="18"/>
          <w:szCs w:val="18"/>
          <w:color w:val="auto"/>
        </w:rPr>
        <w:t>aggregate principal amount (excluding any capitalized interest) of $30.0 million. On or after September 30, 2025, we can borrow up to an aggregate principal amount (excluding any capitalized interest) of $40.0 million. As of March 31, 2025, approximately $5.0 million of borrowings were outstanding under the ICE Credit Facility.</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on December 31, 2026. Borrowings under the ICE Credit Facility incur an interest rate equal to, at our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The effective interest rate on the ICE Credit Facility as of March 31, 2025 was 16.3%.</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7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We intend to use our unrestricted cash, inclusive of any present and potential borrowings under the ICE Credit Facility,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It is likely that we will need to draw on additional portions of the ICE Credit Facility in 2025 to fund operations as we continue to scale the Crypto product offering. We have acted to right-size headcount since 2022. Our operating cash usage in 2024 declined from 2023 levels due to the combined impact of increased revenue and expense reductions from restructuring actions. Our expected uses of available funds are based on our present plans, objectives and business condition. Additionally, Webull’s decision not to renew its agreement with us when the current term of the agreement ends on June 14, 2025 will materially reduce our Crypto services revenue. Following the notice from Webull, the Company executed further cost reduction measures, including personnel reductions, a hiring freeze, and is making changes to vendors, and additional discretionary spending cuts to preserve and extend cash to fund operations.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 technologies or intellectual property rights. However, except with respect to our potential acquisition of DTR pursuant to the Cooperation Agreement, we have no agreements or commitments with respect to any such acquisitions or investments at this time. Management believes that the Company's cash and cash equivalents and access to the ICE Credit Facility will be sufficient to fund Bakkt's operations for 12 months from the date of these financial statements are issued.</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 For example, our client, Webull, which represented 74% of our Crypto services revenues in the year ended December 31, 2024, has notified us that it will not be renewing its agreement with us when the current term of the agreement ends on June 14, 2025. Unless we are able to replace the Crypto services revenue historically generated through our relationship with Webull, we expect our Crypto services revenue to decrease significantly when our current agreement with Webull expires in June 2025, which will increase our future cash requirements. We made substantial investments in our platforms in 2023 and 2024, which we expect will enable us to continue to simplify our organization and focus on the core capabilities critical to our strategy, and continue to pursue growth with new and existing clients</w:t>
      </w:r>
      <w:r>
        <w:rPr>
          <w:rFonts w:ascii="Times New Roman" w:cs="Times New Roman" w:eastAsia="Times New Roman" w:hAnsi="Times New Roman"/>
          <w:sz w:val="18"/>
          <w:szCs w:val="18"/>
          <w:color w:val="000000"/>
        </w:rPr>
        <w:t>. Please see “</w:t>
      </w:r>
      <w:r>
        <w:rPr>
          <w:rFonts w:ascii="Times New Roman" w:cs="Times New Roman" w:eastAsia="Times New Roman" w:hAnsi="Times New Roman"/>
          <w:sz w:val="18"/>
          <w:szCs w:val="18"/>
          <w:i w:val="1"/>
          <w:iCs w:val="1"/>
          <w:color w:val="000000"/>
        </w:rPr>
        <w:t>Item 1A. Risk Factors—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Risks Related to our Business, Finances and Operations—In the past, we have identified conditions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0" w:name="page51"/>
    <w:bookmarkEnd w:id="50"/>
    <w:p>
      <w:pPr>
        <w:jc w:val="both"/>
        <w:spacing w:after="0" w:line="306" w:lineRule="auto"/>
        <w:rPr>
          <w:sz w:val="20"/>
          <w:szCs w:val="20"/>
          <w:color w:val="auto"/>
        </w:rPr>
      </w:pPr>
      <w:r>
        <w:rPr>
          <w:rFonts w:ascii="Times New Roman" w:cs="Times New Roman" w:eastAsia="Times New Roman" w:hAnsi="Times New Roman"/>
          <w:sz w:val="18"/>
          <w:szCs w:val="18"/>
          <w:i w:val="1"/>
          <w:iCs w:val="1"/>
          <w:color w:val="auto"/>
        </w:rPr>
        <w:t>events that raised substantial doubt about our ability to continue as a going concern and it is possible that we may identify conditions and events in the future that raise substantial doubt about our ability to continue as a going concern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in our Form 10-K filed with the SEC on March 20,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76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38,353</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(2,304)</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36,705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$101.3 million for the three months ended March 31, 2025 was primarily related to cash outflows resulting from change in our operating assets and liabilities of </w:t>
      </w:r>
      <w:r>
        <w:rPr>
          <w:rFonts w:ascii="Times New Roman" w:cs="Times New Roman" w:eastAsia="Times New Roman" w:hAnsi="Times New Roman"/>
          <w:sz w:val="18"/>
          <w:szCs w:val="18"/>
          <w:color w:val="000000"/>
        </w:rPr>
        <w:t>$87.3 million and a $32.2 million non-cash gain resulting from the change in fair value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warrant liabilities, slightly offset by net income of $16.2 million, and non-cash compensation expense of $3.3 million. Net cash outflows from changes in operating assets and liabilities for the three months ended March 31, 2025 were primarily from a $76.6 million decrease in customer funds mainly related to Webull moving off the Company's platform, $3.6 million increase in accounts receivable, and $1.8 decrease in accounts payable.</w:t>
      </w:r>
    </w:p>
    <w:p>
      <w:pPr>
        <w:spacing w:after="0" w:line="174"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 xml:space="preserve">Net cash flows provided by operating activities of $38.4 million for the three months ended March 31, 2024 was primarily related to net cash inflows resulting from changes in our operating assets and liabilities of $59.7 million, partially offset by our net loss of $21.3 million. Net cash inflows from changes in our operating assets and liabilities for the three months ended March 31, 2024 were primarily due to a </w:t>
      </w:r>
      <w:r>
        <w:rPr>
          <w:rFonts w:ascii="Times New Roman" w:cs="Times New Roman" w:eastAsia="Times New Roman" w:hAnsi="Times New Roman"/>
          <w:sz w:val="18"/>
          <w:szCs w:val="18"/>
          <w:color w:val="000000"/>
        </w:rPr>
        <w:t>$55.2 million</w:t>
      </w:r>
      <w:r>
        <w:rPr>
          <w:rFonts w:ascii="Times New Roman" w:cs="Times New Roman" w:eastAsia="Times New Roman" w:hAnsi="Times New Roman"/>
          <w:sz w:val="18"/>
          <w:szCs w:val="18"/>
          <w:color w:val="231F20"/>
        </w:rPr>
        <w:t xml:space="preserve"> increase in customer funds, $3.9 million decrease in prepaid insurance and </w:t>
      </w:r>
      <w:r>
        <w:rPr>
          <w:rFonts w:ascii="Times New Roman" w:cs="Times New Roman" w:eastAsia="Times New Roman" w:hAnsi="Times New Roman"/>
          <w:sz w:val="18"/>
          <w:szCs w:val="18"/>
          <w:color w:val="000000"/>
        </w:rPr>
        <w:t>$3.6 million increase in unsettled crypto trades, partially offset by a $1.3 million decrease in deferred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revenue, $1.0 million increase in other assets and liabilities and $1.0 million decrease in operating lease liabilities</w:t>
      </w:r>
      <w:r>
        <w:rPr>
          <w:rFonts w:ascii="Times New Roman" w:cs="Times New Roman" w:eastAsia="Times New Roman" w:hAnsi="Times New Roman"/>
          <w:sz w:val="18"/>
          <w:szCs w:val="18"/>
          <w:color w:val="231F20"/>
        </w:rPr>
        <w:t>. Non-cash charges primarily consisted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share-based compensation of $8.0 million, the gain from the change in fair value of our warrant liability of </w:t>
      </w:r>
      <w:r>
        <w:rPr>
          <w:rFonts w:ascii="Times New Roman" w:cs="Times New Roman" w:eastAsia="Times New Roman" w:hAnsi="Times New Roman"/>
          <w:sz w:val="18"/>
          <w:szCs w:val="18"/>
          <w:color w:val="000000"/>
        </w:rPr>
        <w:t>$9.0 million</w:t>
      </w:r>
      <w:r>
        <w:rPr>
          <w:rFonts w:ascii="Times New Roman" w:cs="Times New Roman" w:eastAsia="Times New Roman" w:hAnsi="Times New Roman"/>
          <w:sz w:val="18"/>
          <w:szCs w:val="18"/>
          <w:color w:val="231F20"/>
        </w:rPr>
        <w:t xml:space="preserve"> and non-cash lease expense of </w:t>
      </w:r>
      <w:r>
        <w:rPr>
          <w:rFonts w:ascii="Times New Roman" w:cs="Times New Roman" w:eastAsia="Times New Roman" w:hAnsi="Times New Roman"/>
          <w:sz w:val="18"/>
          <w:szCs w:val="18"/>
          <w:color w:val="000000"/>
        </w:rPr>
        <w:t>$0.6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Net cash flows used in investing activities of $0.1 million for the three months ended March 31, 2025 consisted of capitalized costs of internally developed software for our technology platforms.</w:t>
      </w:r>
    </w:p>
    <w:p>
      <w:pPr>
        <w:spacing w:after="0" w:line="14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Net cash flows used in investing activities of $2.3 million for the three months ended March 31, 2024 consisted of the purchase of $18.0 million of available-for-sale debt securities and $1.8 million of capitalized costs of internally developed software for our technology platforms, partially offset by the receipt of $17.5 million of proceeds from the sale of available-for-sale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$4.1 million</w:t>
      </w:r>
      <w:r>
        <w:rPr>
          <w:rFonts w:ascii="Times New Roman" w:cs="Times New Roman" w:eastAsia="Times New Roman" w:hAnsi="Times New Roman"/>
          <w:sz w:val="18"/>
          <w:szCs w:val="18"/>
          <w:color w:val="231F20"/>
        </w:rPr>
        <w:t xml:space="preserve"> during the three months ended March 31, 2025 primarily consisted of $5.0 million in proceeds from our ICE credit facility, partially offset by tax withholding payments of </w:t>
      </w:r>
      <w:r>
        <w:rPr>
          <w:rFonts w:ascii="Times New Roman" w:cs="Times New Roman" w:eastAsia="Times New Roman" w:hAnsi="Times New Roman"/>
          <w:sz w:val="18"/>
          <w:szCs w:val="18"/>
          <w:color w:val="000000"/>
        </w:rPr>
        <w:t>$0.9 million for vested equity awards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1" w:name="page52"/>
    <w:bookmarkEnd w:id="51"/>
    <w:p>
      <w:pPr>
        <w:ind w:right="20"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$36.7 million</w:t>
      </w:r>
      <w:r>
        <w:rPr>
          <w:rFonts w:ascii="Times New Roman" w:cs="Times New Roman" w:eastAsia="Times New Roman" w:hAnsi="Times New Roman"/>
          <w:sz w:val="18"/>
          <w:szCs w:val="18"/>
          <w:color w:val="231F20"/>
        </w:rPr>
        <w:t xml:space="preserve"> during the three months ended March 31, 2024 resulted from proceeds from the Concurrent Offerings of </w:t>
      </w:r>
      <w:r>
        <w:rPr>
          <w:rFonts w:ascii="Times New Roman" w:cs="Times New Roman" w:eastAsia="Times New Roman" w:hAnsi="Times New Roman"/>
          <w:sz w:val="18"/>
          <w:szCs w:val="18"/>
          <w:color w:val="000000"/>
        </w:rPr>
        <w:t>$39.0 million, partially offset by</w:t>
      </w:r>
      <w:r>
        <w:rPr>
          <w:rFonts w:ascii="Times New Roman" w:cs="Times New Roman" w:eastAsia="Times New Roman" w:hAnsi="Times New Roman"/>
          <w:sz w:val="18"/>
          <w:szCs w:val="18"/>
          <w:color w:val="231F20"/>
        </w:rPr>
        <w:t xml:space="preserve"> tax withholding payments </w:t>
      </w:r>
      <w:r>
        <w:rPr>
          <w:rFonts w:ascii="Times New Roman" w:cs="Times New Roman" w:eastAsia="Times New Roman" w:hAnsi="Times New Roman"/>
          <w:sz w:val="18"/>
          <w:szCs w:val="18"/>
          <w:color w:val="000000"/>
        </w:rPr>
        <w:t>of $2.3 million</w:t>
      </w:r>
      <w:r>
        <w:rPr>
          <w:rFonts w:ascii="Times New Roman" w:cs="Times New Roman" w:eastAsia="Times New Roman" w:hAnsi="Times New Roman"/>
          <w:sz w:val="18"/>
          <w:szCs w:val="18"/>
          <w:color w:val="231F20"/>
        </w:rPr>
        <w:t xml:space="preserve"> for vested of equity awards.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Receivable Agreement</w:t>
      </w:r>
    </w:p>
    <w:p>
      <w:pPr>
        <w:spacing w:after="0" w:line="270" w:lineRule="exact"/>
        <w:rPr>
          <w:sz w:val="20"/>
          <w:szCs w:val="20"/>
          <w:color w:val="auto"/>
        </w:rPr>
      </w:pPr>
    </w:p>
    <w:p>
      <w:pPr>
        <w:ind w:right="60" w:firstLine="648"/>
        <w:spacing w:after="0" w:line="294" w:lineRule="auto"/>
        <w:rPr>
          <w:sz w:val="20"/>
          <w:szCs w:val="20"/>
          <w:color w:val="auto"/>
        </w:rPr>
      </w:pPr>
      <w:r>
        <w:rPr>
          <w:rFonts w:ascii="Times New Roman" w:cs="Times New Roman" w:eastAsia="Times New Roman" w:hAnsi="Times New Roman"/>
          <w:sz w:val="18"/>
          <w:szCs w:val="18"/>
          <w:color w:val="auto"/>
        </w:rPr>
        <w:t>Concurrently with the completion of the VIH Business Combination, we entered into a Tax Receivable Agreement ("TRA") with certain members of Opco.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March 31, 2025, 1,060,377 Opco Common Units were exchanged for Class A Common Stock. Based on our history of taxable losses, we have concluded that it is not probable to expect cash tax payments in the foreseeable future and as such, no value has been recorded under the TRA.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5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3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21,292</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19"/>
                <w:szCs w:val="19"/>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w:t>
            </w:r>
          </w:p>
        </w:tc>
      </w:tr>
    </w:tbl>
    <w:p>
      <w:pPr>
        <w:spacing w:after="0" w:line="287" w:lineRule="exact"/>
        <w:rPr>
          <w:sz w:val="20"/>
          <w:szCs w:val="20"/>
          <w:color w:val="auto"/>
        </w:rPr>
      </w:pPr>
    </w:p>
    <w:p>
      <w:pPr>
        <w:ind w:left="340" w:right="540" w:hanging="332"/>
        <w:spacing w:after="0" w:line="223"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In December 2023, we agreed to amend the cloud computing arrangement and extended the payment period for an additional year.</w:t>
      </w:r>
    </w:p>
    <w:p>
      <w:pPr>
        <w:ind w:left="320" w:hanging="312"/>
        <w:spacing w:after="0" w:line="194"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rental payments under operating leases with remaining non-cancellable terms in excess of one year.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were payable at least bi-monthly, are not subject to formula-based restrictions and do not bear interest if amounts outstanding are paid when due and in full. The purchasing card facility required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 In March 2025, Bank of America further reduced the credit line to $15.0 million.</w:t>
      </w:r>
    </w:p>
    <w:p>
      <w:pPr>
        <w:spacing w:after="0" w:line="18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March 19, 2025, we entered into a Cooperation Agreement with DTR and Akshay Naheta, the sole stockholder of DTR, pursuant to which DTR will provide, subject to the negotiation and execution of a definitive commercial agreement,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our stockholder approval, which such automatic extension shall not exceed 90 days.</w:t>
      </w:r>
    </w:p>
    <w:p>
      <w:pPr>
        <w:spacing w:after="0" w:line="18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As consideration for the sale of the DTR Equity contemplated by a Put Option or a Call Option, Mr. Naheta will be entitled, in exchange for all of the DTR Equity, to a number of shares of the Class A Common Stock, representing at least 19.9% and no more than 31.5%, of our aggregate common stock (which such total shall include the shares of the then outstanding and issued Class A Common Stock and the shares of Class A Common Stock then exchangeable for the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our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3" w:name="page54"/>
    <w:bookmarkEnd w:id="53"/>
    <w:p>
      <w:pPr>
        <w:jc w:val="both"/>
        <w:spacing w:after="0" w:line="305" w:lineRule="auto"/>
        <w:rPr>
          <w:sz w:val="20"/>
          <w:szCs w:val="20"/>
          <w:color w:val="auto"/>
        </w:rPr>
      </w:pPr>
      <w:r>
        <w:rPr>
          <w:rFonts w:ascii="Times New Roman" w:cs="Times New Roman" w:eastAsia="Times New Roman" w:hAnsi="Times New Roman"/>
          <w:sz w:val="18"/>
          <w:szCs w:val="18"/>
          <w:color w:val="auto"/>
        </w:rPr>
        <w:t>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8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the Company, DTR and Mr. Naheta that are customary for a transaction of this nature (the “Definitive Agreement”), (ii) subject to, among other things, obtaining any required regulatory approvals, non-objections and/or similar authorizations, our stockholder approval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us having terminated any lines of credit in effect on the date of the Cooperation Agreement and having repaid in full any indebtedness then outstanding and borrowed thereunder. The Definitive Agreement shall also provide for a clause to allow the Special Committee of the Board to pursue any superior proposal for a transaction that, if consummated, would result in our change of control that is conditioned upon the termination of the Put Option; provided, that we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20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 xml:space="preserve">The unaudited interim consolidated financial statements included in this Report are prepared in accordance with United States generally accepted accounting principles (“GAAP”). </w:t>
      </w:r>
      <w:r>
        <w:rPr>
          <w:rFonts w:ascii="Times New Roman" w:cs="Times New Roman" w:eastAsia="Times New Roman" w:hAnsi="Times New Roman"/>
          <w:sz w:val="18"/>
          <w:szCs w:val="18"/>
          <w:color w:val="231F20"/>
        </w:rPr>
        <w:t>We use non-GAAP financial measures to assist in comparing our performance on a consistent basis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6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EBITDA is defined as earnings before interest, income taxes, depreciation, and amortization. Adjusted EBITDA is defined as EBITDA before share-based and unit-based compensation expense, goodwill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jc w:val="both"/>
        <w:spacing w:after="0" w:line="294" w:lineRule="auto"/>
        <w:rPr>
          <w:sz w:val="20"/>
          <w:szCs w:val="20"/>
          <w:color w:val="auto"/>
        </w:rPr>
      </w:pPr>
      <w:r>
        <w:rPr>
          <w:rFonts w:ascii="Times New Roman" w:cs="Times New Roman" w:eastAsia="Times New Roman" w:hAnsi="Times New Roman"/>
          <w:sz w:val="18"/>
          <w:szCs w:val="18"/>
          <w:color w:val="231F20"/>
        </w:rPr>
        <w:t>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(loss) and our other financial results presented in accordance with GAAP.</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the most directly comparable GAAP operating performance measure, to our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Adjusted EBITDA for each of the periods indicated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lease assignment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Adjusted EBITDA loss for the three months ended March 31, 2025 decreased by $1.7 million or 10.6% as compared to the three months ended March 31, 2024. The decreased loss was primarily due $6.7 million lower compensation and benefits expense, and $4.0 million lower selling, general and administrative expenses, offset by a $1.6 million increase in professional fees.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the Board. For further information about our critical accounting policies and estimates, refer to “</w:t>
      </w:r>
      <w:r>
        <w:rPr>
          <w:rFonts w:ascii="Times New Roman" w:cs="Times New Roman" w:eastAsia="Times New Roman" w:hAnsi="Times New Roman"/>
          <w:sz w:val="18"/>
          <w:szCs w:val="18"/>
          <w:i w:val="1"/>
          <w:iCs w:val="1"/>
          <w:color w:val="231F20"/>
        </w:rPr>
        <w:t>Item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color w:val="231F20"/>
        </w:rPr>
        <w:t>” in our Form 10-K filed with the SEC on March 20, 2025. There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have been no material changes to our critical accounting policies and estimates since the filing of our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 w:cs="Times New Roman" w:eastAsia="Times New Roman" w:hAnsi="Times New Roman"/>
          <w:sz w:val="18"/>
          <w:szCs w:val="18"/>
          <w:color w:val="231F20"/>
        </w:rPr>
        <w:t>The significant estimates and assumptions that affect the financial statements may include, 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are not limited to, going concern,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incentive units. Actual results and outcomes may differ from management's estimates and assumptions and such differences may be material to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4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Recently issued and adopted accounting pronouncements are described in Note 2 in the unaudited consolidated financial statements </w:t>
      </w:r>
      <w:r>
        <w:rPr>
          <w:rFonts w:ascii="Times New Roman" w:cs="Times New Roman" w:eastAsia="Times New Roman" w:hAnsi="Times New Roman"/>
          <w:sz w:val="18"/>
          <w:szCs w:val="18"/>
          <w:color w:val="000000"/>
        </w:rPr>
        <w:t>included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this Report</w:t>
      </w:r>
      <w:r>
        <w:rPr>
          <w:rFonts w:ascii="Times New Roman" w:cs="Times New Roman" w:eastAsia="Times New Roman" w:hAnsi="Times New Roman"/>
          <w:sz w:val="18"/>
          <w:szCs w:val="18"/>
          <w:color w:val="231F2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President and Co-Chief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President and Co-Chief Executive Officer and Chief Financial Officer have concluded that as of March 31, 2025, our disclosure controls and procedures were, in design and operation, effective at a reasonable assurance level.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(as defined in Rule 13a-15(f) and Rule 15d-15(f) under the Exchange Act) during the quarter ended </w:t>
      </w:r>
      <w:r>
        <w:rPr>
          <w:rFonts w:ascii="Times New Roman" w:cs="Times New Roman" w:eastAsia="Times New Roman" w:hAnsi="Times New Roman"/>
          <w:sz w:val="18"/>
          <w:szCs w:val="18"/>
          <w:color w:val="231F20"/>
        </w:rPr>
        <w:t>March 31, 2025</w:t>
      </w:r>
      <w:r>
        <w:rPr>
          <w:rFonts w:ascii="Times New Roman" w:cs="Times New Roman" w:eastAsia="Times New Roman" w:hAnsi="Times New Roman"/>
          <w:sz w:val="18"/>
          <w:szCs w:val="18"/>
          <w:color w:val="auto"/>
        </w:rPr>
        <w:t xml:space="preserve"> that have materially affected, or are reasonably likely to materially affect, our internal control over financial reporting.</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previously disclosed in Part 1, Item 4, “Controls and Procedures” of our Quarterly Report on Form 10-Q for the quarter ended March 31, 2024 filed with the SEC on May 15,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 We designed and implemented measures to remediate this material weakness and improve our overall internal control environment. As of the of date of this filing we have designed and implemented enhanced management review procedures to validate the compliance of third-party valuation specialist’s assumptions with U.S. GAAP and to evaluate the appropriateness of significant unobservable inputs used to measure fair value. Additionally, we have expanded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6" w:name="page57"/>
    <w:bookmarkEnd w:id="56"/>
    <w:p>
      <w:pPr>
        <w:jc w:val="both"/>
        <w:spacing w:after="0" w:line="329" w:lineRule="auto"/>
        <w:rPr>
          <w:sz w:val="20"/>
          <w:szCs w:val="20"/>
          <w:color w:val="auto"/>
        </w:rPr>
      </w:pPr>
      <w:r>
        <w:rPr>
          <w:rFonts w:ascii="Times New Roman" w:cs="Times New Roman" w:eastAsia="Times New Roman" w:hAnsi="Times New Roman"/>
          <w:sz w:val="18"/>
          <w:szCs w:val="18"/>
          <w:color w:val="auto"/>
        </w:rPr>
        <w:t>enhanced existing documentation to demonstrate the level of precision and procedures performed in our review of work prepared by a third-party valuation specialist. As of the date of this filing, the remedial controls are operating effectively and the material weakness is considered remediated.]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Notes 13 and 18 in our unaudited consolidated financial statements included in this Report.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and other cautionary statements described under the heading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87"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under the Cooperation Agreement, including failing to enter into a commercial agreement with DTR or successfully integrating our platform with DTR’s technology, and may be unable to successfully negotiate the terms to acquire DTR, either of which could adversely affect our business, financial condition and results of operations.</w:t>
      </w:r>
    </w:p>
    <w:p>
      <w:pPr>
        <w:spacing w:after="0" w:line="16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March 19, 2025, we entered into the Cooperation Agreement , pursuant to which, among other things, DTR agreed to provide us with, subject to the negotiation and execution of a definitive commercial agreement, certain exclusive payment processing technology, application programming interfaces, and infrastructure to be integrated into our platform for the enablement of global payments processing services in the jurisdictions where we or our affiliates operate. While we expect to enter into a definitive commercial agreement with DTR in the second quarter of 2025 and integrate our platform with DTR’s technology to establish mutually beneficial stablecoin-based payment services which we expect to launch during the third quarter of 2025, we may be unsuccessful in reaching an agreement regarding a commercial relationship with DTR on terms favorable to us, if at all, and, even if we do reach a commercial agreement, we may be unsuccessful in integrating our platform with DTR’s technology, such integration may take substantially longer than we expect, we may be unsuccessful in obtaining the necessary regulatory approvals, and client and user interest in the expanded platform and potential new offerings thereunder may be less than expected. Such risks may be compounded by Akshay Nehata, who directly or indirectly, wholly owns DTR, serving as our Co-Chief Executive Officer and on the Board.</w:t>
      </w:r>
    </w:p>
    <w:p>
      <w:pPr>
        <w:spacing w:after="0" w:line="20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Additionally, under the Cooperation Agreement, we will negotiate with DTR to establish the terms of the Call Option and the Put Option. While we intend to negotiate such matters in accordance with the terms of the Cooperation Agreement, we may be unsuccessful in such efforts, which may cause us or DTR to seek to modify or terminate the other commercial agreements under the Cooperation Agreement, any of which may be adverse to our prospects, financial condition or results of operations. Further, if we establish the terms of the Put Option, DTR will have the ability to force us to acquire DTR for up to 31.5% of our common stock plus certain convertible or exchangeable securities, which may be highly dilutive to our existing stockholders.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8" w:name="page59"/>
    <w:bookmarkEnd w:id="58"/>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Moreover, if we establish terms of the Call Option and the Put Option, and we acquire DTR or DTR exercises its right for us to acquire DTR, we may not realize the expected benefits of such acquisition. For additional information regarding the risks related to potential acquisitions, see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Factors—Risks Related to Our Business, Finances and Operations— Acquisitions, strategic investments, partnerships, or alliances may be difficult to identify. We may not realize the anticipated benefits of past or future investments, strategic transactions or acquisitions and integration of these acquisitions may pose integration challenges, divert the attention of management, disrupt our business, dilute stockholder value or otherwise adversely affect our business, financial condition and results of operations</w:t>
      </w:r>
      <w:r>
        <w:rPr>
          <w:rFonts w:ascii="Times New Roman" w:cs="Times New Roman" w:eastAsia="Times New Roman" w:hAnsi="Times New Roman"/>
          <w:sz w:val="18"/>
          <w:szCs w:val="18"/>
          <w:color w:val="auto"/>
        </w:rPr>
        <w:t>” in our Form 10-K.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2"/>
          <w:szCs w:val="22"/>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640" w:type="dxa"/>
            <w:vAlign w:val="bottom"/>
            <w:gridSpan w:val="4"/>
            <w:vMerge w:val="restart"/>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40" w:type="dxa"/>
            <w:vAlign w:val="bottom"/>
            <w:tcBorders>
              <w:bottom w:val="single" w:sz="8" w:color="auto"/>
            </w:tcBorders>
            <w:gridSpan w:val="4"/>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640" w:type="dxa"/>
            <w:vAlign w:val="bottom"/>
            <w:gridSpan w:val="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Membership Interest Purchase Agreement, dated as of</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001-39544</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0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March 30, 2023, by and among the Company, Bakkt Marketplace, Apex</w:t>
              </w:r>
            </w:hyperlink>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Fintech Solutions Inc. and Apex Crypto, LLC.</w:t>
              </w:r>
            </w:hyperlink>
          </w:p>
        </w:tc>
        <w:tc>
          <w:tcPr>
            <w:tcW w:w="184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22"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7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Certificate of Incorporation of the Company, as currently in effect</w:t>
              </w:r>
            </w:hyperlink>
          </w:p>
        </w:tc>
        <w:tc>
          <w:tcPr>
            <w:tcW w:w="8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3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By-laws of the Company, as currently in effect</w:t>
              </w:r>
            </w:hyperlink>
          </w:p>
        </w:tc>
        <w:tc>
          <w:tcPr>
            <w:tcW w:w="2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00" w:type="dxa"/>
            <w:vAlign w:val="bottom"/>
            <w:gridSpan w:val="1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Cooperation Agreement, dated March 19, 2025, by and among the Company,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DTR, and Akshay Naheta.</w:t>
              </w:r>
            </w:hyperlink>
          </w:p>
        </w:tc>
        <w:tc>
          <w:tcPr>
            <w:tcW w:w="3640" w:type="dxa"/>
            <w:vAlign w:val="bottom"/>
            <w:tcBorders>
              <w:top w:val="single" w:sz="8" w:color="0000FF"/>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600" w:type="dxa"/>
            <w:vAlign w:val="bottom"/>
            <w:gridSpan w:val="1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Executive Employment Agreement, dated as of March 19, 2025, by and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1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between the Company and Akshay Naheta.</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40" w:type="dxa"/>
            <w:vAlign w:val="bottom"/>
            <w:vMerge w:val="continue"/>
          </w:tcPr>
          <w:p>
            <w:pPr>
              <w:spacing w:after="0"/>
              <w:rPr>
                <w:sz w:val="24"/>
                <w:szCs w:val="24"/>
                <w:color w:val="auto"/>
              </w:rPr>
            </w:pPr>
          </w:p>
        </w:tc>
        <w:tc>
          <w:tcPr>
            <w:tcW w:w="56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Employment Agreement Amendment, dated March 19, 2025, by and between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the Company and Andrew Main.</w:t>
              </w:r>
            </w:hyperlink>
          </w:p>
        </w:tc>
        <w:tc>
          <w:tcPr>
            <w:tcW w:w="3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0" w:type="dxa"/>
            <w:vAlign w:val="bottom"/>
            <w:gridSpan w:val="1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Performance Stock Unit Agreement by and between the Company.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42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and Akshay Naheta.</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vMerge w:val="continue"/>
          </w:tcPr>
          <w:p>
            <w:pPr>
              <w:spacing w:after="0"/>
              <w:rPr>
                <w:sz w:val="24"/>
                <w:szCs w:val="24"/>
                <w:color w:val="auto"/>
              </w:rPr>
            </w:pPr>
          </w:p>
        </w:tc>
        <w:tc>
          <w:tcPr>
            <w:tcW w:w="5600" w:type="dxa"/>
            <w:vAlign w:val="bottom"/>
            <w:gridSpan w:val="14"/>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Restricted Stock Unit Agreement by and between the Company and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50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Akshay Naheta.</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140" w:type="dxa"/>
            <w:vAlign w:val="bottom"/>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vMerge w:val="continue"/>
          </w:tcPr>
          <w:p>
            <w:pPr>
              <w:spacing w:after="0"/>
              <w:rPr>
                <w:sz w:val="24"/>
                <w:szCs w:val="24"/>
                <w:color w:val="auto"/>
              </w:rPr>
            </w:pP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6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4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333-280724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July 9, 2024</w:t>
            </w:r>
          </w:p>
        </w:tc>
      </w:tr>
      <w:tr>
        <w:trPr>
          <w:trHeight w:val="418"/>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October 21, 2021</w:t>
            </w:r>
          </w:p>
        </w:tc>
      </w:tr>
      <w:tr>
        <w:trPr>
          <w:trHeight w:val="418"/>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634"/>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635"/>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486"/>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333-286645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April 18, 2025</w:t>
            </w:r>
          </w:p>
        </w:tc>
      </w:tr>
      <w:tr>
        <w:trPr>
          <w:trHeight w:val="648"/>
        </w:trPr>
        <w:tc>
          <w:tcPr>
            <w:tcW w:w="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333-286645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April 18, 2025</w:t>
            </w:r>
          </w:p>
        </w:tc>
      </w:tr>
    </w:tbl>
    <w:p>
      <w:pPr>
        <w:spacing w:after="0" w:line="1264" w:lineRule="exact"/>
        <w:rPr>
          <w:sz w:val="20"/>
          <w:szCs w:val="20"/>
          <w:color w:val="auto"/>
        </w:rPr>
      </w:pPr>
    </w:p>
    <w:p>
      <w:pPr>
        <w:sectPr>
          <w:pgSz w:w="11900" w:h="16838" w:orient="portrait"/>
          <w:cols w:equalWidth="0" w:num="2">
            <w:col w:w="6860" w:space="240"/>
            <w:col w:w="4140"/>
          </w:cols>
          <w:pgMar w:left="320" w:top="102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ind w:right="438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35" w:lineRule="exact"/>
        <w:rPr>
          <w:sz w:val="20"/>
          <w:szCs w:val="20"/>
          <w:color w:val="auto"/>
        </w:rPr>
      </w:pPr>
    </w:p>
    <w:p>
      <w:pPr>
        <w:ind w:right="466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135" w:lineRule="exact"/>
        <w:rPr>
          <w:sz w:val="20"/>
          <w:szCs w:val="20"/>
          <w:color w:val="auto"/>
        </w:rPr>
      </w:pPr>
    </w:p>
    <w:p>
      <w:pPr>
        <w:ind w:right="47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35" w:lineRule="exact"/>
        <w:rPr>
          <w:sz w:val="20"/>
          <w:szCs w:val="20"/>
          <w:color w:val="auto"/>
        </w:rPr>
      </w:pPr>
    </w:p>
    <w:p>
      <w:pPr>
        <w:jc w:val="both"/>
        <w:ind w:right="446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0" w:lineRule="exact"/>
        <w:rPr>
          <w:sz w:val="20"/>
          <w:szCs w:val="20"/>
          <w:color w:val="auto"/>
        </w:rPr>
      </w:pPr>
    </w:p>
    <w:p>
      <w:pPr>
        <w:sectPr>
          <w:pgSz w:w="11900" w:h="16838" w:orient="portrait"/>
          <w:cols w:equalWidth="0" w:num="2">
            <w:col w:w="800" w:space="460"/>
            <w:col w:w="9980"/>
          </w:cols>
          <w:pgMar w:left="320" w:top="10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5" w:lineRule="exact"/>
        <w:rPr>
          <w:sz w:val="20"/>
          <w:szCs w:val="20"/>
          <w:color w:val="auto"/>
        </w:rPr>
      </w:pPr>
    </w:p>
    <w:p>
      <w:pPr>
        <w:ind w:right="4400"/>
        <w:spacing w:after="0" w:line="282"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1080" w:right="339" w:bottom="1440" w:gutter="0" w:footer="0" w:header="0"/>
        </w:sectPr>
      </w:pPr>
    </w:p>
    <w:p>
      <w:pPr>
        <w:spacing w:after="0" w:line="1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0" w:lineRule="exact"/>
        <w:rPr>
          <w:sz w:val="20"/>
          <w:szCs w:val="20"/>
          <w:color w:val="auto"/>
        </w:rPr>
      </w:pPr>
    </w:p>
    <w:p>
      <w:pPr>
        <w:ind w:left="440" w:hanging="432"/>
        <w:spacing w:after="0" w:line="305" w:lineRule="auto"/>
        <w:tabs>
          <w:tab w:leader="none" w:pos="2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4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Main</w:t>
            </w:r>
          </w:p>
        </w:tc>
      </w:tr>
      <w:tr>
        <w:trPr>
          <w:trHeight w:val="218"/>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Main</w:t>
            </w:r>
          </w:p>
        </w:tc>
      </w:tr>
      <w:tr>
        <w:trPr>
          <w:trHeight w:val="189"/>
        </w:trPr>
        <w:tc>
          <w:tcPr>
            <w:tcW w:w="3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Co-Chief Executive Officer, President and Director</w:t>
            </w:r>
          </w:p>
        </w:tc>
      </w:tr>
      <w:tr>
        <w:trPr>
          <w:trHeight w:val="234"/>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Karen Alexander</w:t>
            </w:r>
          </w:p>
        </w:tc>
      </w:tr>
      <w:tr>
        <w:trPr>
          <w:trHeight w:val="218"/>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r>
      <w:tr>
        <w:trPr>
          <w:trHeight w:val="189"/>
        </w:trPr>
        <w:tc>
          <w:tcPr>
            <w:tcW w:w="3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4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Henderson</w:t>
            </w:r>
          </w:p>
        </w:tc>
      </w:tr>
      <w:tr>
        <w:trPr>
          <w:trHeight w:val="228"/>
        </w:trPr>
        <w:tc>
          <w:tcPr>
            <w:tcW w:w="3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Henderson</w:t>
            </w:r>
          </w:p>
        </w:tc>
      </w:tr>
    </w:tbl>
    <w:p>
      <w:pPr>
        <w:jc w:val="center"/>
        <w:ind w:left="5520"/>
        <w:spacing w:after="0" w:line="231"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5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080" w:right="339" w:bottom="1440" w:gutter="0" w:footer="0" w:header="0"/>
          <w:type w:val="continuous"/>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Main, certify that:</w:t>
      </w:r>
    </w:p>
    <w:p>
      <w:pPr>
        <w:spacing w:after="0" w:line="77"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4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2" w:name="page63"/>
    <w:bookmarkEnd w:id="6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March 31, 2025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Andrew Main,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March 31, 2025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4"/>
      <w:numFmt w:val="bullet"/>
      <w:start w:val="1"/>
    </w:lvl>
  </w:abstractNum>
  <w:abstractNum w:abstractNumId="17">
    <w:nsid w:val="6763845E"/>
    <w:multiLevelType w:val="hybridMultilevel"/>
    <w:lvl w:ilvl="0">
      <w:lvlJc w:val="left"/>
      <w:lvlText w:val="5"/>
      <w:numFmt w:val="bullet"/>
      <w:start w:val="1"/>
    </w:lvl>
  </w:abstractNum>
  <w:abstractNum w:abstractNumId="18">
    <w:nsid w:val="75A2A8D4"/>
    <w:multiLevelType w:val="hybridMultilevel"/>
    <w:lvl w:ilvl="0">
      <w:lvlJc w:val="left"/>
      <w:lvlText w:val="6"/>
      <w:numFmt w:val="bullet"/>
      <w:start w:val="1"/>
    </w:lvl>
  </w:abstractNum>
  <w:abstractNum w:abstractNumId="19">
    <w:nsid w:val="8EDBDAB"/>
    <w:multiLevelType w:val="hybridMultilevel"/>
    <w:lvl w:ilvl="0">
      <w:lvlJc w:val="left"/>
      <w:lvlText w:val="%1."/>
      <w:numFmt w:val="decimal"/>
      <w:start w:val="18"/>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92" Type="http://schemas.openxmlformats.org/officeDocument/2006/relationships/hyperlink" Target="https://www.sec.gov/Archives/edgar/data/1820302/000119312523089016/d482123dex22.htm" TargetMode="External"/><Relationship Id="rId93" Type="http://schemas.openxmlformats.org/officeDocument/2006/relationships/hyperlink" Target="https://www.sec.gov/Archives/edgar/data/1820302/000119312524176416/d133420dex41.htm" TargetMode="External"/><Relationship Id="rId94" Type="http://schemas.openxmlformats.org/officeDocument/2006/relationships/hyperlink" Target="https://www.sec.gov/Archives/edgar/data/0001820302/000119312521303985/d219325dex32.htm" TargetMode="External"/><Relationship Id="rId95" Type="http://schemas.openxmlformats.org/officeDocument/2006/relationships/hyperlink" Target="https://www.sec.gov/Archives/edgar/data/1820302/000162828025013959/ex1032coopagree.htm" TargetMode="External"/><Relationship Id="rId96" Type="http://schemas.openxmlformats.org/officeDocument/2006/relationships/hyperlink" Target="https://www.sec.gov/Archives/edgar/data/1820302/000162828025013959/ex1033empagreenew.htm" TargetMode="External"/><Relationship Id="rId97" Type="http://schemas.openxmlformats.org/officeDocument/2006/relationships/hyperlink" Target="https://www.sec.gov/Archives/edgar/data/1820302/000162828025013959/ex1034empagreeam.htm" TargetMode="External"/><Relationship Id="rId98" Type="http://schemas.openxmlformats.org/officeDocument/2006/relationships/hyperlink" Target="https://www.sec.gov/Archives/edgar/data/1820302/000119312525085820/d930118dex44.htm" TargetMode="External"/><Relationship Id="rId99" Type="http://schemas.openxmlformats.org/officeDocument/2006/relationships/hyperlink" Target="https://www.sec.gov/Archives/edgar/data/1820302/000119312525085820/d93011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2025-05-12T16:08:32Z</dcterms:created>
  <dcterms:modified xsi:type="dcterms:W3CDTF">2025-05-12T16:08:32Z</dcterms:modified>
</cp:coreProperties>
</file>