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2"/>
          <w:szCs w:val="32"/>
          <w:b w:val="1"/>
          <w:bCs w:val="1"/>
          <w:color w:val="auto"/>
        </w:rPr>
        <w:t>BAKKT HOLDINGS,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217170</wp:posOffset>
            </wp:positionV>
            <wp:extent cx="120015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September 9,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13"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You are cordially invited to attend a special meeting (together with any adjournment, postponement or other delay thereof,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of the stockholders of Bakkt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which will be held virtually via live webcast at 1:00 p.m. Eastern Time on October 7, 2025, at www.virtualshareholdermeeting.com/BKKT2025SM2.</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Notice of Special Meeting and proxy statement accompanying this letter provide an outline of the business to be conducted at the meeting.</w:t>
      </w:r>
    </w:p>
    <w:p>
      <w:pPr>
        <w:spacing w:after="0" w:line="2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The principal catalyst for calling this Special Meeting is to request approval of a one-time grant of options (the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to select members of management to purchase up to 7,450,000 shares of the Company’s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which would further align management’s interests with our stockholders’ interests to support long-term value creation.</w:t>
      </w:r>
    </w:p>
    <w:p>
      <w:pPr>
        <w:spacing w:after="0" w:line="171"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Common Stock that you own. </w:t>
      </w:r>
      <w:r>
        <w:rPr>
          <w:rFonts w:ascii="Times New Roman" w:cs="Times New Roman" w:eastAsia="Times New Roman" w:hAnsi="Times New Roman"/>
          <w:sz w:val="18"/>
          <w:szCs w:val="18"/>
          <w:color w:val="auto"/>
        </w:rPr>
        <w:t>Whether or not you expect to attend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please vote your shares by internet, by telephone, or by signing, dating and returning the accompanying proxy card in the enclosed postage-paid envelope so that your shares may be represented at the Special Meeting. Returning your proxy card or voting electronically does not deprive you of your right to attend the Special Meeting and to vote your shares at the Special Meeting.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Thank you for your cooperation and continued support.</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Sean Collins</w:t>
      </w:r>
    </w:p>
    <w:p>
      <w:pPr>
        <w:spacing w:after="0" w:line="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September 9, 2025</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217170</wp:posOffset>
            </wp:positionV>
            <wp:extent cx="120015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September 9, 2025</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 be held on October 7,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Bakkt Holdings, Inc.:</w:t>
      </w:r>
    </w:p>
    <w:p>
      <w:pPr>
        <w:spacing w:after="0" w:line="113" w:lineRule="exact"/>
        <w:rPr>
          <w:sz w:val="20"/>
          <w:szCs w:val="20"/>
          <w:color w:val="auto"/>
        </w:rPr>
      </w:pPr>
    </w:p>
    <w:p>
      <w:pPr>
        <w:ind w:left="120" w:right="180" w:firstLine="440"/>
        <w:spacing w:after="0" w:line="291" w:lineRule="auto"/>
        <w:rPr>
          <w:sz w:val="20"/>
          <w:szCs w:val="20"/>
          <w:color w:val="auto"/>
        </w:rPr>
      </w:pPr>
      <w:r>
        <w:rPr>
          <w:rFonts w:ascii="Times New Roman" w:cs="Times New Roman" w:eastAsia="Times New Roman" w:hAnsi="Times New Roman"/>
          <w:sz w:val="17"/>
          <w:szCs w:val="17"/>
          <w:color w:val="auto"/>
        </w:rPr>
        <w:t>NOTICE IS HEREBY GIVEN that a special meeting (together with any adjournment, postponement or other delay thereof, the “</w:t>
      </w:r>
      <w:r>
        <w:rPr>
          <w:rFonts w:ascii="Times New Roman" w:cs="Times New Roman" w:eastAsia="Times New Roman" w:hAnsi="Times New Roman"/>
          <w:sz w:val="17"/>
          <w:szCs w:val="17"/>
          <w:b w:val="1"/>
          <w:bCs w:val="1"/>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Meeting</w:t>
      </w:r>
      <w:r>
        <w:rPr>
          <w:rFonts w:ascii="Times New Roman" w:cs="Times New Roman" w:eastAsia="Times New Roman" w:hAnsi="Times New Roman"/>
          <w:sz w:val="17"/>
          <w:szCs w:val="17"/>
          <w:color w:val="auto"/>
        </w:rPr>
        <w:t>”) of the stockholders of Bakkt Holdings,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Bakkt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our</w:t>
      </w:r>
      <w:r>
        <w:rPr>
          <w:rFonts w:ascii="Times New Roman" w:cs="Times New Roman" w:eastAsia="Times New Roman" w:hAnsi="Times New Roman"/>
          <w:sz w:val="17"/>
          <w:szCs w:val="17"/>
          <w:color w:val="auto"/>
        </w:rPr>
        <w:t>”), will be held virtually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via live webcast at 1:00 p.m. Eastern Time on October 7, 2025, at www.virtualshareholdermeeting.com/BKKT2025SM2 for the following purposes:</w:t>
      </w:r>
    </w:p>
    <w:p>
      <w:pPr>
        <w:spacing w:after="0" w:line="180" w:lineRule="exact"/>
        <w:rPr>
          <w:sz w:val="20"/>
          <w:szCs w:val="20"/>
          <w:color w:val="auto"/>
        </w:rPr>
      </w:pPr>
    </w:p>
    <w:p>
      <w:pPr>
        <w:jc w:val="both"/>
        <w:ind w:left="1080" w:right="180" w:hanging="424"/>
        <w:spacing w:after="0" w:line="26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 Approval of the Options Proposal</w:t>
      </w:r>
      <w:r>
        <w:rPr>
          <w:rFonts w:ascii="Times New Roman" w:cs="Times New Roman" w:eastAsia="Times New Roman" w:hAnsi="Times New Roman"/>
          <w:sz w:val="18"/>
          <w:szCs w:val="18"/>
          <w:color w:val="auto"/>
        </w:rPr>
        <w:t>. To consider and vote upon a proposal to approve the one-time grant of Options to select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of management to purchase up to 7,450,000 shares of Class A Common Stock (such proposal, the “</w:t>
      </w:r>
      <w:r>
        <w:rPr>
          <w:rFonts w:ascii="Times New Roman" w:cs="Times New Roman" w:eastAsia="Times New Roman" w:hAnsi="Times New Roman"/>
          <w:sz w:val="18"/>
          <w:szCs w:val="18"/>
          <w:b w:val="1"/>
          <w:bCs w:val="1"/>
          <w:i w:val="1"/>
          <w:iCs w:val="1"/>
          <w:color w:val="auto"/>
        </w:rPr>
        <w:t>Options Proposal</w:t>
      </w:r>
      <w:r>
        <w:rPr>
          <w:rFonts w:ascii="Times New Roman" w:cs="Times New Roman" w:eastAsia="Times New Roman" w:hAnsi="Times New Roman"/>
          <w:sz w:val="18"/>
          <w:szCs w:val="18"/>
          <w:color w:val="auto"/>
        </w:rPr>
        <w:t>”), which would further align management’s interests with our stockholders’ interests to support long-term value creation; and</w:t>
      </w:r>
    </w:p>
    <w:p>
      <w:pPr>
        <w:spacing w:after="0" w:line="76" w:lineRule="exact"/>
        <w:rPr>
          <w:rFonts w:ascii="Times New Roman" w:cs="Times New Roman" w:eastAsia="Times New Roman" w:hAnsi="Times New Roman"/>
          <w:sz w:val="18"/>
          <w:szCs w:val="18"/>
          <w:color w:val="auto"/>
        </w:rPr>
      </w:pPr>
    </w:p>
    <w:p>
      <w:pPr>
        <w:jc w:val="both"/>
        <w:ind w:left="1080" w:right="120" w:hanging="424"/>
        <w:spacing w:after="0" w:line="26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 Approval of the Adjournment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consider and vote upon a proposal for an adjournment of the Special Meeting,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or appropriate in the view of our Board, including but not limited to solicit additional proxies if there are not sufficient votes at the time of the Special Meeting to approve the Options Proposal (such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b w:val="1"/>
          <w:bCs w:val="1"/>
          <w:color w:val="auto"/>
        </w:rPr>
        <w:t>”) unanimously recommends that the stockholders vote “FOR” each of the Options Proposal and the Adjournment Proposal.</w:t>
      </w:r>
    </w:p>
    <w:p>
      <w:pPr>
        <w:spacing w:after="0" w:line="15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Board has fixed the close of business on September 3, 2025 as the record date for determining stockholders entitled to notice of and to vote at the Special Meeting. Therefore, each outstanding share of Common Stock entitles the holder of record of such share at the close of business on September 3, 2025 to receive notice of, and to vote at, the Special Meeting.</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accompanying proxy is solicited by the Board and the accompanying proxy statement provides a detailed description of the Options Proposal and the Adjournment Proposal. We urge you to read the accompanying proxy statement, including any annexes.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stockholders as of the record date, or their duly appointed proxies, may virtually attend the Special Meeting.</w:t>
      </w:r>
    </w:p>
    <w:p>
      <w:pPr>
        <w:spacing w:after="0" w:line="221"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color w:val="auto"/>
        </w:rPr>
        <w:t xml:space="preserve">Enclosed are our proxy statement and a proxy card. </w:t>
      </w:r>
      <w:r>
        <w:rPr>
          <w:rFonts w:ascii="Times New Roman" w:cs="Times New Roman" w:eastAsia="Times New Roman" w:hAnsi="Times New Roman"/>
          <w:sz w:val="17"/>
          <w:szCs w:val="17"/>
          <w:b w:val="1"/>
          <w:bCs w:val="1"/>
          <w:color w:val="auto"/>
        </w:rPr>
        <w:t>Your vote is very important</w:t>
      </w:r>
      <w:r>
        <w:rPr>
          <w:rFonts w:ascii="Times New Roman" w:cs="Times New Roman" w:eastAsia="Times New Roman" w:hAnsi="Times New Roman"/>
          <w:sz w:val="17"/>
          <w:szCs w:val="17"/>
          <w:color w:val="auto"/>
        </w:rPr>
        <w:t>. Whether or not you expect to attend the Special Meeting, we urge you to vote your shares by internet, telephone, or by signing, dating and returning the proxy card included in these materials as promptly as possible to ensure your representation at the Special Meeting. If you choose to attend the Special Meeting, you may still vote your shares virtually at the Special Meeting, even if you have previously voted or returned your proxy by any of the methods described in our proxy statement. If your shares are held in street name in a bank or brokerage account, please refer to the materials provided by your bank, broker or other nominee for voting instructions.</w:t>
      </w:r>
    </w:p>
    <w:p>
      <w:pPr>
        <w:spacing w:after="0" w:line="19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Sean Collins</w:t>
      </w:r>
    </w:p>
    <w:p>
      <w:pPr>
        <w:spacing w:after="0" w:line="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-127635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September 9, 2025</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80" w:type="dxa"/>
            <w:vAlign w:val="bottom"/>
            <w:gridSpan w:val="2"/>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5780" w:type="dxa"/>
            <w:vAlign w:val="bottom"/>
            <w:tcBorders>
              <w:bottom w:val="single" w:sz="8" w:color="0000EE"/>
            </w:tcBorders>
            <w:gridSpan w:val="10"/>
            <w:vMerge w:val="continue"/>
          </w:tcPr>
          <w:p>
            <w:pPr>
              <w:spacing w:after="0"/>
              <w:rPr>
                <w:sz w:val="14"/>
                <w:szCs w:val="14"/>
                <w:color w:val="auto"/>
              </w:rPr>
            </w:pPr>
          </w:p>
        </w:tc>
        <w:tc>
          <w:tcPr>
            <w:tcW w:w="4880" w:type="dxa"/>
            <w:vAlign w:val="bottom"/>
            <w:gridSpan w:val="2"/>
            <w:vMerge w:val="continue"/>
          </w:tcPr>
          <w:p>
            <w:pPr>
              <w:spacing w:after="0"/>
              <w:rPr>
                <w:sz w:val="14"/>
                <w:szCs w:val="14"/>
                <w:color w:val="auto"/>
              </w:rPr>
            </w:pPr>
          </w:p>
        </w:tc>
        <w:tc>
          <w:tcPr>
            <w:tcW w:w="3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76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THE PROXY MATERIALS AND OUR SPECIAL MEETING</w:t>
            </w:r>
          </w:p>
        </w:tc>
        <w:tc>
          <w:tcPr>
            <w:tcW w:w="30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3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PROPOSAL 1—THE OPTIONS PROPOSAL</w:t>
            </w:r>
          </w:p>
        </w:tc>
        <w:tc>
          <w:tcPr>
            <w:tcW w:w="7300" w:type="dxa"/>
            <w:vAlign w:val="bottom"/>
            <w:gridSpan w:val="6"/>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PROPOSAL 2—THE ADJOURNMENT PROPOSAL</w:t>
            </w:r>
          </w:p>
        </w:tc>
        <w:tc>
          <w:tcPr>
            <w:tcW w:w="6720" w:type="dxa"/>
            <w:vAlign w:val="bottom"/>
            <w:gridSpan w:val="4"/>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GENERAL MATTERS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Stockholders Sharing an Address / Household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0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Stockholder Proposals and Nominations for the 2026 Annual Meeting</w:t>
            </w:r>
          </w:p>
        </w:tc>
        <w:tc>
          <w:tcPr>
            <w:tcW w:w="5260" w:type="dxa"/>
            <w:vAlign w:val="bottom"/>
            <w:gridSpan w:val="3"/>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Availability of By-Laws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103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28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7440" w:type="dxa"/>
            <w:vAlign w:val="bottom"/>
            <w:gridSpan w:val="7"/>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proxy statement and related materials refer to Bakkt Holdings, Inc. and its subsidiaries.</w:t>
      </w:r>
    </w:p>
    <w:p>
      <w:pPr>
        <w:spacing w:after="0" w:line="16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proxy statement may include, for example, statements about the potential impacts, benefits and risks associated with the Options Proposal. These forward-looking statements are based on information available as of the date of this proxy statement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execute on the commercial agreement with Distributed Technologies Research Global Ltd. (“</w:t>
      </w:r>
      <w:r>
        <w:rPr>
          <w:rFonts w:ascii="Times New Roman" w:cs="Times New Roman" w:eastAsia="Times New Roman" w:hAnsi="Times New Roman"/>
          <w:sz w:val="18"/>
          <w:szCs w:val="18"/>
          <w:b w:val="1"/>
          <w:bCs w:val="1"/>
          <w:i w:val="1"/>
          <w:iCs w:val="1"/>
          <w:color w:val="auto"/>
        </w:rPr>
        <w:t>DTR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successfully integrate our operations with those of DTR, including its infrastructure, and achieve the expected benefits therefrom;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crypto currencies and digital stablecoin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26" w:lineRule="exact"/>
        <w:rPr>
          <w:rFonts w:ascii="Times New Roman" w:cs="Times New Roman" w:eastAsia="Times New Roman" w:hAnsi="Times New Roman"/>
          <w:sz w:val="18"/>
          <w:szCs w:val="18"/>
          <w:color w:val="auto"/>
        </w:rPr>
      </w:pPr>
    </w:p>
    <w:p>
      <w:pPr>
        <w:ind w:left="1080" w:right="340" w:hanging="424"/>
        <w:spacing w:after="0" w:line="28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our updated investment policy (“</w:t>
      </w:r>
      <w:r>
        <w:rPr>
          <w:rFonts w:ascii="Times New Roman" w:cs="Times New Roman" w:eastAsia="Times New Roman" w:hAnsi="Times New Roman"/>
          <w:sz w:val="18"/>
          <w:szCs w:val="18"/>
          <w:b w:val="1"/>
          <w:bCs w:val="1"/>
          <w:i w:val="1"/>
          <w:iCs w:val="1"/>
          <w:color w:val="auto"/>
        </w:rPr>
        <w:t>Investment Policy</w:t>
      </w:r>
      <w:r>
        <w:rPr>
          <w:rFonts w:ascii="Times New Roman" w:cs="Times New Roman" w:eastAsia="Times New Roman" w:hAnsi="Times New Roman"/>
          <w:sz w:val="18"/>
          <w:szCs w:val="18"/>
          <w:color w:val="auto"/>
        </w:rPr>
        <w:t>”) and related treasury strategy, including our ability to successfully consummate acquisitions, integrate or manage investments in potential acquisition targets, including MarushoHotta Co.;</w:t>
      </w:r>
    </w:p>
    <w:p>
      <w:pPr>
        <w:spacing w:after="0" w:line="6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may be required to account for our digital assets at fair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pursuant to our strategy;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fair value gains on our digital asset holdings subjecting us to the corporate alternative minimum tax;</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Investment Policy and related treasury strategy;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expected digital asset holdings relative to non-digital assets;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 form and decentralized network;</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our digital assets;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our digital assets as a result of the insolvency of the custodian, theft by employees or insiders of the custodian or if the custodian’s security measures are comprised, including as a result of a cyber-attack;</w:t>
      </w:r>
    </w:p>
    <w:p>
      <w:pPr>
        <w:spacing w:after="0" w:line="85"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Investment Policy and related treasury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its expected commercial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evolving regulatory regime governing blockchain technologies, stablecoins, digital payments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our filings with the SEC, including our most recent Annual Report on Form 10-K for the year ended December 31, 2024, our quarterly report on Form 10-Q for the quarter ended March 31, 2025, the risks regarding the Company’s adoption of our Investment Policy set forth in Exhibit 99.1 to our Current Report on Form 8-K filed with the U.S. Securities and Exchange Commission on June 10, 2025 and our quarterly report on Form 10-Q for the quarter ended June 30, 2025.</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September 9, 2025</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 FOR SPECIAL MEETING OF STOCKHOLDERS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On October 7, 2025, at 1:00 p.m. Eastern Time</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Virtually by Live Webcast at: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www.virtualshareholdermeeting.com/BKKT2025SM2</w:t>
      </w:r>
    </w:p>
    <w:p>
      <w:pPr>
        <w:spacing w:after="0" w:line="20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SPECIAL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1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Bakkt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is providing these proxy materials to you in connection with the Board’s solicitation of proxies for use at Bakkt’s Special Meeting of Stockholders to be held on October 7, 2025, at 1:00 p.m. Eastern Time (together with any adjournment, postponement or other delay thereof,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for the purpose of considering and acting upon the matters set forth in this proxy statement. These proxy materials are being distributed to you beginning on September 9, 2025. As a stockholder, you are invited to attend the Special Meeting and are requested to vote on the proposals described in this proxy statement.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proposals to be voted on at the Special Meeting are:</w:t>
      </w:r>
    </w:p>
    <w:p>
      <w:pPr>
        <w:spacing w:after="0" w:line="12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1: Approval of the Options Proposal</w:t>
      </w:r>
      <w:r>
        <w:rPr>
          <w:rFonts w:ascii="Times New Roman" w:cs="Times New Roman" w:eastAsia="Times New Roman" w:hAnsi="Times New Roman"/>
          <w:sz w:val="18"/>
          <w:szCs w:val="18"/>
          <w:color w:val="auto"/>
        </w:rPr>
        <w:t>. To consider and vote upon a proposal to approve the one-time grant of options (the</w:t>
      </w:r>
    </w:p>
    <w:p>
      <w:pPr>
        <w:spacing w:after="0" w:line="31" w:lineRule="exact"/>
        <w:rPr>
          <w:rFonts w:ascii="Times New Roman" w:cs="Times New Roman" w:eastAsia="Times New Roman" w:hAnsi="Times New Roman"/>
          <w:sz w:val="18"/>
          <w:szCs w:val="18"/>
          <w:color w:val="auto"/>
        </w:rPr>
      </w:pPr>
    </w:p>
    <w:p>
      <w:pPr>
        <w:ind w:left="1080" w:right="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Options</w:t>
      </w:r>
      <w:r>
        <w:rPr>
          <w:rFonts w:ascii="Times New Roman" w:cs="Times New Roman" w:eastAsia="Times New Roman" w:hAnsi="Times New Roman"/>
          <w:sz w:val="17"/>
          <w:szCs w:val="17"/>
          <w:color w:val="auto"/>
        </w:rPr>
        <w:t>”) to select members of management to purchase up to 7,450,000 shares of Class A Common Stock (such proposal, the “</w:t>
      </w:r>
      <w:r>
        <w:rPr>
          <w:rFonts w:ascii="Times New Roman" w:cs="Times New Roman" w:eastAsia="Times New Roman" w:hAnsi="Times New Roman"/>
          <w:sz w:val="17"/>
          <w:szCs w:val="17"/>
          <w:b w:val="1"/>
          <w:bCs w:val="1"/>
          <w:i w:val="1"/>
          <w:iCs w:val="1"/>
          <w:color w:val="auto"/>
        </w:rPr>
        <w:t>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Proposal</w:t>
      </w:r>
      <w:r>
        <w:rPr>
          <w:rFonts w:ascii="Times New Roman" w:cs="Times New Roman" w:eastAsia="Times New Roman" w:hAnsi="Times New Roman"/>
          <w:sz w:val="17"/>
          <w:szCs w:val="17"/>
          <w:color w:val="auto"/>
        </w:rPr>
        <w:t>”), which would further align management’s interests with our stockholders’ interests to support long-term value creation; and</w:t>
      </w:r>
    </w:p>
    <w:p>
      <w:pPr>
        <w:spacing w:after="0" w:line="58" w:lineRule="exact"/>
        <w:rPr>
          <w:rFonts w:ascii="Times New Roman" w:cs="Times New Roman" w:eastAsia="Times New Roman" w:hAnsi="Times New Roman"/>
          <w:sz w:val="18"/>
          <w:szCs w:val="18"/>
          <w:color w:val="auto"/>
        </w:rPr>
      </w:pPr>
    </w:p>
    <w:p>
      <w:pPr>
        <w:jc w:val="both"/>
        <w:ind w:left="1080" w:right="120" w:hanging="424"/>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 Approval of the Adjournment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consider and vote upon a proposal for an adjournment of the Special Meeting,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or appropriate in the view of our Board, including but not limited to solicit additional proxies if there are not sufficient votes at the time of the Special Meeting to approve the Options Proposal (such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Holders of the Class A Common Stock and the Company’s Class V common stock, par value $0.0001 per share (“</w:t>
      </w:r>
      <w:r>
        <w:rPr>
          <w:rFonts w:ascii="Times New Roman" w:cs="Times New Roman" w:eastAsia="Times New Roman" w:hAnsi="Times New Roman"/>
          <w:sz w:val="18"/>
          <w:szCs w:val="18"/>
          <w:b w:val="1"/>
          <w:bCs w:val="1"/>
          <w:i w:val="1"/>
          <w:iCs w:val="1"/>
          <w:color w:val="auto"/>
        </w:rPr>
        <w:t>Class V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will not be entitled to appraisal, dissenters’ or similar rights in connection with these proposals.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unanimously recommends a vote:</w:t>
      </w:r>
    </w:p>
    <w:p>
      <w:pPr>
        <w:spacing w:after="0" w:line="12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Options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 —by submitting your voting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instructions online, by telephone, or via a physical proxy card. We have designated our Chief Executive Officer, Akshay Naheta, our Chief Financial Officer, Karen Alexander, and our General Counsel and Secretary, Marc D’Annunzio, to serve as proxies for the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Company seeking approval of the Options Proposal?</w:t>
      </w:r>
    </w:p>
    <w:p>
      <w:pPr>
        <w:spacing w:after="0" w:line="117"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Members of the Company’s management and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determined that it was in the best interests of the Company and its stockholders for certain members of management to commit to invest in the Company and strengthen alignment with the Company’s stockholders through stock ownership.</w:t>
      </w:r>
    </w:p>
    <w:p>
      <w:pPr>
        <w:spacing w:after="0" w:line="17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Board and Compensation Committee believes that this focused approach to obtaining further investment by members of management in the Company and furthering alignment with stockholders is in the best interests of the Company and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consequences if the Options Proposal is not approved?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is unable to obtain approval of this Options Proposal, the Options will be null and void.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 and accompanying proxy card, or for shares held in street name (held for your account by a broker or other nominee), voting instruction form, are scheduled to be first sent to stockholders beginning on or about September 9,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record date for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has fixed the record date for the Special Meeting as of the close of business on September 3,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shares can I vote?</w:t>
      </w:r>
    </w:p>
    <w:p>
      <w:pPr>
        <w:spacing w:after="0" w:line="121"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Each share of our Class A Common Stock issued and outstanding as of the close of business on September 3, 2025, the record date for the Special Meeting, is entitled to vote on all items being considered at the Special Meeting. You may vote all shares owned by you as of the record date, including</w:t>
      </w:r>
    </w:p>
    <w:p>
      <w:pPr>
        <w:spacing w:after="0" w:line="1" w:lineRule="exact"/>
        <w:rPr>
          <w:sz w:val="20"/>
          <w:szCs w:val="20"/>
          <w:color w:val="auto"/>
        </w:rPr>
      </w:pPr>
    </w:p>
    <w:p>
      <w:pPr>
        <w:ind w:left="120" w:right="280" w:hanging="4"/>
        <w:spacing w:after="0" w:line="255"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directly in your name as the stockholder of record and (ii) shares you own through an account with a broker, bank, trustee, or other intermediary, sometimes referred to as owning in “street name.” On the record date, we had 15,934,137 shares of Class A Common Stock issued and outstanding and 7,177,076 shares of Class V Common Stock issued and outstanding.</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am I entitled to per share?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all matters described in this proxy statement for which your vote is being solicited, each holder of a share of Common Stock is entitled to one vote for such share of Common Stock held by such holder as of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41" w:lineRule="exact"/>
        <w:rPr>
          <w:sz w:val="20"/>
          <w:szCs w:val="20"/>
          <w:color w:val="auto"/>
        </w:rPr>
      </w:pPr>
    </w:p>
    <w:p>
      <w:pPr>
        <w:ind w:left="1080" w:right="540" w:hanging="424"/>
        <w:spacing w:after="0" w:line="28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your shares are registered directly in your name with our transfer agent, Equiniti Trust Company, you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considered the stockholder of record with respect to those shares, and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the proxy materials were sent directly to you by our mailing agent. As the stockholder of record, you have the right to grant your voting proxy directly to our designated proxies at the Special Meeting. You may vote online or by telephone as described below under the heading “How can I vote my shares without attending the Special Meeting?” You may also vote by mail by following the instructions on your proxy card.</w:t>
      </w:r>
    </w:p>
    <w:p>
      <w:pPr>
        <w:spacing w:after="0" w:line="81" w:lineRule="exact"/>
        <w:rPr>
          <w:sz w:val="20"/>
          <w:szCs w:val="20"/>
          <w:color w:val="auto"/>
        </w:rPr>
      </w:pPr>
    </w:p>
    <w:p>
      <w:pPr>
        <w:ind w:left="1080" w:right="40" w:hanging="424"/>
        <w:spacing w:after="0" w:line="26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 </w:t>
      </w:r>
      <w:r>
        <w:rPr>
          <w:rFonts w:ascii="Times New Roman" w:cs="Times New Roman" w:eastAsia="Times New Roman" w:hAnsi="Times New Roman"/>
          <w:sz w:val="18"/>
          <w:szCs w:val="18"/>
          <w:color w:val="auto"/>
        </w:rPr>
        <w:t>If your shares are held in a brokerage account or by another intermediary, you are considered the beneficial owner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held in street name, and the proxy materials were forwarded to you by your broker, bank, trustee, or other nominee. As the beneficial owner, you have the right to direct your broker, bank, trustee, or other nominee how to vote your shares, and you are also invited to attend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need to do to attend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be hosting the Special Meeting via live audio webcast only.</w:t>
      </w:r>
    </w:p>
    <w:p>
      <w:pPr>
        <w:spacing w:after="0" w:line="127" w:lineRule="exact"/>
        <w:rPr>
          <w:sz w:val="20"/>
          <w:szCs w:val="20"/>
          <w:color w:val="auto"/>
        </w:rPr>
      </w:pPr>
    </w:p>
    <w:p>
      <w:pPr>
        <w:ind w:left="1080" w:right="60" w:hanging="424"/>
        <w:spacing w:after="0" w:line="257"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of Record. </w:t>
      </w:r>
      <w:r>
        <w:rPr>
          <w:rFonts w:ascii="Times New Roman" w:cs="Times New Roman" w:eastAsia="Times New Roman" w:hAnsi="Times New Roman"/>
          <w:sz w:val="18"/>
          <w:szCs w:val="18"/>
          <w:color w:val="auto"/>
        </w:rPr>
        <w:t>If you were a stockholder of record as of the record date, then you may attend the Special Meeting virtually,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able to submit your questions during the meeting and vote your shares electronically during the meeting by visiting www.virtualshareholdermeeting.com/BKKT2025SM2. To attend and participate in the Special Meeting, you will need the control number included on your proxy card. The Special Meeting live audio webcast will begin promptly at 1:00 p.m., Eastern time. We encourage you to access the meeting prior to the start time. Online check-in will begin at 12:30 p.m., Eastern time, and you should allow ample time for the check-in procedures.</w:t>
      </w:r>
    </w:p>
    <w:p>
      <w:pPr>
        <w:spacing w:after="0" w:line="87" w:lineRule="exact"/>
        <w:rPr>
          <w:rFonts w:ascii="Times New Roman" w:cs="Times New Roman" w:eastAsia="Times New Roman" w:hAnsi="Times New Roman"/>
          <w:sz w:val="18"/>
          <w:szCs w:val="18"/>
          <w:color w:val="auto"/>
        </w:rPr>
      </w:pPr>
    </w:p>
    <w:p>
      <w:pPr>
        <w:ind w:left="1080" w:right="120" w:hanging="424"/>
        <w:spacing w:after="0" w:line="259"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Street Name Stockholders. </w:t>
      </w:r>
      <w:r>
        <w:rPr>
          <w:rFonts w:ascii="Times New Roman" w:cs="Times New Roman" w:eastAsia="Times New Roman" w:hAnsi="Times New Roman"/>
          <w:sz w:val="18"/>
          <w:szCs w:val="18"/>
          <w:color w:val="auto"/>
        </w:rPr>
        <w:t>If you were a street name stockholder as of the record date and your voting instruction form indicates that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vote your shares through the proxyvote.com website, then you may access and participate in the Special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Special Meeting.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do not comply with the procedures outlined above, you may not be admitted to the Special Meeting.</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Please let us know if you plan to attend the meeting virtually by indicating your plans when prompted if you vote online or by telephone, or by marking the appropriate box on your proxy card if you vote by mail.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the Special Meeting be webcast?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it will be webcast at www.virtualshareholdermeeting.com/BKKT2025SM2.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vote my shares at the Special Meeting, and what are the deadlines?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you may vote in one of the following ways:</w:t>
      </w:r>
    </w:p>
    <w:p>
      <w:pPr>
        <w:spacing w:after="0" w:line="133" w:lineRule="exact"/>
        <w:rPr>
          <w:sz w:val="20"/>
          <w:szCs w:val="20"/>
          <w:color w:val="auto"/>
        </w:rPr>
      </w:pPr>
    </w:p>
    <w:p>
      <w:pPr>
        <w:ind w:left="1080" w:right="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24 hours a day, 7 days a week, until 11:59 pm, Eastern time, on October 6, 2025 (have your proxy card in hand when you visit the website);</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the phone number listed on your proxy card, 24 hours a day, 7 days a week, until 11:59 pm, Eastern time, on October 6, 2025 (have your proxy card in hand when you call);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mailing your proxy card, which must be received prior to the Special Meeting; or</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Special Meeting virtually by www.virtualshareholdermeeting.com/BKKT2025SM2, where you may vote during the meeting (have your proxy card in hand when you visit the website).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 will receive voting instructions from your broker, bank or other nominee.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Internet and telephone voting options will depend on the voting process of your broker, bank or other nominee. We therefore recommend that you follow the voting instructions in the materials you receive. If your voting instruction form or indicates that you may vote your shares through the proxyvote.com website, then you may vote those shares at the Special Meeting with the control number indicated on that voting instruction form or notice of internet availability of proxy materials. Otherwise, you may not vote your shares at the Special Meeting unless you obtain a legal proxy from your broker, bank or other nominee.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deadline for voting my shares?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If you hold shares as a stockholder of record, we must receive your vote before the polls close at the Special Meeting, except that proxies submitted via the Internet, telephone, or by mail must be received by 11:59 p.m. Eastern Time on October 6, 2025.</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hold shares in street name, please follow the voting instructions provided by your broker, bank or other nominee. You may vote these shares at the Special Meeting only if at the Special Meeting you provide a legal proxy obtained from your broker, bank or other nominee.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You may change your vote at any time prior to the taking of the vote at the Special Meeting. If you are the stockholder of record, you may change your vote by (i) granting a new proxy bearing a later date (which automatically revokes the earlier proxy) using any of the methods described above (and until the applicable deadline for each method), or (ii) providing a written notice of revocation to our corporate secretary at Bakkt Holdings, Inc., 10000 Avalon Boulevard, Suite 1000, Alpharetta, Georgia 30009, Attn: Secretary, prior to your shares being voted. Attendance at the Special Meeting will not cause your previously granted proxy to be revoked unless you specifically so request. For shares held in street name, you may change your vote by submitting new voting instructions to your broker, bank, trustee, or nominee following the instructions they provided.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Special Meeting?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Special Meeting will be available at the Special Meeting and from our corporate secretary for ten days prior to the Special Meeting for any purpose germane to the Special Meeting, between the hours of 9:00 a.m. and 4:30 p.m., at our corporate headquarters at 10000 Avalon Boulevard, Suite 1000, Alpharetta, Georgia 30009.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Bakkt or to third parties, except as necessary to meet applicable legal requirements, to allow for the tabulation of votes and certification of the vote, or to facilitate a successful proxy solicitation.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must be present or represented to conduct business at the Special Meeting?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Holders of a majority in voting power of the stock issued and outstanding and entitled to vote as of the record date must be present or represented by proxy, also referred to as a quorum, to hold and transact business at the Special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discretionary voting power for that particular item and has not received voting instructions from the beneficial owner. Because the Options Proposal and Adjournment Proposal require the approval of the majority of votes cast affirmatively or negatively by the holders of Common Stock, abstentions and “broker non-votes” will have no effect on the outcome of the Options Proposal or Adjournment Proposal. If there is no quorum, the chairperson of the meeting or the holders of a majority of the issued and outstanding shares of stock present at the Special Meeting may adjourn the meeting to another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solicit and who will bear the cost of soliciting proxies for the Special Meeting?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pay the entire cost of preparing, assembling, printing, mailing, and distributing these proxy materials and soliciting proxies.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w:t>
      </w:r>
    </w:p>
    <w:p>
      <w:pPr>
        <w:spacing w:after="0" w:line="119"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Required Vote— Options Proposal (Proposal 1). </w:t>
      </w:r>
      <w:r>
        <w:rPr>
          <w:rFonts w:ascii="Times New Roman" w:cs="Times New Roman" w:eastAsia="Times New Roman" w:hAnsi="Times New Roman"/>
          <w:sz w:val="18"/>
          <w:szCs w:val="18"/>
          <w:color w:val="auto"/>
        </w:rPr>
        <w:t>The affirmative vote of the holders of a majority in voting power of the votes cast is necessary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the Options Proposal. Abstentions and broker non-votes, if any, will have no effect on the outcome of this proposal.</w:t>
      </w:r>
    </w:p>
    <w:p>
      <w:pPr>
        <w:spacing w:after="0" w:line="158" w:lineRule="exact"/>
        <w:rPr>
          <w:sz w:val="20"/>
          <w:szCs w:val="20"/>
          <w:color w:val="auto"/>
        </w:rPr>
      </w:pPr>
    </w:p>
    <w:p>
      <w:pPr>
        <w:ind w:left="120" w:right="6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Required Vote— Adjournment Proposal (Proposal 2). </w:t>
      </w:r>
      <w:r>
        <w:rPr>
          <w:rFonts w:ascii="Times New Roman" w:cs="Times New Roman" w:eastAsia="Times New Roman" w:hAnsi="Times New Roman"/>
          <w:sz w:val="17"/>
          <w:szCs w:val="17"/>
          <w:color w:val="auto"/>
        </w:rPr>
        <w:t>The affirmative vote of the holders of a majority in voting power of the votes cast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to approve the Adjournment Proposal. Abstentions and broker non-votes, if any, will have no effect on the outcome of this proposal.</w:t>
      </w:r>
    </w:p>
    <w:p>
      <w:pPr>
        <w:spacing w:after="0" w:line="13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the Special Meeting is postponed for any purpose, at any subsequent reconvening of the Special Meeting, your proxy will be voted in the same manner as it would have been voted at the original convening of the Special Meeting unless you withdraw or revoke your proxy.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Special Meeting?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 business may be transacted at the Special Meeting except that referred to in the Notice of the Special Meeting, or in a supplemental notice given also in compliance with the provisions of the Company’s By-laws, or such other business as may be germane or supplementary to the business that is stated in the Notice of the Special Meeting or any supplemental notice. The Company does not know of any other matters that may be presented for action at the Special Meeting other than the Options Proposal and the Adjournment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the Special Meeting is postponed?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Special Meeting may be adjourned or postponed for the purpose of, among other things, soliciting additional proxies. Unless a new record date is fixed, your proxy will still be valid and may be voted at the adjourned or postponed meeting. You will still be able to change your proxy until it is voted.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or voting instruction form?</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It means that you have multiple accounts at the transfer agent or with brokers. Please complete and return all proxy cards or voting instruction forms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in a Current Report on Form 8-K (a “</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within four business days after the Special Meeting. If final voting results are not available to us in time to file a Form 8-K within four business days after the Special Meeting, we will file a Form 8-K to publish preliminary results and, within four business days after final results are known, file an additional Form 8-K to publish the final results.</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20"/>
          </w:cols>
          <w:pgMar w:left="320" w:top="455" w:right="7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1—THE OPTIONS PROPOSAL</w:t>
      </w:r>
    </w:p>
    <w:p>
      <w:pPr>
        <w:spacing w:after="0" w:line="22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July 28, 2025, we conducted an underwritten public offering pursuant to which we offered and sold an aggregate of 6,753,627 shares of Class A Common Stock and, for certain purchasers, pre-funded warrants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color w:val="auto"/>
        </w:rPr>
        <w:t>”) to purchase an aggregate of 746,373 shares of Class A Common Stock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In connection with the Offering, members of the Company’s management and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determined that it was in the best interests of the Company and its stockholders for certain members of management to similarly have the opportunity to invest in the Company and strengthen alignment with the Company’s stockholders through increased stock ownership. In approving the grant of the Options, the Compensation Committee discussed and considered the Options and the terms thereof in consultation with management and external advisors, including the Company’s independent valuation consultant. Upon review and consideration of the terms of the Options, the Compensation Committee concluded that granting the Options on the terms described herein would be appropriate to strengthen alignment between management’s incentives and the stockholders’ interests.</w:t>
      </w:r>
    </w:p>
    <w:p>
      <w:pPr>
        <w:spacing w:after="0" w:line="188"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Accordingly, the Board approved, after Compensation Committee approval and recommendation to the Board to approve, a one-time award of stock options (the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to select members of management, subject to stockholder approval. The Options are structured as a commitment by the grantee to exercise a predetermined number of Options every quarter for eight quarters (that committed number of Options, the “</w:t>
      </w:r>
      <w:r>
        <w:rPr>
          <w:rFonts w:ascii="Times New Roman" w:cs="Times New Roman" w:eastAsia="Times New Roman" w:hAnsi="Times New Roman"/>
          <w:sz w:val="18"/>
          <w:szCs w:val="18"/>
          <w:b w:val="1"/>
          <w:bCs w:val="1"/>
          <w:i w:val="1"/>
          <w:iCs w:val="1"/>
          <w:color w:val="auto"/>
        </w:rPr>
        <w:t>Committed Options</w:t>
      </w:r>
      <w:r>
        <w:rPr>
          <w:rFonts w:ascii="Times New Roman" w:cs="Times New Roman" w:eastAsia="Times New Roman" w:hAnsi="Times New Roman"/>
          <w:sz w:val="18"/>
          <w:szCs w:val="18"/>
          <w:color w:val="auto"/>
        </w:rPr>
        <w:t>”) at an exercise price per share equal to $10.00, which reflects the fair market value of a share of Class A Common Stock on the date of grant, and which is more than the trading price of our Class A Common Stock as of market close on the record date, which closing trading price was $8.59 per share. If a grantee does not exercise the Committed Options in any given quarter, then all remaining Options are forfeited. The grantee must personally fund the exercise price to exercise the Committed Options.</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 achieve the additional goal of strengthening alignment between management’s incentives and stockholders’ interests, for each quarter in which the grantee purchases shares by exercising the Committed Options, the grantee will be entitled to exercise an additional number of Options for up to one year. Here, grantee may elect to personally fund the exercise price to exercise these Options or may net-settle these Options.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Board and the Compensation Committee believe that this focused approach to obtaining further investment by members of management in the Company and furthering alignment with stockholders is in the best interests of the Company and our stockholders.</w:t>
      </w:r>
    </w:p>
    <w:p>
      <w:pPr>
        <w:spacing w:after="0" w:line="158" w:lineRule="exact"/>
        <w:rPr>
          <w:sz w:val="20"/>
          <w:szCs w:val="20"/>
          <w:color w:val="auto"/>
        </w:rPr>
      </w:pPr>
    </w:p>
    <w:p>
      <w:pPr>
        <w:ind w:left="120" w:right="6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The form of stock option award agreement for the Options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 and the following discussion is qualified in its entirety by reference to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Terms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After deliberation, review and discussion, including with members of management and external advisors, the Board and Compensation Committee approved the grant of Options to purchase 7,450,000 shares of Class A Common Stock, in the aggregate, to 10 select members of management, who were selected based on their membership in the senior management of the Company as well as personal interest in participation in the program. Based on the closing trading price of our Class A Common Stock on the New York Stock Exchange on the record date, the latest practicable date, of $8.59 per share, the aggregate market value of the shares of Class A Common Stock underlying the Options would be $(10,504,500). No consideration was received by the Company for the granting of the Options.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 and Administration</w:t>
      </w:r>
    </w:p>
    <w:p>
      <w:pPr>
        <w:spacing w:after="0" w:line="11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Due to the limited share reserve under the Bakkt Holdings, Inc. 2021 Omnibus Employee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Options were granted outside the Plan and subject to stockholder approval. Notwithstanding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foregoing, the Options will be governed in all respects as if issued under the Plan, except with respect to the Plan’s minimum vesting requirements. Accordingly, the Compensation Committee will administer the Options and have the authority in its sole discretion to, among other actions: construe, interpret and implement the Options; amend the Options in any respect without stockholder approval; and determine the treatment of the Options in the event of a change in control of the Company.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Grant Date and Exercise Price</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Options were granted on July 29, 2025, in connection with the Board’s approval of the Transactions, with an exercise price per share equal to $10.00, which reflects the fair market value of a share of Class A Common Stock on the date of grant and is more than the trading price of our Class A Common Stock as of market close on the record date, which closing trading price was $8.59 per share.</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purposes of valuing the Options, in accordance with applicable US GAAP and SEC accounting rules and guidance, we have assumed a stock price volatility of 85%, which is based on both historical stock price volatility and benchmarking to guideline companies that align with our go forward pure-play crypto infrastructure strategy. However, it is management’s belief that the Company’s stock price volatility may be lower than the assumed stock price volatility, as the Company’s shift in business strategy to a pure-play crypto infrastructure company and the increased public float for its shares reduces the volatility historically observed in the stock price.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Schedule</w:t>
      </w:r>
    </w:p>
    <w:p>
      <w:pPr>
        <w:spacing w:after="0" w:line="11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One-eighth of each grantee’s Options will become exercisable each quarter (each, a “</w:t>
      </w:r>
      <w:r>
        <w:rPr>
          <w:rFonts w:ascii="Times New Roman" w:cs="Times New Roman" w:eastAsia="Times New Roman" w:hAnsi="Times New Roman"/>
          <w:sz w:val="18"/>
          <w:szCs w:val="18"/>
          <w:b w:val="1"/>
          <w:bCs w:val="1"/>
          <w:i w:val="1"/>
          <w:iCs w:val="1"/>
          <w:color w:val="auto"/>
        </w:rPr>
        <w:t>Quarterly Tranche</w:t>
      </w:r>
      <w:r>
        <w:rPr>
          <w:rFonts w:ascii="Times New Roman" w:cs="Times New Roman" w:eastAsia="Times New Roman" w:hAnsi="Times New Roman"/>
          <w:sz w:val="18"/>
          <w:szCs w:val="18"/>
          <w:color w:val="auto"/>
        </w:rPr>
        <w:t>”) as follows. The Committed Options will be exercisable over a two-day period in the applicable quarter (the “</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subject to compliance with applicable laws and the Company’s policies; provided that if the Exercise Period for a Quarterly Tranche occurs during a blackout period, then such Exercise Period shall instead be the next quarterly Exercise Period. If a grantee exercises the Committed Option portion of a Quarterly Tranche in this Exercise Period, the remainder of that Quarterly Tranche (the “</w:t>
      </w:r>
      <w:r>
        <w:rPr>
          <w:rFonts w:ascii="Times New Roman" w:cs="Times New Roman" w:eastAsia="Times New Roman" w:hAnsi="Times New Roman"/>
          <w:sz w:val="18"/>
          <w:szCs w:val="18"/>
          <w:b w:val="1"/>
          <w:bCs w:val="1"/>
          <w:i w:val="1"/>
          <w:iCs w:val="1"/>
          <w:color w:val="auto"/>
        </w:rPr>
        <w:t>Optional Exercise Options</w:t>
      </w:r>
      <w:r>
        <w:rPr>
          <w:rFonts w:ascii="Times New Roman" w:cs="Times New Roman" w:eastAsia="Times New Roman" w:hAnsi="Times New Roman"/>
          <w:sz w:val="18"/>
          <w:szCs w:val="18"/>
          <w:color w:val="auto"/>
        </w:rPr>
        <w:t>”) will become exercisable for a period of one year. The Optional Exercise Option portion of any Quarterly Tranche will expire at the end of such one-year period.</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exercise schedule, following the first quarter following stockholder approval of the Options, any portion of the Options may be exercised earlier than the applicable quarter (“</w:t>
      </w:r>
      <w:r>
        <w:rPr>
          <w:rFonts w:ascii="Times New Roman" w:cs="Times New Roman" w:eastAsia="Times New Roman" w:hAnsi="Times New Roman"/>
          <w:sz w:val="18"/>
          <w:szCs w:val="18"/>
          <w:b w:val="1"/>
          <w:bCs w:val="1"/>
          <w:i w:val="1"/>
          <w:iCs w:val="1"/>
          <w:color w:val="auto"/>
        </w:rPr>
        <w:t>Early Exercise</w:t>
      </w:r>
      <w:r>
        <w:rPr>
          <w:rFonts w:ascii="Times New Roman" w:cs="Times New Roman" w:eastAsia="Times New Roman" w:hAnsi="Times New Roman"/>
          <w:sz w:val="18"/>
          <w:szCs w:val="18"/>
          <w:color w:val="auto"/>
        </w:rPr>
        <w:t>”), provided that shares of Class A Common Stock acquired on exercise of the Optional Exercise Options will be subject to a lock-up period so that the shares acquired on exercise may not be sold or transferred until the originally-scheduled exercise date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Manner of Exercise</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grantee must pay the exercise price (and any applicable withholding taxes) in cash as a condition to exercising the Committed Options. In order to exercise the Optional Exercise Options, a grantee may either pay the exercise price (and any applicable withholding taxes) in cash or direct the Company to withhold shares of Class A Common Stock in respect of the exercise price (and any applicable withholding taxes).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Forfeiture; Termination Treatment</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a grantee does not exercise the Committed Option portion of any Quarterly Tranche in the applicable Exercise Period, then the grantee’s remaining Options (in respect of the current Quarterly Tranche and any subsequent Quarterly Tranche) will be forfeited automatically. This forfeiture provision is intended to encourage management’s continued participation and investment in Company growth.</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addition, if a grantee ceases to provide services to the Company, the grantee’s Options will be treated as follows: (1) if the grantee ceases to provide services due to a termination by the Company for cause, all of the grantee’s Options will be forfeited automatically; (2) if the grantee ceases to provide services due to a voluntary termination by the grantee without good reason, any of the grantee’s Options for which the originally-scheduled exercise date has not yet occurred will be forfeited automatically and any of the grantee’s remaining Options will remain exercisable for a period of 90 days following the grantee’s termination; and (3) if the grantee ceases to provide services due to a termination by the Company without cause, by the grantee for good reason or due to the grantee’s death or disability, any of the grantee’s Options for which the originally-scheduled exercise date has not yet occurred will be forfeited automatically and any of the grantee’s remaining Options will remain exercisable for a period of 12 months following the grantee’s termination.</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With respect to any shares of Class A Common Stock acquired on Early Exercise, if the grantee ceases to be employed for any reason or no reason, any such shares of Class A Common Stock held by the grantee as a result of Early Exercise will continue to be held by the grantee, subject to the aforementioned restrictions, which will continue to apply to such shares until the end of the Lock-Up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Federal Income Tax Consequences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material U.S. federal income tax consequences of the Options. The summary is based on existing U.S. laws and regulations, and there can be no assurance that those laws and regulations will not change in the future. The summary does not purport to be complete and does not discuss the tax consequences upon a grantee’s death, or the provisions of the income tax laws of any municipality, state or foreign country in which the participant may reside. As a result, tax consequences for any particular grantee may vary based on individual circumstances.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grantee will not be subject to tax upon the grant of the Options. Upon exercise of any portion of the Options, an amount equal to the excess of the fair market value of the shares of Class A Common Stock acquired on the date of exercise over the exercise price paid will be taxable to the grantee as ordinary income, and such amount will generally deductible by the Company or one of its subsidiaries. This amount of income will be subject to income tax withholding and employment taxes. A grantee’s basis in the shares of Class A Common Stock received will equal the fair market value of the shares on the date of exercise, and the grantee’s holding period in such shares will begin on the day following the date of exercise. Upon grantee’s sale of a share of Class A Common Stock, the grantee will have a capital gain (or loss), based on the difference between the sale price and the grantee’s basis. The capital gain (or loss) is “long-term” or “short-term” depending on whether the grantee held shares for at least a year prior to the sale.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Plan Benefits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Options received by the persons and groups named below.</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596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Options</w:t>
            </w:r>
          </w:p>
        </w:tc>
      </w:tr>
      <w:tr>
        <w:trPr>
          <w:trHeight w:val="169"/>
        </w:trPr>
        <w:tc>
          <w:tcPr>
            <w:tcW w:w="712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Akshay Naheta</w:t>
            </w:r>
          </w:p>
        </w:tc>
        <w:tc>
          <w:tcPr>
            <w:tcW w:w="12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236"/>
        </w:trPr>
        <w:tc>
          <w:tcPr>
            <w:tcW w:w="7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5,000,000</w:t>
            </w:r>
          </w:p>
        </w:tc>
      </w:tr>
      <w:tr>
        <w:trPr>
          <w:trHeight w:val="196"/>
        </w:trPr>
        <w:tc>
          <w:tcPr>
            <w:tcW w:w="7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Andrew Main</w:t>
            </w: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Co-Chief Executive Officer</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196"/>
        </w:trPr>
        <w:tc>
          <w:tcPr>
            <w:tcW w:w="71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Karen Alexander</w:t>
            </w: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6"/>
        </w:trPr>
        <w:tc>
          <w:tcPr>
            <w:tcW w:w="7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r>
      <w:tr>
        <w:trPr>
          <w:trHeight w:val="196"/>
        </w:trPr>
        <w:tc>
          <w:tcPr>
            <w:tcW w:w="7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Marc D’Annunzio</w:t>
            </w: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 &amp; Secretary</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500,000</w:t>
            </w:r>
          </w:p>
        </w:tc>
      </w:tr>
      <w:tr>
        <w:trPr>
          <w:trHeight w:val="196"/>
        </w:trPr>
        <w:tc>
          <w:tcPr>
            <w:tcW w:w="71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Nicholas Baes</w:t>
            </w: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6"/>
        </w:trPr>
        <w:tc>
          <w:tcPr>
            <w:tcW w:w="7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200,000</w:t>
            </w:r>
          </w:p>
        </w:tc>
      </w:tr>
      <w:tr>
        <w:trPr>
          <w:trHeight w:val="196"/>
        </w:trPr>
        <w:tc>
          <w:tcPr>
            <w:tcW w:w="7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Phillip Lord</w:t>
            </w: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71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Bakkt International</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5,800,000</w:t>
            </w: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Non-Employee Directors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Employees who are not Executive Officers</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1,650,000</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 Conditioned on Other Amendment Proposals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Options Proposal is independent of the others and the approval of this Options Proposal is not conditioned upon approval of the Adjournment Proposal or any other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Vote in Favor of this Proposal</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If this proposal is approved by our stockholders, the individuals listed above will receive the Options to purchase shares of Class A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Not Obtaining Required Vote for Approval of this Options Proposal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is unable to obtain approval of this Options Proposal, the Options will be null and void.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Certain Persons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When you consider the Board’s recommendation to vote in favor of this Options Proposal, you should be aware that our directors and executive officers and existing stockholders may have interests that may be different from, or in addition to, the interests of other of our stockholders. In particular, various directors and executive officers expect to receive the Options if this Options Proposal is approved.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Adverse Effects of the Options Proposal</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As of the record date, a total of 15,934,137 shares of Class A Common Stock were issued and outstanding and 7,177,076 shares of Class V Common Stock were issued and outstanding.</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share of Class A Common Stock is entitled to one vote. Each share of Class V Common Stock is also entitled to one vote. If the Options Proposal is passed, the Options will be convertible into approximately 7,450,000 shares of Class A Common Stock, with each share entitled to one vote. Assuming all Pre-Funded Warrants issued in the Offering are exercised and converted into Class A Common Stock, which we expect to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case, if the Options are fully exercised they would collectively represent 24.3% of the outstanding votes of the Company’s Common Stock. As a result, the Options Proposal may have dilutive effect on current stockholders, in that the percentage ownership of the Company held by such other current stockholders will decline as a result of the issuance of such Class A Common Stock upon exercise of the Options. The issuance of such Class A Common Stock will also have a dilutive effect on book value per share and any future earnings per share. This dilution could also cause prevailing market prices for our Class A Common Stock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and Recommendation of the Board for Options Proposal</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Options Proposal must be approved by a majority of the votes cast affirmatively or negatively on such matter. Abstentions and “broker non-votes”, if any, will have no effect on the vote on the Options Proposal.</w:t>
      </w:r>
    </w:p>
    <w:p>
      <w:pPr>
        <w:spacing w:after="0" w:line="158"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EVERY VOTE MATTERS. THE BOARD OF DIRECTORS RECOMMENDS A VOTE “FOR” APPROVAL OF THE OPTIONS PROPOSAL.</w:t>
      </w:r>
    </w:p>
    <w:p>
      <w:pPr>
        <w:spacing w:after="0" w:line="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320" w:top="455"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PROPOSAL 2—THE ADJOURNMENT PROPOSAL</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Stockholders are being asked to approve a proposal providing for the adjournment of the Special Meeting if necessary or appropriate in the view of the Board, including but not limited to solicit additional proxies if there are not sufficient votes at the time of the Special Meeting to approve the Options Proposal.</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this proposal, the Company is asking the Company’s stockholders to authorize one of more of our proxy holders to vote in favor of adjourning the Special Meeting, and any subsequent adjournments, to another time and place. If our stockholders approve this proposal, one or more of our proxy holders can adjourn the Special Meeting and any adjourned session of the Special Meeting, including to allow for additional time to solicit additional proxies or to allow for solicitation of proxies from our stockholders that have previously voted. Among other things, approval of this proposal could mean that, even if we had received proxies representing a sufficient number of votes to defeat the Options Proposal, we could adjourn the Special Meeting without a vote on such proposal and seek to convince our stockholders to change their votes in favor of such proposal.</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it is necessary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 and Recommendation of the Board for Adjournment Proposal</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Adjournment Proposal must be approved by a majority of the votes cast affirmatively or negatively on such matter. Abstentions and “broker non-votes”, if any, will have no effect on the vote on the Adjournment Proposal.</w:t>
      </w:r>
    </w:p>
    <w:p>
      <w:pPr>
        <w:spacing w:after="0" w:line="158" w:lineRule="exact"/>
        <w:rPr>
          <w:sz w:val="20"/>
          <w:szCs w:val="20"/>
          <w:color w:val="auto"/>
        </w:rPr>
      </w:pPr>
    </w:p>
    <w:p>
      <w:pPr>
        <w:ind w:left="120" w:right="1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EVERY VOTE MATTERS. THE BOARD OF DIRECTORS RECOMMENDS A VOTE “FOR” APPROVAL OF THE ADJOURNMENT PROPOSAL.</w:t>
      </w:r>
    </w:p>
    <w:p>
      <w:pPr>
        <w:spacing w:after="0" w:line="9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320" w:top="455" w:right="5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Sharing an Address / Household</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Only one copy of this Proxy Statement is being delivered to multiple stockholders sharing an address, unless we have received contrary instructions from one or more of the stockholders.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undertake to deliver promptly, upon written or oral request, a separate copy to a stockholder at a shared address to which a single copy of this Proxy Statement was delivered. To receive a separate copy of this Proxy Statement, or to receive separate copies in the future, or if two stockholders sharing an address have received two copies of any of these documents and desire to only receive one, you may please contact our mailing agent, Broadridge, either by calling (800) 579-1639, via the Internet at http://www.proxyvote.com, or via email at sendmaterial@proxyvote.com.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2026 Annual Meeting</w:t>
      </w:r>
    </w:p>
    <w:p>
      <w:pPr>
        <w:spacing w:after="0" w:line="117"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2026 annual meeting of stockholders (the “</w:t>
      </w:r>
      <w:r>
        <w:rPr>
          <w:rFonts w:ascii="Times New Roman" w:cs="Times New Roman" w:eastAsia="Times New Roman" w:hAnsi="Times New Roman"/>
          <w:sz w:val="18"/>
          <w:szCs w:val="18"/>
          <w:b w:val="1"/>
          <w:bCs w:val="1"/>
          <w:i w:val="1"/>
          <w:iCs w:val="1"/>
          <w:color w:val="auto"/>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pursuant to Rule 14a-8 of the Exchange Act, then the proposal must be received by our corporate secretary at our principal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on or before December 29, 2025. In addition, stockholder proposals must comply with the requirements of Rule 14a-8 regarding the inclusion of stockholder proposals in company-sponsored proxy materials. Proposals should be addressed to:</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20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89"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February 17, 2026,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March 19, 2026.</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hold our 2026 Annual Meeting more than 30 days before, or more than 70 days following, the one-year anniversary of this year’s annual meeting, then such written notice must be received by our corporate secretary at our principal executive offices:</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120th day prior to the day of our 2026 Annual Meeting,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later of (x) the 90th day before the meeting or (y) the 10th day following the day on which public announcement of the date of the annual meeting is first made by us.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also comply with all applicable requirements of Rule 14a-19 under the Exchange Act. The advance notice requirement under Rule 14a-19 does not override or supersede the longer advance notice requirement under our By-Laws.</w:t>
      </w:r>
    </w:p>
    <w:p>
      <w:pPr>
        <w:spacing w:after="0" w:line="162" w:lineRule="exact"/>
        <w:rPr>
          <w:sz w:val="20"/>
          <w:szCs w:val="20"/>
          <w:color w:val="auto"/>
        </w:rPr>
      </w:pPr>
    </w:p>
    <w:p>
      <w:pPr>
        <w:jc w:val="both"/>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Pursuant to Rule 14a-19, stockholders who intend to solicit proxies in support of director nominees (other than our nominees) in connection with our 2026 Annual Meeting must provide the information required by Rule 14a-19 no later than April 18, 2026. However, if the date of next year’s annual meeting is more than 30 days before or more than 30 days after June 17, 2026, then we must receive your notice by the close of business on the later of the 60th day prior to such meeting or the 10th day following the day in which the public announcement of the date of such meeting is first made.</w:t>
      </w:r>
    </w:p>
    <w:p>
      <w:pPr>
        <w:spacing w:after="0" w:line="16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regarding advance notice of stockholder proposals and director nominations.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By-Laws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 copy of our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https://investors.bakkt.com/financials/sec-filings. The information on our website or any other website referenced in this proxy statement is not part of this proxy statement.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Requests for such copies should be directed to:</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Bakkt Holdings, Inc. 10000 Avalon Boulevard, Suite 1000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number: (678) 534-5849</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would like to request documents from the Company, please do so at least 10 business days before the date of the Special Meeting in order to receive timely delivery of those documents prior to the Special Meeting.</w:t>
      </w:r>
    </w:p>
    <w:p>
      <w:pPr>
        <w:spacing w:after="0" w:line="162"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proxy statement and the annexes attached hereto to vote your shares at the Special Meeting. We have not authorized anyone to provide you with information that is different from that contained in this proxy statement or such annexes.</w:t>
      </w:r>
    </w:p>
    <w:p>
      <w:pPr>
        <w:spacing w:after="0" w:line="14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 is dated September 9, 2025. You should not assume that the information contained in this proxy statement is accurate as of any date other than that date,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of the date hereof, the Company does not know of any other matters that may be presented for action at the Special Meeting other than the Options Proposal and the Adjournment Proposal.</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Sean Collins</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September 9, 2025</w:t>
      </w:r>
    </w:p>
    <w:p>
      <w:pPr>
        <w:spacing w:after="0" w:line="13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60"/>
          </w:cols>
          <w:pgMar w:left="320" w:top="455" w:right="8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Option Award Agreement</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39"/>
          </w:cols>
          <w:pgMar w:left="320" w:top="45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STOCK OPTION GRANT</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defined herein, the terms defined in the Bakkt Holdings, Inc. 2021 Omnibus Employee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meanings in this Stock Option Award Agreement which includes the Notice of Stock Option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Award Agreement and the Options granted hereunder are subject to approval of the Options by the shareholders of the Company, and if such shareholder approval is not obtained, this Award Agreement and the Options granted hereunder shall be null and void.</w:t>
      </w:r>
    </w:p>
    <w:p>
      <w:pPr>
        <w:spacing w:after="0" w:line="210" w:lineRule="exact"/>
        <w:rPr>
          <w:sz w:val="20"/>
          <w:szCs w:val="20"/>
          <w:color w:val="auto"/>
        </w:rPr>
      </w:pPr>
    </w:p>
    <w:p>
      <w:pPr>
        <w:ind w:left="120"/>
        <w:spacing w:after="0"/>
        <w:tabs>
          <w:tab w:leader="none" w:pos="3960" w:val="left"/>
        </w:tabs>
        <w:rPr>
          <w:sz w:val="20"/>
          <w:szCs w:val="20"/>
          <w:color w:val="auto"/>
        </w:rPr>
      </w:pPr>
      <w:r>
        <w:rPr>
          <w:rFonts w:ascii="Times New Roman" w:cs="Times New Roman" w:eastAsia="Times New Roman" w:hAnsi="Times New Roman"/>
          <w:sz w:val="18"/>
          <w:szCs w:val="18"/>
          <w:color w:val="auto"/>
        </w:rPr>
        <w:t>Grantee Name:</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17145</wp:posOffset>
            </wp:positionV>
            <wp:extent cx="23056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undersigned Grantee has been granted an Award of stock options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to purchase, on or prior to the earlier of the Expiration Date and the Forfeiture Date specified below, all or part of the number of shares of Common Stock, par value $0.0001 per share, of the Company specified below at the Option Exercise Price per share specified below, subject to the terms and conditions of this Award Agreement, as follows:</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Number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6574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Mandatory Exercise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6574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Optional Exercise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6574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6574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657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Exercise Schedule:</w:t>
      </w:r>
    </w:p>
    <w:p>
      <w:pPr>
        <w:spacing w:after="0" w:line="117"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1/8 of each of the Mandatory Exercise Options and the Optional Exercise Options, rounded down to the nearest whole number of options (with the remaining options comprising the final Quarterly Tranche) shall become exercisable each quarter (each, a “</w:t>
      </w:r>
      <w:r>
        <w:rPr>
          <w:rFonts w:ascii="Times New Roman" w:cs="Times New Roman" w:eastAsia="Times New Roman" w:hAnsi="Times New Roman"/>
          <w:sz w:val="18"/>
          <w:szCs w:val="18"/>
          <w:u w:val="single" w:color="auto"/>
          <w:color w:val="auto"/>
        </w:rPr>
        <w:t>Quarterly Tranche</w:t>
      </w:r>
      <w:r>
        <w:rPr>
          <w:rFonts w:ascii="Times New Roman" w:cs="Times New Roman" w:eastAsia="Times New Roman" w:hAnsi="Times New Roman"/>
          <w:sz w:val="18"/>
          <w:szCs w:val="18"/>
          <w:color w:val="auto"/>
        </w:rPr>
        <w:t>”) as follows:</w:t>
      </w:r>
    </w:p>
    <w:p>
      <w:pPr>
        <w:spacing w:after="0" w:line="67" w:lineRule="exact"/>
        <w:rPr>
          <w:sz w:val="20"/>
          <w:szCs w:val="20"/>
          <w:color w:val="auto"/>
        </w:rPr>
      </w:pPr>
    </w:p>
    <w:p>
      <w:pPr>
        <w:ind w:left="1080" w:hanging="424"/>
        <w:spacing w:after="0" w:line="254"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Exercise Options</w:t>
      </w:r>
      <w:r>
        <w:rPr>
          <w:rFonts w:ascii="Times New Roman" w:cs="Times New Roman" w:eastAsia="Times New Roman" w:hAnsi="Times New Roman"/>
          <w:sz w:val="18"/>
          <w:szCs w:val="18"/>
          <w:color w:val="auto"/>
        </w:rPr>
        <w:t>: [20%][10%] of each Quarterly Tranche (i.e., the portion representing the Mandatory Exercise Option) shall be exercisable over a two day period commencing on the first trading day after the applicable quarterly blackout period ends in accordance with the Company’s Insider Trading Policy, as in place and updated from time to time, beginning with the first such quarterly trading window following the date on which the Company’s shareholders approve the Options (each, a “</w:t>
      </w:r>
      <w:r>
        <w:rPr>
          <w:rFonts w:ascii="Times New Roman" w:cs="Times New Roman" w:eastAsia="Times New Roman" w:hAnsi="Times New Roman"/>
          <w:sz w:val="18"/>
          <w:szCs w:val="18"/>
          <w:u w:val="single" w:color="auto"/>
          <w:color w:val="auto"/>
        </w:rPr>
        <w:t>Mandatory Exercise Period</w:t>
      </w:r>
      <w:r>
        <w:rPr>
          <w:rFonts w:ascii="Times New Roman" w:cs="Times New Roman" w:eastAsia="Times New Roman" w:hAnsi="Times New Roman"/>
          <w:sz w:val="18"/>
          <w:szCs w:val="18"/>
          <w:color w:val="auto"/>
        </w:rPr>
        <w:t xml:space="preserve">”), subject to compliance with insider trading laws and Company policies (that may be in place or as may be updated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Mandatory Exercise Period for a Quarterly Tranche occurs during a blackout period that is otherwise in effect in respect of the Company’s Common Stock or Grantee is otherwise restricted from trading in the Company’s Common Stock in compliance with Company policies and applicable law, then such Mandatory Exercise Period shall instead be the next quarterly Mandatory Exercise Period.</w:t>
      </w:r>
    </w:p>
    <w:p>
      <w:pPr>
        <w:spacing w:after="0" w:line="9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Exercise Options</w:t>
      </w:r>
      <w:r>
        <w:rPr>
          <w:rFonts w:ascii="Times New Roman" w:cs="Times New Roman" w:eastAsia="Times New Roman" w:hAnsi="Times New Roman"/>
          <w:sz w:val="18"/>
          <w:szCs w:val="18"/>
          <w:color w:val="auto"/>
        </w:rPr>
        <w:t>: The Optional Exercise Options may be exercised only on or after the exercise of the corresponding Mandatory Exercise Options for the applicable quarter. If Grantee exercises the Mandatory Exercise Option portion of the Quarterly Tranche, the Optional Exercise Option portion of the Quarterly Tranche shall remain exercisable, at Grantee’s discretion, for a period of one year following the</w:t>
      </w:r>
    </w:p>
    <w:p>
      <w:pPr>
        <w:spacing w:after="0" w:line="148" w:lineRule="exact"/>
        <w:rPr>
          <w:rFonts w:ascii="Times New Roman" w:cs="Times New Roman" w:eastAsia="Times New Roman" w:hAnsi="Times New Roman"/>
          <w:sz w:val="18"/>
          <w:szCs w:val="18"/>
          <w:color w:val="auto"/>
        </w:rPr>
      </w:pPr>
    </w:p>
    <w:p>
      <w:pPr>
        <w:ind w:left="540" w:right="380" w:hanging="432"/>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color w:val="auto"/>
        </w:rPr>
        <w:t>: For Akshay Naheta and Phillip Lord, 20% of the Options will be Mandatory Exercise Options and 80% of the Options will be Optional</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Exercise Options. For all other Grantees, 10% of the Options will be Mandatory Exercise Options and 90% of the Options will be Optional Exercise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-459740</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date on which the corresponding Mandatory Exercise Option was exercised, subject to “Forfeiture” below and compliance with insider trading laws and Company policies (that may be in place or as may be updated from time to time) (the last day of such one-year period is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080" w:right="40" w:hanging="424"/>
        <w:spacing w:after="0" w:line="268" w:lineRule="auto"/>
        <w:tabs>
          <w:tab w:leader="none" w:pos="10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Treatment; Forfeiture</w:t>
      </w:r>
      <w:r>
        <w:rPr>
          <w:rFonts w:ascii="Times New Roman" w:cs="Times New Roman" w:eastAsia="Times New Roman" w:hAnsi="Times New Roman"/>
          <w:sz w:val="17"/>
          <w:szCs w:val="17"/>
          <w:color w:val="auto"/>
        </w:rPr>
        <w:t>: Unless specifically provided otherwise in this Award Agreement, and notwithstanding anything provided in any employment agreement or other written agreement between Grantee and the Company or any of its Subsidiaries, (i) if Grantee ceases to be Employed due to a termination for Cause, any Options awarded under this Award Agreement (whether exercisable as of the date of Grantee’s termination of Employment or service or not) will be forfeited automatically, (ii) if Grantee ceases to be Employed due to a voluntary termination or resignation by Grantee without Good Reason, (A) any Options awarded under this Award Agreement in respect of which the Mandatory Exercise Period has not yet occurred and which are not yet exercisable will be forfeited automatically and</w:t>
      </w:r>
    </w:p>
    <w:p>
      <w:pPr>
        <w:spacing w:after="0" w:line="4" w:lineRule="exact"/>
        <w:rPr>
          <w:rFonts w:ascii="Times New Roman" w:cs="Times New Roman" w:eastAsia="Times New Roman" w:hAnsi="Times New Roman"/>
          <w:sz w:val="17"/>
          <w:szCs w:val="17"/>
          <w:color w:val="auto"/>
        </w:rPr>
      </w:pPr>
    </w:p>
    <w:p>
      <w:pPr>
        <w:ind w:left="108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any Options awarded under this Award Agreement in respect of which the Mandatory Exercise Period has occurred and which are exercisable as of the date of Grantee’s termination of Employment or service will remain exercisable for a period of 90 days following the date of Grantee’s termination of Employment or services, (iii) if Grantee ceases to be Employed due to a termination of Employment or services by the Company without Cause, by Grantee for Good Reason, or due to Grantee’s death or disability (as determined by the Committee in its sole discretion), (A) any Options awarded under this Award Agreement in respect of which the Mandatory Exercise Period has not yet occurred and which are not yet exercisable will be forfeited automatically and (B) any Options awarded under this Award Agreement in respect of which the Mandatory Exercise Period has occurred and which are exercisable as of the date of Grantee’s termination of Employment or service will remain exercisable for a period of 12 months following the date of Grantee’s termination of Employment or services, and (iv) if Grantee does not exercise the Mandatory Exercise Option portion of any Quarterly Tranche during the Mandatory Exercise Period, all remaining Options (in respect of the current Quarterly Tranche and any subsequent Quarterly Tranche) will be forfeited automatically (the date of forfeiture pursuant to (i) – (iv), the “</w:t>
      </w:r>
      <w:r>
        <w:rPr>
          <w:rFonts w:ascii="Times New Roman" w:cs="Times New Roman" w:eastAsia="Times New Roman" w:hAnsi="Times New Roman"/>
          <w:sz w:val="18"/>
          <w:szCs w:val="18"/>
          <w:u w:val="single" w:color="auto"/>
          <w:color w:val="auto"/>
        </w:rPr>
        <w:t>Forfeiture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Notwithstanding the foregoing, any portion of the Options, including the Mandatory Exercise Options and/or the Optional Exercise Options subject to any Quarterly Tranche, may be exercised prior to the applicable quarter in which the Quarterly Tranche would otherwise become exercisable in accordance with the schedule above (“</w:t>
      </w:r>
      <w:r>
        <w:rPr>
          <w:rFonts w:ascii="Times New Roman" w:cs="Times New Roman" w:eastAsia="Times New Roman" w:hAnsi="Times New Roman"/>
          <w:sz w:val="17"/>
          <w:szCs w:val="17"/>
          <w:u w:val="single" w:color="auto"/>
          <w:color w:val="auto"/>
        </w:rPr>
        <w:t>Early Exercise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Early Exercise may not occur prior to the first Mandatory Exercise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with respect to any shares of Common Stock so acquired by Grantee on exercise of Optional Exercise Options, from the applicable Early Exercise date until the date on which such Optional Exercise Options would otherwise have become exercisable pursuant to the Quarterly Tranche schedule described above (the “</w:t>
      </w:r>
      <w:r>
        <w:rPr>
          <w:rFonts w:ascii="Times New Roman" w:cs="Times New Roman" w:eastAsia="Times New Roman" w:hAnsi="Times New Roman"/>
          <w:sz w:val="17"/>
          <w:szCs w:val="17"/>
          <w:u w:val="single" w:color="auto"/>
          <w:color w:val="auto"/>
        </w:rPr>
        <w:t>Lock-Up Period</w:t>
      </w:r>
      <w:r>
        <w:rPr>
          <w:rFonts w:ascii="Times New Roman" w:cs="Times New Roman" w:eastAsia="Times New Roman" w:hAnsi="Times New Roman"/>
          <w:sz w:val="17"/>
          <w:szCs w:val="17"/>
          <w:color w:val="auto"/>
        </w:rPr>
        <w:t xml:space="preserve">”), Grantee shall not (i) lend; offer; pledge; sell; hypothecate; contract to sell; sell any option or contract to purchase; purchase any option or contract to sell; grant any option, right, or warrant to purchase; or otherwise transfer or dispose of, directly or indirectly, the shares of Common Stock so acquired by Grantee or any securities convertible into or exercisable or exchangeable (directly or indirectly) for such shares of Common Stock and/or (ii) enter into any swap or other arrangement that transfers to another, in whole or in part, any of the economic consequences of ownership of such shares of Common Stock so acquired by Grantee, whether any such transaction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w:t>
      </w:r>
    </w:p>
    <w:p>
      <w:pPr>
        <w:spacing w:after="0" w:line="4" w:lineRule="exact"/>
        <w:rPr>
          <w:sz w:val="20"/>
          <w:szCs w:val="20"/>
          <w:color w:val="auto"/>
        </w:rPr>
      </w:pPr>
    </w:p>
    <w:p>
      <w:pPr>
        <w:ind w:left="120" w:right="60" w:hanging="4"/>
        <w:spacing w:after="0" w:line="252" w:lineRule="auto"/>
        <w:tabs>
          <w:tab w:leader="none" w:pos="385" w:val="left"/>
        </w:tabs>
        <w:numPr>
          <w:ilvl w:val="0"/>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is to be settled by delivery of shares of Common Stock or other securities, in cash, or otherwise. The Company may impose stop-transfer instructions with respect to securities subject to the foregoing restrictions until the end of the Lock-Up Period. Unless specifically provided otherwise in this Award Agreement, and notwithstanding anything provided in any employment agreement or other written agreement between Grantee and the Company or any of its Subsidiaries, if Grantee ceases to be Employed for any reason or no reason, any Shares held by Grantee as a result of Early Exercise shall continue to be held by Grantee, subject to the foregoing restrictions, which shall continue to apply to such Shares until the end of the Lock-Up Period.</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By Grantee’s signature and the signature of the representative of the Company below, Grantee and the Company agree that this Award of Options is governed by the terms and conditions of the Plan, except for Section 2.4 of the Plan (notwithstanding it is not granted under the Plan) and this Award Agreement, including the Terms and Conditions of the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ectPr>
          <w:pgSz w:w="11900" w:h="16838" w:orient="portrait"/>
          <w:cols w:equalWidth="0" w:num="1">
            <w:col w:w="11020"/>
          </w:cols>
          <w:pgMar w:left="320" w:top="455" w:right="559" w:bottom="1440" w:gutter="0" w:footer="0" w:header="0"/>
        </w:sect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32232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32232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Grantee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32232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514350</wp:posOffset>
            </wp:positionV>
            <wp:extent cx="32232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232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737235</wp:posOffset>
            </wp:positionV>
            <wp:extent cx="32232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232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960120</wp:posOffset>
            </wp:positionV>
            <wp:extent cx="3223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222885</wp:posOffset>
            </wp:positionV>
            <wp:extent cx="3282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497205</wp:posOffset>
            </wp:positionV>
            <wp:extent cx="32829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24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230505</wp:posOffset>
            </wp:positionV>
            <wp:extent cx="32829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631" w:lineRule="exact"/>
        <w:rPr>
          <w:sz w:val="20"/>
          <w:szCs w:val="20"/>
          <w:color w:val="auto"/>
        </w:rPr>
      </w:pPr>
    </w:p>
    <w:p>
      <w:pPr>
        <w:sectPr>
          <w:pgSz w:w="11900" w:h="16838" w:orient="portrait"/>
          <w:cols w:equalWidth="0" w:num="2">
            <w:col w:w="5240" w:space="720"/>
            <w:col w:w="5060"/>
          </w:cols>
          <w:pgMar w:left="320" w:top="455"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1020"/>
          </w:cols>
          <w:pgMar w:left="320" w:top="455" w:right="5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r>
        <w:rPr>
          <w:rFonts w:ascii="Times New Roman" w:cs="Times New Roman" w:eastAsia="Times New Roman" w:hAnsi="Times New Roman"/>
          <w:sz w:val="18"/>
          <w:szCs w:val="18"/>
          <w:b w:val="1"/>
          <w:bCs w:val="1"/>
          <w:color w:val="auto"/>
        </w:rPr>
        <w:t xml:space="preserve"> A</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TERMS AND CONDITIONS OF STOCK OPTION GRANT</w:t>
      </w:r>
    </w:p>
    <w:p>
      <w:pPr>
        <w:spacing w:after="0" w:line="229" w:lineRule="exact"/>
        <w:rPr>
          <w:sz w:val="20"/>
          <w:szCs w:val="20"/>
          <w:color w:val="auto"/>
        </w:rPr>
      </w:pPr>
    </w:p>
    <w:p>
      <w:pPr>
        <w:ind w:left="120" w:right="20" w:firstLine="436"/>
        <w:spacing w:after="0" w:line="253" w:lineRule="auto"/>
        <w:tabs>
          <w:tab w:leader="none" w:pos="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named in the Notice of Stock Option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an Award of Options, and subject to the terms and conditions of this Award Agreement and the Plan, which is incorporated herein by reference. Although this Award was granted outside the Plan, the Award will be governed in all respects as if issued under the Plan, except with respect to the provisions of Section 2.4 of the Plan, as currently in effect and as may be amended hereafter from time to time, which is incorporated herein by reference. Subject to Section 3.1 of the Plan, in the event of a conflict between the terms and conditions of the Plan and this Award Agreement, the terms and conditions of the Plan shall prevail. Each Option represents the right to purchase, on or prior to the Expiration Date specified in the Notice of Grant, all or part of the number of shares of Company Class A Common Stock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specified in the Notice of Grant at the Option Exercise Price per Share specified in the Notice of Grant on or following the date the Option becomes exercisable in accordance with the terms of this Award Agreement. Unless and until the Option has become exercisable in the manner set forth in Section 2 or 3, Grantee will have no right to exercise any such Option. Once exercisable, the Options shall continue to be exercisable at any time or times prior to the close of business on the Expiration Date, subject to the provisions of this Award Agreement and of the Plan.</w:t>
      </w:r>
    </w:p>
    <w:p>
      <w:pPr>
        <w:spacing w:after="0" w:line="19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Schedule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40" w:firstLine="987"/>
        <w:spacing w:after="0" w:line="258" w:lineRule="auto"/>
        <w:tabs>
          <w:tab w:leader="none" w:pos="135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awarded by this Award Agreement will be exercisable in accordance with the Notice of Grant. Unless specifically provided otherwise in this Award Agreement or other written agreement authorized by the Committee between Grantee and the Company or any Subsidiary of the Company, as applicable, governing the terms of this Award, Options scheduled to become exercisable on a certain date or upon the occurrence of a certain condition will not become exercisable in accordance with any of the provisions of this Award Agreement, unless Grantee will have been continuously Employed from the Date of Grant until such date occurs.</w:t>
      </w:r>
    </w:p>
    <w:p>
      <w:pPr>
        <w:spacing w:after="0" w:line="18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Upon Termination; Forfeiture</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20" w:right="20" w:firstLine="1428"/>
        <w:spacing w:after="0" w:line="261" w:lineRule="auto"/>
        <w:tabs>
          <w:tab w:leader="none" w:pos="1767"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 Upon Termination of Employment for Cause</w:t>
      </w:r>
      <w:r>
        <w:rPr>
          <w:rFonts w:ascii="Times New Roman" w:cs="Times New Roman" w:eastAsia="Times New Roman" w:hAnsi="Times New Roman"/>
          <w:sz w:val="18"/>
          <w:szCs w:val="18"/>
          <w:color w:val="auto"/>
        </w:rPr>
        <w:t>. Unless specifically provided otherwise in this Award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agreement authorized by the Committee between Grantee and the Company or any of its Subsidiaries, as applicable, governing the terms of this Award, if Grantee ceases to be Employed for any or no reason (including any termination or resignation by Grantee), any Options awarded under this Award Agreement will thereupon be forfeited at no cost to the Company and Grantee will have no further rights thereunder.</w:t>
      </w:r>
    </w:p>
    <w:p>
      <w:pPr>
        <w:spacing w:after="0" w:line="179" w:lineRule="exact"/>
        <w:rPr>
          <w:rFonts w:ascii="Times New Roman" w:cs="Times New Roman" w:eastAsia="Times New Roman" w:hAnsi="Times New Roman"/>
          <w:sz w:val="18"/>
          <w:szCs w:val="18"/>
          <w:color w:val="auto"/>
        </w:rPr>
      </w:pPr>
    </w:p>
    <w:p>
      <w:pPr>
        <w:ind w:left="120" w:right="360" w:firstLine="1428"/>
        <w:spacing w:after="0" w:line="267" w:lineRule="auto"/>
        <w:tabs>
          <w:tab w:leader="none" w:pos="1817"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 Upon Failure to Mandatory Exercise</w:t>
      </w:r>
      <w:r>
        <w:rPr>
          <w:rFonts w:ascii="Times New Roman" w:cs="Times New Roman" w:eastAsia="Times New Roman" w:hAnsi="Times New Roman"/>
          <w:sz w:val="18"/>
          <w:szCs w:val="18"/>
          <w:color w:val="auto"/>
        </w:rPr>
        <w:t>. If Grantee does not exercise the Mandatory Exercise Option portion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Tranche during the Mandatory Exercise Period, all remaining Options (in respect of the current Quarterly Tranche and any subsequent Quarterly Tranche) shall be forfeited.</w:t>
      </w:r>
    </w:p>
    <w:p>
      <w:pPr>
        <w:spacing w:after="0" w:line="173" w:lineRule="exact"/>
        <w:rPr>
          <w:rFonts w:ascii="Times New Roman" w:cs="Times New Roman" w:eastAsia="Times New Roman" w:hAnsi="Times New Roman"/>
          <w:sz w:val="18"/>
          <w:szCs w:val="18"/>
          <w:color w:val="auto"/>
        </w:rPr>
      </w:pPr>
    </w:p>
    <w:p>
      <w:pPr>
        <w:ind w:left="120" w:firstLine="1428"/>
        <w:spacing w:after="0" w:line="273" w:lineRule="auto"/>
        <w:tabs>
          <w:tab w:leader="none" w:pos="1867" w:val="left"/>
        </w:tabs>
        <w:numPr>
          <w:ilvl w:val="3"/>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of Employment by Executive without Good Reason</w:t>
      </w:r>
      <w:r>
        <w:rPr>
          <w:rFonts w:ascii="Times New Roman" w:cs="Times New Roman" w:eastAsia="Times New Roman" w:hAnsi="Times New Roman"/>
          <w:sz w:val="17"/>
          <w:szCs w:val="17"/>
          <w:color w:val="auto"/>
        </w:rPr>
        <w:t>. Unless specifically provided otherwise in this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if Grantee ceases to be Employed due to Grantee’s voluntary resignation of Employment, (A) any Options awarded under this Award Agreement in respect of which the Mandatory Exercise Period has not yet occurred and which are not yet exercisable will be forfeited automatically and</w:t>
      </w:r>
    </w:p>
    <w:p>
      <w:pPr>
        <w:spacing w:after="0" w:line="1" w:lineRule="exact"/>
        <w:rPr>
          <w:rFonts w:ascii="Times New Roman" w:cs="Times New Roman" w:eastAsia="Times New Roman" w:hAnsi="Times New Roman"/>
          <w:sz w:val="17"/>
          <w:szCs w:val="17"/>
          <w:color w:val="auto"/>
        </w:rPr>
      </w:pPr>
    </w:p>
    <w:p>
      <w:pPr>
        <w:jc w:val="both"/>
        <w:ind w:left="120" w:right="100" w:hanging="4"/>
        <w:spacing w:after="0" w:line="255" w:lineRule="auto"/>
        <w:tabs>
          <w:tab w:leader="none" w:pos="4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awarded under this Award Agreement in respect of which the Mandatory Exercise Period has occurred and which are exercisable as of the date of Grantee’s termination of Employment or service will remain exercisable for a period of 90 days following the date of Grantee’s termination of Employment or services.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1428"/>
        <w:spacing w:after="0" w:line="271" w:lineRule="auto"/>
        <w:tabs>
          <w:tab w:leader="none" w:pos="1857" w:val="left"/>
        </w:tabs>
        <w:numPr>
          <w:ilvl w:val="3"/>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of Employment without Cause or for Good Reason</w:t>
      </w:r>
      <w:r>
        <w:rPr>
          <w:rFonts w:ascii="Times New Roman" w:cs="Times New Roman" w:eastAsia="Times New Roman" w:hAnsi="Times New Roman"/>
          <w:sz w:val="17"/>
          <w:szCs w:val="17"/>
          <w:color w:val="auto"/>
        </w:rPr>
        <w:t>. Unless specifically provided otherwise in this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if Grantee ceases to be Employed due to a termination of Employment or services by the Company without Cause, by Grantee for Good Reason, or due to Grantee’s death or disability (as determined by the Committee in its sole discretion), (A) any Options awarded under this Award Agreement in respect of which the Mandatory Exercise Period has not yet occurred and which are not yet exercisable will be forfeited automatically and</w:t>
      </w:r>
    </w:p>
    <w:p>
      <w:pPr>
        <w:spacing w:after="0" w:line="1" w:lineRule="exact"/>
        <w:rPr>
          <w:rFonts w:ascii="Times New Roman" w:cs="Times New Roman" w:eastAsia="Times New Roman" w:hAnsi="Times New Roman"/>
          <w:sz w:val="17"/>
          <w:szCs w:val="17"/>
          <w:color w:val="auto"/>
        </w:rPr>
      </w:pPr>
    </w:p>
    <w:p>
      <w:pPr>
        <w:ind w:left="120" w:right="100" w:hanging="4"/>
        <w:spacing w:after="0" w:line="255" w:lineRule="auto"/>
        <w:tabs>
          <w:tab w:leader="none" w:pos="40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awarded under this Award Agreement in respect of which the Mandatory Exercise Period has occurred and which are exercisable as of the date of Grantee’s termination of Employment or service will remain exercisable for a period of 12 months following the date of Grantee’s termination of Employment or services.</w:t>
      </w:r>
    </w:p>
    <w:p>
      <w:pPr>
        <w:spacing w:after="0" w:line="18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may exercise any exercisable Options in accordance with the Notice of Grant. Grantee may elect to give written notice to the Company of Grantee’s election to purchase all or any portion of any then-exercisable Options at the time of such notice. This notice shall specify the number of Shares to be purchased. Payment of the Exercise Price for the Option Shares shall be made by Grantee delivering to the Company a properly executed exercise notice or such other documents designated by the Company, or a third party designated by the Company, for exercise, and such payment of the Exercise Price shall be made by Grantee to the Company (i) in the case of any Exercise Price payable in respect of Mandatory Exercise Options, in cash or (ii) in the case of any Exercise Price payable in respect of Optional Exercise Options, (x) in cash or (y) by directing the Company to withhold such number of Shares otherwise issuable in connection with the exercise of the Optional Exercise Option having an aggregate fair market value equal to the Exercise Price. The delivery of Shares representing the Option Shares will be contingent upon the Company’s receipt from Grantee of full payment for the Option Shares, as set forth above and any agreement, statement or other evidence that the Company may require to satisfy itself that the issuance of Shares to be purchased pursuant to the exercise of Options under the Plan and any subsequent resale of the Shares will be in compliance with applicable laws and regulations.</w:t>
      </w:r>
    </w:p>
    <w:p>
      <w:pPr>
        <w:spacing w:after="0" w:line="191" w:lineRule="exact"/>
        <w:rPr>
          <w:rFonts w:ascii="Times New Roman" w:cs="Times New Roman" w:eastAsia="Times New Roman" w:hAnsi="Times New Roman"/>
          <w:sz w:val="18"/>
          <w:szCs w:val="18"/>
          <w:color w:val="auto"/>
        </w:rPr>
      </w:pPr>
    </w:p>
    <w:p>
      <w:pPr>
        <w:ind w:left="120" w:right="740" w:firstLine="987"/>
        <w:spacing w:after="0" w:line="282" w:lineRule="auto"/>
        <w:tabs>
          <w:tab w:leader="none" w:pos="1366"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the Options shall be exercisable after any applicable Expiration Date or Forfeiture Date.</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61"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Grantee</w:t>
      </w:r>
      <w:r>
        <w:rPr>
          <w:rFonts w:ascii="Times New Roman" w:cs="Times New Roman" w:eastAsia="Times New Roman" w:hAnsi="Times New Roman"/>
          <w:sz w:val="18"/>
          <w:szCs w:val="18"/>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9" w:lineRule="exact"/>
        <w:rPr>
          <w:rFonts w:ascii="Times New Roman" w:cs="Times New Roman" w:eastAsia="Times New Roman" w:hAnsi="Times New Roman"/>
          <w:sz w:val="18"/>
          <w:szCs w:val="18"/>
          <w:color w:val="auto"/>
        </w:rPr>
      </w:pPr>
    </w:p>
    <w:p>
      <w:pPr>
        <w:jc w:val="both"/>
        <w:ind w:left="120" w:right="300" w:firstLine="436"/>
        <w:spacing w:after="0" w:line="255" w:lineRule="auto"/>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the intent of this Award Agreement that it and all payments and benefits to U.S. taxpayers hereunder be exempt from the requirements of Section 409A so that none of the Options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w:t>
      </w:r>
    </w:p>
    <w:p>
      <w:pPr>
        <w:spacing w:after="0" w:line="2" w:lineRule="exact"/>
        <w:rPr>
          <w:rFonts w:ascii="Times New Roman" w:cs="Times New Roman" w:eastAsia="Times New Roman" w:hAnsi="Times New Roman"/>
          <w:sz w:val="18"/>
          <w:szCs w:val="18"/>
          <w:color w:val="auto"/>
        </w:rPr>
      </w:pPr>
    </w:p>
    <w:p>
      <w:pPr>
        <w:ind w:left="12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1.409A-2(b)(2).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18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89" w:lineRule="auto"/>
        <w:tabs>
          <w:tab w:leader="none" w:pos="1356"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Grantee acknowledges that, regardless of any action taken by the Company or, if different, Grantee’s employer or any parent or Subsidiary of the Company to which Grantee is providing services (together, the “</w:t>
      </w:r>
      <w:r>
        <w:rPr>
          <w:rFonts w:ascii="Times New Roman" w:cs="Times New Roman" w:eastAsia="Times New Roman" w:hAnsi="Times New Roman"/>
          <w:sz w:val="17"/>
          <w:szCs w:val="17"/>
          <w:u w:val="single" w:color="auto"/>
          <w:color w:val="auto"/>
        </w:rPr>
        <w:t>Service Recipients</w:t>
      </w:r>
      <w:r>
        <w:rPr>
          <w:rFonts w:ascii="Times New Roman" w:cs="Times New Roman" w:eastAsia="Times New Roman" w:hAnsi="Times New Roman"/>
          <w:sz w:val="17"/>
          <w:szCs w:val="17"/>
          <w:color w:val="auto"/>
        </w:rPr>
        <w:t>”), the ultimate liability for any tax and/or social insurance liability obligations and requirements in connection with the Options, including, without limitation, (i) all federal,</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state, and local taxes (including Grantee’s Federal Insurance Contributions Act (FICA) obligations) that are required to be withheld by any Service Recipient or other payment of tax-related items related to the Award Agreement and legally applicable to Grantee, (ii) Grantee’s and, to the extent required by any Service Recipient, the Service Recipient’s fringe benefit tax liability, if any, associated with the grant, vesting, or exercise of the Options or sale of Shares, and (iii) any other Service Recipient taxes the responsibility for which Grantee has, or has agreed to bear, with respect to the Options (or exercise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Options, including, but not limited to, the grant, vesting or exercise of the Options, the subsequent sale of Shares acquired pursuant to such exercise and the receipt of any dividends or other distributions, and (B) makes any commitment to and is under any obligation to structure the terms of the grant or any aspect of the Options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187" w:lineRule="exact"/>
        <w:rPr>
          <w:sz w:val="20"/>
          <w:szCs w:val="20"/>
          <w:color w:val="auto"/>
        </w:rPr>
      </w:pPr>
    </w:p>
    <w:p>
      <w:pPr>
        <w:ind w:left="120" w:right="20" w:firstLine="987"/>
        <w:spacing w:after="0" w:line="256" w:lineRule="auto"/>
        <w:tabs>
          <w:tab w:leader="none" w:pos="136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Committee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withholding the amount of such Withholding Obligations from Grantee’s wages or other cash compensation paid to Grantee by the applicable Service Recipient(s), or (iii) such other means as the Committee deems appropriate.</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Options otherwise are scheduled to be exercised pursuant to Section 2 and the Notice of Grant or Grantee’s Withholding Obligations otherwise become due, Grantee permanently will forfeit such Options to which Grantee’s Withholding Obligation relates and any right to receive Shares thereunder and such Options will be returned to the Company at no cost to the Company. Grantee acknowledges and agrees that the Company may permanently refuse to issue or deliver the Shares if such Withholding Obligations are not delivered at the time they are due.</w:t>
      </w:r>
    </w:p>
    <w:p>
      <w:pPr>
        <w:spacing w:after="0" w:line="188"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36"/>
        <w:spacing w:after="0" w:line="255"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Grantee acknowledges and agrees that the exercisability of Options pursuant to the exercise schedule hereof is earned only by continuing Employment through the applicable exercise dates, which unless provided otherwise under applicable law, is at the will of the Company and not through the act of being hired, being granted this Option award, or acquiring Shares hereunder. Grantee further acknowledges and agrees that this Award Agreement, the transactions contemplated hereunder, and the exercise schedule set forth herein do not constitute an express or implied promise of continued engagement as a service provider for any period, or at all, and shall not interfere in any way with Grantee’s right or the right of any Service Recipient to terminate Grantee’s Employment, subject to applicable law, which termination, unless provided otherwise under applicable law or written agreement between Grantee and the Service Recipient, may be at any time, with or without cause.</w:t>
      </w:r>
    </w:p>
    <w:p>
      <w:pPr>
        <w:spacing w:after="0" w:line="188" w:lineRule="exact"/>
        <w:rPr>
          <w:rFonts w:ascii="Times New Roman" w:cs="Times New Roman" w:eastAsia="Times New Roman" w:hAnsi="Times New Roman"/>
          <w:sz w:val="18"/>
          <w:szCs w:val="18"/>
          <w:color w:val="auto"/>
        </w:rPr>
      </w:pPr>
    </w:p>
    <w:p>
      <w:pPr>
        <w:jc w:val="both"/>
        <w:ind w:left="120" w:right="40" w:firstLine="436"/>
        <w:spacing w:after="0" w:line="258"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4,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Options, Grantee acknowledges, understands and agrees that:</w:t>
      </w:r>
    </w:p>
    <w:p>
      <w:pPr>
        <w:spacing w:after="0" w:line="117" w:lineRule="exact"/>
        <w:rPr>
          <w:rFonts w:ascii="Times New Roman" w:cs="Times New Roman" w:eastAsia="Times New Roman" w:hAnsi="Times New Roman"/>
          <w:sz w:val="18"/>
          <w:szCs w:val="18"/>
          <w:color w:val="auto"/>
        </w:rPr>
      </w:pPr>
    </w:p>
    <w:p>
      <w:pPr>
        <w:ind w:left="120" w:right="580" w:firstLine="987"/>
        <w:spacing w:after="0" w:line="282" w:lineRule="auto"/>
        <w:tabs>
          <w:tab w:leader="none" w:pos="13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Options is voluntary and occasional and does not create any contractual or other right to receive future grants of Options, or benefits in lieu of Options, even if Options have been granted in the past;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Options or other grants, if any, will be at the sole discretion of the Administrator;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voluntarily accepting this Award Agreement;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subject to the Options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subject to the Options,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Options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Options, Grantee’s Employment status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Employed or the terms of Grantee’s employment or service agreement, if any), and unless otherwise expressly provided in this Award Agreement (including by reference in the Notice of Grant to other arrangements or contracts) or determined by the Committee, Grantee’s right to exercise the Options, if any, will terminate as of such date and will not be extended by any notice period (e.g., Grantee’s period of service would not include any contractual notice period or any period of “garden leave” or similar period mandated under employment laws in the jurisdiction where Grantee is Employed or the terms of Grantee’s employment or service agreement, if any, unless Grantee is providing bona fide services during such time); the Committee shall have the exclusive discretion to determine when Grantee is no longer actively providing services for purposes of this Award of Options (including whether Grantee may still be considered to be providing services while on a leave of absence and consistent with local law);</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987"/>
        <w:spacing w:after="0" w:line="266" w:lineRule="auto"/>
        <w:tabs>
          <w:tab w:leader="none" w:pos="13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Committee in its discretion, the Options and the benefits evidenced by this Award Agreement do not create any entitlement to have the Options or any such benefits transferred to, or assumed by, another company nor be exchanged, cashed out or substituted for, in connection with any corporate transaction affecting the Shares; and</w:t>
      </w:r>
    </w:p>
    <w:p>
      <w:pPr>
        <w:spacing w:after="0" w:line="17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the following provisions apply only if Grantee is providing services outside the United States:</w:t>
      </w:r>
    </w:p>
    <w:p>
      <w:pPr>
        <w:spacing w:after="0" w:line="117" w:lineRule="exact"/>
        <w:rPr>
          <w:sz w:val="20"/>
          <w:szCs w:val="20"/>
          <w:color w:val="auto"/>
        </w:rPr>
      </w:pPr>
    </w:p>
    <w:p>
      <w:pPr>
        <w:ind w:left="1760" w:hanging="212"/>
        <w:spacing w:after="0"/>
        <w:tabs>
          <w:tab w:leader="none" w:pos="1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Shares subject to the Options are not part of normal or expected compensation or salary for any purpose;</w:t>
      </w:r>
    </w:p>
    <w:p>
      <w:pPr>
        <w:spacing w:after="0" w:line="225" w:lineRule="exact"/>
        <w:rPr>
          <w:rFonts w:ascii="Times New Roman" w:cs="Times New Roman" w:eastAsia="Times New Roman" w:hAnsi="Times New Roman"/>
          <w:sz w:val="18"/>
          <w:szCs w:val="18"/>
          <w:color w:val="auto"/>
        </w:rPr>
      </w:pPr>
    </w:p>
    <w:p>
      <w:pPr>
        <w:ind w:left="120" w:right="340" w:firstLine="1428"/>
        <w:spacing w:after="0" w:line="266" w:lineRule="auto"/>
        <w:tabs>
          <w:tab w:leader="none" w:pos="181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and agrees that no Service Recipient shall be liable for any foreign exchange rate fluctuation between Grantee’s local currency and the United States Dollar that may affect the value of the Options or the subsequent sale of any Shares acquired upon exercise; and</w:t>
      </w:r>
    </w:p>
    <w:p>
      <w:pPr>
        <w:spacing w:after="0" w:line="175" w:lineRule="exact"/>
        <w:rPr>
          <w:rFonts w:ascii="Times New Roman" w:cs="Times New Roman" w:eastAsia="Times New Roman" w:hAnsi="Times New Roman"/>
          <w:sz w:val="18"/>
          <w:szCs w:val="18"/>
          <w:color w:val="auto"/>
        </w:rPr>
      </w:pPr>
    </w:p>
    <w:p>
      <w:pPr>
        <w:ind w:left="120" w:right="100" w:firstLine="1428"/>
        <w:spacing w:after="0" w:line="255" w:lineRule="auto"/>
        <w:tabs>
          <w:tab w:leader="none" w:pos="186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Options resulting from the termination of Grantee’s Employment (for any reason whatsoever whether or not later found to be invalid or in breach of employment laws in the jurisdiction where Grantee is Employed or the terms of Grantee’s employment or service agreement, if any), and in consideration of the grant of the Options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accepting this Award Agreement, Grantee shall be deemed irrevocably to have agreed not to pursue such claim and agrees to execute any and all documents necessary to request dismissal or withdrawal of such claim.</w:t>
      </w:r>
    </w:p>
    <w:p>
      <w:pPr>
        <w:spacing w:after="0" w:line="188" w:lineRule="exact"/>
        <w:rPr>
          <w:rFonts w:ascii="Times New Roman" w:cs="Times New Roman" w:eastAsia="Times New Roman" w:hAnsi="Times New Roman"/>
          <w:sz w:val="18"/>
          <w:szCs w:val="18"/>
          <w:color w:val="auto"/>
        </w:rPr>
      </w:pPr>
    </w:p>
    <w:p>
      <w:pPr>
        <w:ind w:left="120" w:right="560" w:firstLine="436"/>
        <w:spacing w:after="0" w:line="266" w:lineRule="auto"/>
        <w:tabs>
          <w:tab w:leader="none" w:pos="8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Grantee’s acquisition or sale of the Shares underlying the Options. Grantee is hereby advised to consult with his own personal tax, legal and financial advisers regarding this Award Agreement before taking any action related to the Award.</w:t>
      </w:r>
    </w:p>
    <w:p>
      <w:pPr>
        <w:spacing w:after="0" w:line="175"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Grantee hereby explicitly and unambiguously consents to the collection, use and transfer, in electronic or other form, of Grantee’s personal data as described in this Award Agreement and any other Option grant materials by and among, as applicable, the Service Recipients for the exclusive purpose of implementing, administering and managing Grantee’s acceptance of this Award Agreement.</w:t>
      </w:r>
    </w:p>
    <w:p>
      <w:pPr>
        <w:spacing w:after="0" w:line="176"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Grantee’s favor (“</w:t>
      </w:r>
      <w:r>
        <w:rPr>
          <w:rFonts w:ascii="Times New Roman" w:cs="Times New Roman" w:eastAsia="Times New Roman" w:hAnsi="Times New Roman"/>
          <w:sz w:val="17"/>
          <w:szCs w:val="17"/>
          <w:u w:val="single" w:color="auto"/>
          <w:color w:val="auto"/>
        </w:rPr>
        <w:t>Data</w:t>
      </w:r>
      <w:r>
        <w:rPr>
          <w:rFonts w:ascii="Times New Roman" w:cs="Times New Roman" w:eastAsia="Times New Roman" w:hAnsi="Times New Roman"/>
          <w:sz w:val="17"/>
          <w:szCs w:val="17"/>
          <w:color w:val="auto"/>
        </w:rPr>
        <w:t>”), for the exclusive purpose of implementing, administering and managing the Award Agreement.</w:t>
      </w:r>
    </w:p>
    <w:p>
      <w:pPr>
        <w:spacing w:after="0" w:line="16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Grantee understands that Data may be transferred to a stock plan service provider, as may be selected by the Company in the future, assisting the Company with the implementation, administration and management of the Award Agreement.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Award Agreement to receive, possess, use, retain and transfer the Data, in electronic or other form, for the sole purpose of implementing, administering and managing the Award Agreement. Grantee understands that Data will be held only as long as 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necessary to implement, administer and manage the Award Agreement.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Employment status and career with the Service Recipient will not be adversely affected. The only adverse consequence of refusing or withdrawing Grantee’s consent is that the Company would not be able to grant Grantee Options or other equity awards or administer or maintain such awards. Therefore, Grantee understands that refusing or withdrawing his or her consent may affect Grantee’s ability to benefit from this Award Agreement. For more information on the consequences of Grantee’s refusal to consent or withdrawal of consent, Grantee understands that he or she may contact his or her local human resources representative.</w:t>
      </w:r>
    </w:p>
    <w:p>
      <w:pPr>
        <w:spacing w:after="0" w:line="18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176" w:lineRule="exact"/>
        <w:rPr>
          <w:sz w:val="20"/>
          <w:szCs w:val="20"/>
          <w:color w:val="auto"/>
        </w:rPr>
      </w:pPr>
    </w:p>
    <w:p>
      <w:pPr>
        <w:ind w:left="120" w:right="260" w:firstLine="436"/>
        <w:spacing w:after="0" w:line="261"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pacing w:after="0" w:line="179" w:lineRule="exact"/>
        <w:rPr>
          <w:rFonts w:ascii="Times New Roman" w:cs="Times New Roman" w:eastAsia="Times New Roman" w:hAnsi="Times New Roman"/>
          <w:sz w:val="18"/>
          <w:szCs w:val="18"/>
          <w:color w:val="auto"/>
        </w:rPr>
      </w:pPr>
    </w:p>
    <w:p>
      <w:pPr>
        <w:ind w:left="120" w:right="20" w:firstLine="436"/>
        <w:spacing w:after="0" w:line="253"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This Award Agreement and the Options granted hereunder are subject to approval of the Options by the shareholders of the Company, and if such shareholder approval is not obtained, this Award Agreement and the Options granted hereunder shall be null and void.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Options as the Committee may establish from time to time for reasons of administrative convenience.</w:t>
      </w:r>
    </w:p>
    <w:p>
      <w:pPr>
        <w:spacing w:after="0" w:line="191" w:lineRule="exact"/>
        <w:rPr>
          <w:rFonts w:ascii="Times New Roman" w:cs="Times New Roman" w:eastAsia="Times New Roman" w:hAnsi="Times New Roman"/>
          <w:sz w:val="18"/>
          <w:szCs w:val="18"/>
          <w:color w:val="auto"/>
        </w:rPr>
      </w:pPr>
    </w:p>
    <w:p>
      <w:pPr>
        <w:ind w:left="120" w:right="320" w:firstLine="436"/>
        <w:spacing w:after="0" w:line="282"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Grantee has received this Award Agreement or any other document related to the Award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left="120" w:firstLine="436"/>
        <w:spacing w:after="0" w:line="256"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Committee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Options have become exercisable).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this Award Agreement.</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Options awarded under this Award Agreement by electronic means or require Grantee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to participate in the Award Agreement by electronic means. Grantee hereby consents to receive such documents by electronic delivery and agrees to participate in the Award Agreement through any on-line or electronic system established and maintained by the Company or a third party designated by the Company.</w:t>
      </w:r>
    </w:p>
    <w:p>
      <w:pPr>
        <w:spacing w:after="0" w:line="176" w:lineRule="exact"/>
        <w:rPr>
          <w:sz w:val="20"/>
          <w:szCs w:val="20"/>
          <w:color w:val="auto"/>
        </w:rPr>
      </w:pPr>
    </w:p>
    <w:p>
      <w:pPr>
        <w:ind w:left="120" w:right="320" w:firstLine="436"/>
        <w:spacing w:after="0" w:line="282" w:lineRule="auto"/>
        <w:tabs>
          <w:tab w:leader="none" w:pos="8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1" w:lineRule="exact"/>
        <w:rPr>
          <w:rFonts w:ascii="Times New Roman" w:cs="Times New Roman" w:eastAsia="Times New Roman" w:hAnsi="Times New Roman"/>
          <w:sz w:val="18"/>
          <w:szCs w:val="18"/>
          <w:color w:val="auto"/>
        </w:rPr>
      </w:pPr>
    </w:p>
    <w:p>
      <w:pPr>
        <w:ind w:left="120" w:firstLine="436"/>
        <w:spacing w:after="0" w:line="256" w:lineRule="auto"/>
        <w:tabs>
          <w:tab w:leader="none" w:pos="8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Option grant shall be subject to any special terms and conditions set forth in an appendix (if any) to this Award Agreement for any country whose laws are applicable to Grantee and this Award of Options (as determined by the Committee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pacing w:after="0" w:line="187" w:lineRule="exact"/>
        <w:rPr>
          <w:rFonts w:ascii="Times New Roman" w:cs="Times New Roman" w:eastAsia="Times New Roman" w:hAnsi="Times New Roman"/>
          <w:sz w:val="18"/>
          <w:szCs w:val="18"/>
          <w:color w:val="auto"/>
        </w:rPr>
      </w:pPr>
    </w:p>
    <w:p>
      <w:pPr>
        <w:ind w:left="120" w:firstLine="436"/>
        <w:spacing w:after="0" w:line="256" w:lineRule="auto"/>
        <w:tabs>
          <w:tab w:leader="none" w:pos="8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Options.</w:t>
      </w:r>
    </w:p>
    <w:p>
      <w:pPr>
        <w:spacing w:after="0" w:line="187" w:lineRule="exact"/>
        <w:rPr>
          <w:rFonts w:ascii="Times New Roman" w:cs="Times New Roman" w:eastAsia="Times New Roman" w:hAnsi="Times New Roman"/>
          <w:sz w:val="18"/>
          <w:szCs w:val="18"/>
          <w:color w:val="auto"/>
        </w:rPr>
      </w:pPr>
    </w:p>
    <w:p>
      <w:pPr>
        <w:ind w:left="120" w:firstLine="436"/>
        <w:spacing w:after="0" w:line="261" w:lineRule="auto"/>
        <w:tabs>
          <w:tab w:leader="none" w:pos="8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Options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5" w:lineRule="exact"/>
        <w:rPr>
          <w:rFonts w:ascii="Times New Roman" w:cs="Times New Roman" w:eastAsia="Times New Roman" w:hAnsi="Times New Roman"/>
          <w:sz w:val="18"/>
          <w:szCs w:val="18"/>
          <w:color w:val="auto"/>
        </w:rPr>
      </w:pPr>
    </w:p>
    <w:p>
      <w:pPr>
        <w:ind w:left="120" w:right="240" w:firstLine="436"/>
        <w:spacing w:after="0" w:line="258" w:lineRule="auto"/>
        <w:tabs>
          <w:tab w:leader="none" w:pos="8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and conditions of the Plan are incorporated herein by reference (notwithstanding the Award Agreement is not granted under the Plan). The terms and conditions of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18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Country Addendum includes additional terms and conditions that govern the Award of Options granted to Grantee under the Plan if Grantee works or resides outside the U.S.. If Grantee is a citizen or resident of a country (or is considered as such for local law purposes) other than the one in which he or she is currently working or if Grantee relocates to another country after receiving the Award of Options, the Company will, in its discretion, determine the extent to which the terms and conditions contained herein will be applicable to Grantee.</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Certain capitalized terms used but not defined in this Country Addendum shall have the meanings set forth in the Plan, and/or the Award Agreement to which this Country Addendum is attached.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Country Addendum also includes notifications relating to exchange control and other issues of which Grantee should be aware with respect to his or her participation in the Plan. The information is based on the exchange control, securities and other laws in effect in the countries listed in this Country Addendum, as of March 2025 (except as otherwise noted below). Such laws are often complex and change frequently. As a result, the Company strongly recommends that Grantee not rely on the notifications herein as the only source of information relating to the consequences of his or her participation in the Plan because the information may be outdated when Grantee exercises the Options and acquires Shares, or when Grantee subsequently sells Shares acquired under the Plan.</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addition, the notifications are general in nature and may not apply to Grantee’s particular situation, and the Company is not in a position to assure Grantee of any particular result. Accordingly, Grantee is advised to seek appropriate professional advice as to how the relevant laws in Grantee’s country may apply to Grantee’s situation.</w:t>
      </w:r>
    </w:p>
    <w:p>
      <w:pPr>
        <w:spacing w:after="0" w:line="176"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Finally, if Grantee is a citizen or resident of a country other than the one in which Grantee is currently working (or is considered as such for local law purposes) or if Grantee moves to another country after receiving the Award of Options, the information contained herein may not be applicable to Grantee.</w:t>
      </w:r>
    </w:p>
    <w:p>
      <w:pPr>
        <w:spacing w:after="0" w:line="320" w:lineRule="exact"/>
        <w:rPr>
          <w:sz w:val="20"/>
          <w:szCs w:val="20"/>
          <w:color w:val="auto"/>
        </w:rPr>
      </w:pPr>
    </w:p>
    <w:p>
      <w:pPr>
        <w:ind w:left="660" w:hanging="544"/>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GLOBAL PROVISIONS APPLICABLE TO GRANTEES IN ALL COUNTRIES OTHER THAN THE UNITED STATES</w:t>
      </w:r>
    </w:p>
    <w:p>
      <w:pPr>
        <w:spacing w:after="0" w:line="117" w:lineRule="exact"/>
        <w:rPr>
          <w:rFonts w:ascii="Times New Roman" w:cs="Times New Roman" w:eastAsia="Times New Roman" w:hAnsi="Times New Roman"/>
          <w:sz w:val="18"/>
          <w:szCs w:val="18"/>
          <w:b w:val="1"/>
          <w:bCs w:val="1"/>
          <w:color w:val="auto"/>
        </w:rPr>
      </w:pPr>
    </w:p>
    <w:p>
      <w:pPr>
        <w:ind w:left="120" w:right="60" w:firstLine="436"/>
        <w:spacing w:after="0" w:line="255" w:lineRule="auto"/>
        <w:tabs>
          <w:tab w:leader="none" w:pos="7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Exchange Considerations</w:t>
      </w:r>
      <w:r>
        <w:rPr>
          <w:rFonts w:ascii="Times New Roman" w:cs="Times New Roman" w:eastAsia="Times New Roman" w:hAnsi="Times New Roman"/>
          <w:sz w:val="18"/>
          <w:szCs w:val="18"/>
          <w:color w:val="auto"/>
        </w:rPr>
        <w:t>. Grantee understands and agrees that neither the Company, the Employer nor any Parent, Subsidiary,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Service Recipient shall be liable for any foreign exchange rate fluctuation between Grantee’s local currency and the U.S. dollar that may affect the value of the Options granted to Grantee, or of any amounts due to Grantee in connection with the Options or as a result of the subsequent sale of any Shares acquired upon exercise of the Options. Grantee agrees and acknowledges that Grantee will bear any and all risk associated with the exchange or fluctuation of currency associated with Grantee’s participation in the Plan. Grantee acknowledges and agrees that Grantee may be responsible for reporting inbound transactions or fund transfers that exceed a certain amount. Grantee is advised to seek appropriate professional advice as to how the applicable exchange control regulations apply to the Options and Grantee’s specific situation and understands that the relevant laws and regulations can change frequently and occasionally on a retroactive basis.</w:t>
      </w:r>
    </w:p>
    <w:p>
      <w:pPr>
        <w:spacing w:after="0" w:line="184" w:lineRule="exact"/>
        <w:rPr>
          <w:rFonts w:ascii="Times New Roman" w:cs="Times New Roman" w:eastAsia="Times New Roman" w:hAnsi="Times New Roman"/>
          <w:sz w:val="18"/>
          <w:szCs w:val="18"/>
          <w:color w:val="auto"/>
        </w:rPr>
      </w:pPr>
    </w:p>
    <w:p>
      <w:pPr>
        <w:ind w:left="120" w:right="400" w:firstLine="436"/>
        <w:spacing w:after="0" w:line="286" w:lineRule="auto"/>
        <w:tabs>
          <w:tab w:leader="none" w:pos="7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Acknowledgements</w:t>
      </w:r>
      <w:r>
        <w:rPr>
          <w:rFonts w:ascii="Times New Roman" w:cs="Times New Roman" w:eastAsia="Times New Roman" w:hAnsi="Times New Roman"/>
          <w:sz w:val="18"/>
          <w:szCs w:val="18"/>
          <w:color w:val="auto"/>
        </w:rPr>
        <w:t>. This section supplements Section 11(i) of Exhibit A of this Award Agreement: By accepting the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Grantee acknowledges, understands and agrees that:</w:t>
      </w:r>
    </w:p>
    <w:p>
      <w:pPr>
        <w:spacing w:after="0" w:line="50" w:lineRule="exact"/>
        <w:rPr>
          <w:rFonts w:ascii="Times New Roman" w:cs="Times New Roman" w:eastAsia="Times New Roman" w:hAnsi="Times New Roman"/>
          <w:sz w:val="18"/>
          <w:szCs w:val="18"/>
          <w:color w:val="auto"/>
        </w:rPr>
      </w:pPr>
    </w:p>
    <w:p>
      <w:pPr>
        <w:ind w:left="120" w:right="540" w:firstLine="987"/>
        <w:spacing w:after="0" w:line="282" w:lineRule="auto"/>
        <w:tabs>
          <w:tab w:leader="none" w:pos="1356"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and the income and value of same, are an extraordinary item which is outside the scope of Grantee’s employment or service contract, if any;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61" w:lineRule="auto"/>
        <w:tabs>
          <w:tab w:leader="none" w:pos="136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Grantee is not an employee of the Company or any Parent, Subsidiary, Grantee understands and agrees that neither the offer to participate in the Plan, nor Grantee’s participation in the Plan, will be interpreted to form an employment or service contract or relationship with the Company or any Parent, Subsidiary, and furthermore, nothing in the Plan, this Award Agreement nor Grantee’s participation in the Plan will be interpreted to form an employment or service contract with the Company or any Parent or Subsidiary.</w:t>
      </w:r>
    </w:p>
    <w:p>
      <w:pPr>
        <w:spacing w:after="0" w:line="175" w:lineRule="exact"/>
        <w:rPr>
          <w:rFonts w:ascii="Times New Roman" w:cs="Times New Roman" w:eastAsia="Times New Roman" w:hAnsi="Times New Roman"/>
          <w:sz w:val="18"/>
          <w:szCs w:val="18"/>
          <w:color w:val="auto"/>
        </w:rPr>
      </w:pPr>
    </w:p>
    <w:p>
      <w:pPr>
        <w:ind w:left="120" w:firstLine="436"/>
        <w:spacing w:after="0" w:line="254" w:lineRule="auto"/>
        <w:tabs>
          <w:tab w:leader="none" w:pos="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Restrictions/Market Abuse Laws</w:t>
      </w:r>
      <w:r>
        <w:rPr>
          <w:rFonts w:ascii="Times New Roman" w:cs="Times New Roman" w:eastAsia="Times New Roman" w:hAnsi="Times New Roman"/>
          <w:sz w:val="18"/>
          <w:szCs w:val="18"/>
          <w:color w:val="auto"/>
        </w:rPr>
        <w:t>. Grantee acknowledges that, if and when the Shares are publicly listed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depending on Grantee’s country, Grantee may be subject to insider trading restrictions and/or market abuse laws in applicable jurisdictions, which may affect Grantee’s ability to directly or indirectly, accept, acquire, sell or attempt to sell or otherwise dispose of Shares or rights to the Shares, or rights linked to the value of Shares during such times as Grantee is considered to have “inside information” regarding the Company (as defined by the laws and/or regulations in applicable jurisdictions or Grantee’s country). Local insider trading laws and regulations may prohibit the cancellation or amendment of orders placed by Grantee before possessing the inside information. Furthermore, Grantee may be prohibited from (i) disclosing inside information to any third party, including fellow employees and service providers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are advised to speak to Grantee’s personal advisor on this matter.</w:t>
      </w:r>
    </w:p>
    <w:p>
      <w:pPr>
        <w:spacing w:after="0" w:line="185" w:lineRule="exact"/>
        <w:rPr>
          <w:rFonts w:ascii="Times New Roman" w:cs="Times New Roman" w:eastAsia="Times New Roman" w:hAnsi="Times New Roman"/>
          <w:sz w:val="18"/>
          <w:szCs w:val="18"/>
          <w:color w:val="auto"/>
        </w:rPr>
      </w:pPr>
    </w:p>
    <w:p>
      <w:pPr>
        <w:ind w:left="120" w:firstLine="436"/>
        <w:spacing w:after="0" w:line="259" w:lineRule="auto"/>
        <w:tabs>
          <w:tab w:leader="none" w:pos="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Asset/Account Reporting Requirements</w:t>
      </w:r>
      <w:r>
        <w:rPr>
          <w:rFonts w:ascii="Times New Roman" w:cs="Times New Roman" w:eastAsia="Times New Roman" w:hAnsi="Times New Roman"/>
          <w:sz w:val="18"/>
          <w:szCs w:val="18"/>
          <w:color w:val="auto"/>
        </w:rPr>
        <w:t>. Grantee acknowledges that there may be certain foreign asset and/or account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which may affect Grantee’s ability to hold Shares acquired under the Plan or cash received from participating in the Plan in a brokerage account outside Grantee’s country. Grantee may also be required to repatriate sale proceeds or other funds received as a result of participating in the Plan to Grantee’s country through a designated bank or broker within a certain time after receipt. It is Grantee’s responsibility to be compliant with such regulations and Grantee should speak with Grantee’s personal advisor on this matter.</w:t>
      </w:r>
    </w:p>
    <w:p>
      <w:pPr>
        <w:spacing w:after="0" w:line="179" w:lineRule="exact"/>
        <w:rPr>
          <w:rFonts w:ascii="Times New Roman" w:cs="Times New Roman" w:eastAsia="Times New Roman" w:hAnsi="Times New Roman"/>
          <w:sz w:val="18"/>
          <w:szCs w:val="18"/>
          <w:color w:val="auto"/>
        </w:rPr>
      </w:pPr>
    </w:p>
    <w:p>
      <w:pPr>
        <w:ind w:left="120" w:right="300" w:firstLine="436"/>
        <w:spacing w:after="0" w:line="262" w:lineRule="auto"/>
        <w:tabs>
          <w:tab w:leader="none" w:pos="7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 Considerations</w:t>
      </w:r>
      <w:r>
        <w:rPr>
          <w:rFonts w:ascii="Times New Roman" w:cs="Times New Roman" w:eastAsia="Times New Roman" w:hAnsi="Times New Roman"/>
          <w:sz w:val="18"/>
          <w:szCs w:val="18"/>
          <w:color w:val="auto"/>
        </w:rPr>
        <w:t>. This provision supplements Section 7 of this Award Agreement: Tax Obligations shall include any 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social security, social insurances, national insurance contributions, social insurance contributions, payroll tax, fringe benefit, or other tax-related items related to Grantee’s participation in the Plan and legally applicable to Grantee including, without limitation, in connection with the grant of the Options, the acquisition or sale of Shares acquired under the Options and/or the receipt of any dividends on such Shares</w:t>
      </w:r>
      <w:r>
        <w:rPr>
          <w:rFonts w:ascii="Times New Roman" w:cs="Times New Roman" w:eastAsia="Times New Roman" w:hAnsi="Times New Roman"/>
          <w:sz w:val="18"/>
          <w:szCs w:val="18"/>
          <w:b w:val="1"/>
          <w:bCs w:val="1"/>
          <w:color w:val="auto"/>
        </w:rPr>
        <w:t>.</w:t>
      </w:r>
    </w:p>
    <w:p>
      <w:pPr>
        <w:spacing w:after="0" w:line="324"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COUNTRY SPECIFIC PROVISIONS APPLICABLE TO GRANTEES IN THE IDENTIFIED COUNTRIES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t>Securities Notification</w:t>
      </w:r>
      <w:r>
        <w:rPr>
          <w:rFonts w:ascii="Times New Roman" w:cs="Times New Roman" w:eastAsia="Times New Roman" w:hAnsi="Times New Roman"/>
          <w:sz w:val="18"/>
          <w:szCs w:val="18"/>
          <w:color w:val="auto"/>
        </w:rPr>
        <w:t>. The Options are being offered only to select Employees and Consultants of the Company and its Subsidiaries or Parents or the Employer. Any documents related to the Options, including the Plan, the Award Agreement, Notice of Grant, and any other grant documents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are intended for distribution only to such Grantees and must not be delivered to, or relied on by, any other person. The information contained in these Grant Documents does not constitute an offer of securities registered under the laws of the United Arab Emirates (“</w:t>
      </w:r>
      <w:r>
        <w:rPr>
          <w:rFonts w:ascii="Times New Roman" w:cs="Times New Roman" w:eastAsia="Times New Roman" w:hAnsi="Times New Roman"/>
          <w:sz w:val="18"/>
          <w:szCs w:val="18"/>
          <w:u w:val="single" w:color="auto"/>
          <w:color w:val="auto"/>
        </w:rPr>
        <w:t>UAE</w:t>
      </w:r>
      <w:r>
        <w:rPr>
          <w:rFonts w:ascii="Times New Roman" w:cs="Times New Roman" w:eastAsia="Times New Roman" w:hAnsi="Times New Roman"/>
          <w:sz w:val="18"/>
          <w:szCs w:val="18"/>
          <w:color w:val="auto"/>
        </w:rPr>
        <w:t>”) relating to funds, investments or otherwise. These Grant Documents (a) do not constitute a public offer, or an advertisement or solicitation to the general public; and (b) are intended only for the original recipients hereof to whom these documents are personally provided and may not be reproduced or used for any other purpose. The Plan is not offered or intended to be sold directly or indirectly to the public in the UAE.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UAE securities or financial/economic authorities have no responsibility for reviewing or verifying any Grant Documents and have not approved the Grant Documents nor taken steps to verify the information set out in them, and thus, are not responsible for their content.</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Grantee is aware that Grantee should, as a prospective stockholder, conduct his or her own due diligence on the securities. Grantee acknowledges that if he or she does not understand the contents of the Grant Documents, Grantee should consult an authorized financial advisor.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251460</wp:posOffset>
            </wp:positionV>
            <wp:extent cx="934085" cy="368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4085" cy="36893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405765</wp:posOffset>
            </wp:positionV>
            <wp:extent cx="1954530" cy="4718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545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BAKKT HOLDINGS, INC.</w:t>
      </w:r>
    </w:p>
    <w:p>
      <w:pPr>
        <w:ind w:left="700" w:right="5360"/>
        <w:spacing w:after="0"/>
        <w:rPr>
          <w:sz w:val="20"/>
          <w:szCs w:val="20"/>
          <w:color w:val="auto"/>
        </w:rPr>
      </w:pPr>
      <w:r>
        <w:rPr>
          <w:rFonts w:ascii="Times New Roman" w:cs="Times New Roman" w:eastAsia="Times New Roman" w:hAnsi="Times New Roman"/>
          <w:sz w:val="14"/>
          <w:szCs w:val="14"/>
          <w:i w:val="1"/>
          <w:iCs w:val="1"/>
          <w:color w:val="auto"/>
        </w:rPr>
        <w:t xml:space="preserve">10000 AVALON BOULEVARD, SUITE 1000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4"/>
          <w:szCs w:val="14"/>
          <w:i w:val="1"/>
          <w:iCs w:val="1"/>
          <w:color w:val="auto"/>
        </w:rPr>
        <w:t xml:space="preserve"> ALPHARETTA, GEORGIA 30009</w:t>
      </w:r>
    </w:p>
    <w:p>
      <w:pPr>
        <w:spacing w:after="0" w:line="7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 xml:space="preserve">VOTE BY INTERNET - </w:t>
      </w:r>
      <w:r>
        <w:rPr>
          <w:rFonts w:ascii="Times New Roman" w:cs="Times New Roman" w:eastAsia="Times New Roman" w:hAnsi="Times New Roman"/>
          <w:sz w:val="14"/>
          <w:szCs w:val="14"/>
          <w:b w:val="1"/>
          <w:bCs w:val="1"/>
          <w:u w:val="single" w:color="auto"/>
          <w:color w:val="auto"/>
        </w:rPr>
        <w:t>www.proxyvote.com</w:t>
      </w:r>
      <w:r>
        <w:rPr>
          <w:rFonts w:ascii="Times New Roman" w:cs="Times New Roman" w:eastAsia="Times New Roman" w:hAnsi="Times New Roman"/>
          <w:sz w:val="14"/>
          <w:szCs w:val="14"/>
          <w:b w:val="1"/>
          <w:bCs w:val="1"/>
          <w:color w:val="auto"/>
        </w:rPr>
        <w:t xml:space="preserve"> or scan the QR Barcode above</w:t>
      </w:r>
    </w:p>
    <w:p>
      <w:pPr>
        <w:ind w:left="5740"/>
        <w:spacing w:after="0" w:line="221"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w:t>
      </w:r>
    </w:p>
    <w:p>
      <w:pPr>
        <w:ind w:left="5740"/>
        <w:spacing w:after="0" w:line="221" w:lineRule="auto"/>
        <w:rPr>
          <w:sz w:val="20"/>
          <w:szCs w:val="20"/>
          <w:color w:val="auto"/>
        </w:rPr>
      </w:pPr>
      <w:r>
        <w:rPr>
          <w:rFonts w:ascii="Times New Roman" w:cs="Times New Roman" w:eastAsia="Times New Roman" w:hAnsi="Times New Roman"/>
          <w:sz w:val="14"/>
          <w:szCs w:val="14"/>
          <w:color w:val="auto"/>
        </w:rPr>
        <w:t>information up until 11:59 p.m. Eastern Time the day before the cut-off date or</w:t>
      </w:r>
    </w:p>
    <w:p>
      <w:pPr>
        <w:ind w:left="5740"/>
        <w:spacing w:after="0" w:line="222" w:lineRule="auto"/>
        <w:rPr>
          <w:sz w:val="20"/>
          <w:szCs w:val="20"/>
          <w:color w:val="auto"/>
        </w:rPr>
      </w:pPr>
      <w:r>
        <w:rPr>
          <w:rFonts w:ascii="Times New Roman" w:cs="Times New Roman" w:eastAsia="Times New Roman" w:hAnsi="Times New Roman"/>
          <w:sz w:val="14"/>
          <w:szCs w:val="14"/>
          <w:color w:val="auto"/>
        </w:rPr>
        <w:t>meeting date. Have your proxy card in hand when you access the web site and follow</w:t>
      </w:r>
    </w:p>
    <w:p>
      <w:pPr>
        <w:ind w:left="5740"/>
        <w:spacing w:after="0" w:line="221" w:lineRule="auto"/>
        <w:rPr>
          <w:sz w:val="20"/>
          <w:szCs w:val="20"/>
          <w:color w:val="auto"/>
        </w:rPr>
      </w:pPr>
      <w:r>
        <w:rPr>
          <w:rFonts w:ascii="Times New Roman" w:cs="Times New Roman" w:eastAsia="Times New Roman" w:hAnsi="Times New Roman"/>
          <w:sz w:val="14"/>
          <w:szCs w:val="14"/>
          <w:color w:val="auto"/>
        </w:rPr>
        <w:t>the instructions to obtain your records and to create an electronic voting instruction</w:t>
      </w:r>
    </w:p>
    <w:p>
      <w:pPr>
        <w:ind w:left="5740"/>
        <w:spacing w:after="0"/>
        <w:rPr>
          <w:sz w:val="20"/>
          <w:szCs w:val="20"/>
          <w:color w:val="auto"/>
        </w:rPr>
      </w:pPr>
      <w:r>
        <w:rPr>
          <w:rFonts w:ascii="Times New Roman" w:cs="Times New Roman" w:eastAsia="Times New Roman" w:hAnsi="Times New Roman"/>
          <w:sz w:val="14"/>
          <w:szCs w:val="14"/>
          <w:color w:val="auto"/>
        </w:rPr>
        <w:t>form.</w:t>
      </w:r>
    </w:p>
    <w:p>
      <w:pPr>
        <w:spacing w:after="0" w:line="1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 xml:space="preserve">During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www.virtualshareholdermeeting.com/BKKT2025SM</w:t>
      </w:r>
      <w:r>
        <w:rPr>
          <w:rFonts w:ascii="Times New Roman" w:cs="Times New Roman" w:eastAsia="Times New Roman" w:hAnsi="Times New Roman"/>
          <w:sz w:val="14"/>
          <w:szCs w:val="14"/>
          <w:b w:val="1"/>
          <w:bCs w:val="1"/>
          <w:color w:val="auto"/>
        </w:rPr>
        <w:t>2</w:t>
      </w:r>
    </w:p>
    <w:p>
      <w:pPr>
        <w:spacing w:after="0" w:line="16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You may attend the meeting via the Internet and vote during the meeting. Have the</w:t>
      </w:r>
    </w:p>
    <w:p>
      <w:pPr>
        <w:ind w:left="5740"/>
        <w:spacing w:after="0" w:line="226" w:lineRule="auto"/>
        <w:rPr>
          <w:sz w:val="20"/>
          <w:szCs w:val="20"/>
          <w:color w:val="auto"/>
        </w:rPr>
      </w:pPr>
      <w:r>
        <w:rPr>
          <w:rFonts w:ascii="Times New Roman" w:cs="Times New Roman" w:eastAsia="Times New Roman" w:hAnsi="Times New Roman"/>
          <w:sz w:val="14"/>
          <w:szCs w:val="14"/>
          <w:color w:val="auto"/>
        </w:rPr>
        <w:t>information that is printed in the box marked by the arrow available and follow the</w:t>
      </w:r>
    </w:p>
    <w:p>
      <w:pPr>
        <w:ind w:left="5740"/>
        <w:spacing w:after="0"/>
        <w:rPr>
          <w:sz w:val="20"/>
          <w:szCs w:val="20"/>
          <w:color w:val="auto"/>
        </w:rPr>
      </w:pPr>
      <w:r>
        <w:rPr>
          <w:rFonts w:ascii="Times New Roman" w:cs="Times New Roman" w:eastAsia="Times New Roman" w:hAnsi="Times New Roman"/>
          <w:sz w:val="14"/>
          <w:szCs w:val="14"/>
          <w:color w:val="auto"/>
        </w:rPr>
        <w:t>instructions.</w:t>
      </w:r>
    </w:p>
    <w:p>
      <w:pPr>
        <w:spacing w:after="0" w:line="15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ind w:left="5740"/>
        <w:spacing w:after="0" w:line="229"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w:t>
      </w:r>
    </w:p>
    <w:p>
      <w:pPr>
        <w:ind w:left="5740"/>
        <w:spacing w:after="0" w:line="221" w:lineRule="auto"/>
        <w:rPr>
          <w:sz w:val="20"/>
          <w:szCs w:val="20"/>
          <w:color w:val="auto"/>
        </w:rPr>
      </w:pPr>
      <w:r>
        <w:rPr>
          <w:rFonts w:ascii="Times New Roman" w:cs="Times New Roman" w:eastAsia="Times New Roman" w:hAnsi="Times New Roman"/>
          <w:sz w:val="14"/>
          <w:szCs w:val="14"/>
          <w:color w:val="auto"/>
        </w:rPr>
        <w:t>Eastern Time the day before the cut-off date or meeting date. Have your proxy card in</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hand when you call and then follow the instructions.</w:t>
      </w:r>
    </w:p>
    <w:p>
      <w:pPr>
        <w:spacing w:after="0" w:line="1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VOTE BY MAIL</w:t>
      </w:r>
    </w:p>
    <w:p>
      <w:pPr>
        <w:ind w:left="5740"/>
        <w:spacing w:after="0" w:line="229"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w:t>
      </w:r>
    </w:p>
    <w:p>
      <w:pPr>
        <w:ind w:left="5740"/>
        <w:spacing w:after="0" w:line="221" w:lineRule="auto"/>
        <w:rPr>
          <w:sz w:val="20"/>
          <w:szCs w:val="20"/>
          <w:color w:val="auto"/>
        </w:rPr>
      </w:pPr>
      <w:r>
        <w:rPr>
          <w:rFonts w:ascii="Times New Roman" w:cs="Times New Roman" w:eastAsia="Times New Roman" w:hAnsi="Times New Roman"/>
          <w:sz w:val="14"/>
          <w:szCs w:val="14"/>
          <w:color w:val="auto"/>
        </w:rPr>
        <w:t>have provided or return it to Vote Processing, c/o Broadridge, 51 Mercedes Way,</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Edgewood, NY 11717.</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4"/>
          <w:szCs w:val="14"/>
          <w:color w:val="auto"/>
        </w:rPr>
        <w:t>V76867-TBD                        KEEP THIS PORTION FOR YOUR RECORDS</w:t>
      </w:r>
    </w:p>
    <w:p>
      <w:pPr>
        <w:ind w:left="120"/>
        <w:spacing w:after="0"/>
        <w:rPr>
          <w:sz w:val="20"/>
          <w:szCs w:val="20"/>
          <w:color w:val="auto"/>
        </w:rPr>
      </w:pPr>
      <w:r>
        <w:rPr>
          <w:rFonts w:ascii="Times New Roman" w:cs="Times New Roman" w:eastAsia="Times New Roman" w:hAnsi="Times New Roman"/>
          <w:sz w:val="16"/>
          <w:szCs w:val="16"/>
          <w:color w:val="auto"/>
        </w:rPr>
        <w:t>— — — — — — — — — — — — — — — — — — — — — — — — — — — — — — — — — — — — — — — — — — — — — — — — — — — — — — — —</w:t>
      </w:r>
    </w:p>
    <w:p>
      <w:pPr>
        <w:jc w:val="right"/>
        <w:spacing w:after="0" w:line="232" w:lineRule="auto"/>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26670</wp:posOffset>
            </wp:positionV>
            <wp:extent cx="7003415" cy="39941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3415" cy="3994150"/>
                    </a:xfrm>
                    <a:prstGeom prst="rect">
                      <a:avLst/>
                    </a:prstGeom>
                    <a:noFill/>
                  </pic:spPr>
                </pic:pic>
              </a:graphicData>
            </a:graphic>
          </wp:anchor>
        </w:drawing>
      </w: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507"/>
        </w:trPr>
        <w:tc>
          <w:tcPr>
            <w:tcW w:w="680" w:type="dxa"/>
            <w:vAlign w:val="bottom"/>
          </w:tcPr>
          <w:p>
            <w:pPr>
              <w:spacing w:after="0"/>
              <w:rPr>
                <w:sz w:val="24"/>
                <w:szCs w:val="24"/>
                <w:color w:val="auto"/>
              </w:rPr>
            </w:pPr>
          </w:p>
        </w:tc>
        <w:tc>
          <w:tcPr>
            <w:tcW w:w="636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spacing w:after="0"/>
              <w:rPr>
                <w:sz w:val="24"/>
                <w:szCs w:val="24"/>
                <w:color w:val="auto"/>
              </w:rPr>
            </w:pPr>
          </w:p>
        </w:tc>
      </w:tr>
      <w:tr>
        <w:trPr>
          <w:trHeight w:val="422"/>
        </w:trPr>
        <w:tc>
          <w:tcPr>
            <w:tcW w:w="70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 following proposals:</w:t>
            </w:r>
          </w:p>
        </w:tc>
        <w:tc>
          <w:tcPr>
            <w:tcW w:w="224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2"/>
              </w:rPr>
              <w:t>   Against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400"/>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 </w:t>
            </w:r>
          </w:p>
        </w:tc>
        <w:tc>
          <w:tcPr>
            <w:tcW w:w="6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approve the Options Proposal.</w:t>
            </w:r>
          </w:p>
        </w:tc>
        <w:tc>
          <w:tcPr>
            <w:tcW w:w="2240" w:type="dxa"/>
            <w:vAlign w:val="bottom"/>
          </w:tcPr>
          <w:p>
            <w:pPr>
              <w:jc w:val="center"/>
              <w:ind w:left="176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w w:val="88"/>
              </w:rPr>
              <w:t xml:space="preserve">    </w:t>
            </w:r>
            <w:r>
              <w:rPr>
                <w:rFonts w:ascii="MS PGothic" w:cs="MS PGothic" w:eastAsia="MS PGothic" w:hAnsi="MS PGothic"/>
                <w:sz w:val="14"/>
                <w:szCs w:val="14"/>
                <w:color w:val="auto"/>
                <w:w w:val="88"/>
              </w:rPr>
              <w:t>☐</w:t>
            </w:r>
          </w:p>
        </w:tc>
        <w:tc>
          <w:tcPr>
            <w:tcW w:w="5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391"/>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6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approve the Adjournment Proposal.</w:t>
            </w:r>
          </w:p>
        </w:tc>
        <w:tc>
          <w:tcPr>
            <w:tcW w:w="2240" w:type="dxa"/>
            <w:vAlign w:val="bottom"/>
          </w:tcPr>
          <w:p>
            <w:pPr>
              <w:jc w:val="center"/>
              <w:ind w:left="176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w w:val="85"/>
              </w:rPr>
              <w:t xml:space="preserve">   </w:t>
            </w:r>
            <w:r>
              <w:rPr>
                <w:rFonts w:ascii="MS PGothic" w:cs="MS PGothic" w:eastAsia="MS PGothic" w:hAnsi="MS PGothic"/>
                <w:sz w:val="14"/>
                <w:szCs w:val="14"/>
                <w:color w:val="auto"/>
                <w:w w:val="85"/>
              </w:rPr>
              <w:t>☐</w:t>
            </w:r>
          </w:p>
        </w:tc>
        <w:tc>
          <w:tcPr>
            <w:tcW w:w="5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w:t>
      </w:r>
    </w:p>
    <w:p>
      <w:pPr>
        <w:ind w:left="600"/>
        <w:spacing w:after="0" w:line="226" w:lineRule="auto"/>
        <w:rPr>
          <w:sz w:val="20"/>
          <w:szCs w:val="20"/>
          <w:color w:val="auto"/>
        </w:rPr>
      </w:pPr>
      <w:r>
        <w:rPr>
          <w:rFonts w:ascii="Times New Roman" w:cs="Times New Roman" w:eastAsia="Times New Roman" w:hAnsi="Times New Roman"/>
          <w:sz w:val="14"/>
          <w:szCs w:val="14"/>
          <w:color w:val="auto"/>
        </w:rPr>
        <w:t>administrator, or other fiduciary, please give full title as such. Joint owners should each sign</w:t>
      </w:r>
    </w:p>
    <w:p>
      <w:pPr>
        <w:ind w:left="600"/>
        <w:spacing w:after="0" w:line="222" w:lineRule="auto"/>
        <w:rPr>
          <w:sz w:val="20"/>
          <w:szCs w:val="20"/>
          <w:color w:val="auto"/>
        </w:rPr>
      </w:pPr>
      <w:r>
        <w:rPr>
          <w:rFonts w:ascii="Times New Roman" w:cs="Times New Roman" w:eastAsia="Times New Roman" w:hAnsi="Times New Roman"/>
          <w:sz w:val="14"/>
          <w:szCs w:val="14"/>
          <w:color w:val="auto"/>
        </w:rPr>
        <w:t>personally. All holders must sign. If a corporation or partnership, please sign in full corporate</w:t>
      </w:r>
    </w:p>
    <w:p>
      <w:pPr>
        <w:ind w:left="600"/>
        <w:spacing w:after="0"/>
        <w:rPr>
          <w:sz w:val="20"/>
          <w:szCs w:val="20"/>
          <w:color w:val="auto"/>
        </w:rPr>
      </w:pPr>
      <w:r>
        <w:rPr>
          <w:rFonts w:ascii="Times New Roman" w:cs="Times New Roman" w:eastAsia="Times New Roman" w:hAnsi="Times New Roman"/>
          <w:sz w:val="14"/>
          <w:szCs w:val="14"/>
          <w:color w:val="auto"/>
        </w:rPr>
        <w:t>or partnership name by authorized officer.</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318"/>
        </w:trPr>
        <w:tc>
          <w:tcPr>
            <w:tcW w:w="60" w:type="dxa"/>
            <w:vAlign w:val="bottom"/>
            <w:tcBorders>
              <w:right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5"/>
                <w:szCs w:val="25"/>
                <w:color w:val="auto"/>
              </w:rPr>
              <w:t xml:space="preserve">     </w:t>
            </w:r>
          </w:p>
        </w:tc>
        <w:tc>
          <w:tcPr>
            <w:tcW w:w="480" w:type="dxa"/>
            <w:vAlign w:val="bottom"/>
            <w:tcBorders>
              <w:top w:val="single" w:sz="8" w:color="auto"/>
              <w:bottom w:val="single" w:sz="8" w:color="auto"/>
              <w:right w:val="single" w:sz="8" w:color="auto"/>
            </w:tcBorders>
          </w:tcPr>
          <w:p>
            <w:pPr>
              <w:spacing w:after="0"/>
              <w:rPr>
                <w:sz w:val="24"/>
                <w:szCs w:val="24"/>
                <w:color w:val="auto"/>
              </w:rPr>
            </w:pPr>
          </w:p>
        </w:tc>
        <w:tc>
          <w:tcPr>
            <w:tcW w:w="74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5"/>
                <w:szCs w:val="25"/>
                <w:color w:val="auto"/>
              </w:rPr>
              <w:t xml:space="preserve">    </w:t>
            </w:r>
          </w:p>
        </w:tc>
        <w:tc>
          <w:tcPr>
            <w:tcW w:w="17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5"/>
                <w:szCs w:val="25"/>
                <w:color w:val="auto"/>
              </w:rPr>
              <w:t xml:space="preserve">          </w:t>
            </w:r>
          </w:p>
        </w:tc>
        <w:tc>
          <w:tcPr>
            <w:tcW w:w="1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5"/>
                <w:szCs w:val="25"/>
                <w:color w:val="auto"/>
              </w:rPr>
              <w:t xml:space="preserve">    </w:t>
            </w:r>
          </w:p>
        </w:tc>
        <w:tc>
          <w:tcPr>
            <w:tcW w:w="1160" w:type="dxa"/>
            <w:vAlign w:val="bottom"/>
            <w:tcBorders>
              <w:top w:val="single" w:sz="8" w:color="auto"/>
              <w:bottom w:val="single" w:sz="8" w:color="auto"/>
              <w:right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5"/>
                <w:szCs w:val="25"/>
                <w:color w:val="auto"/>
              </w:rPr>
              <w:t xml:space="preserve">    </w:t>
            </w:r>
          </w:p>
        </w:tc>
        <w:tc>
          <w:tcPr>
            <w:tcW w:w="1080" w:type="dxa"/>
            <w:vAlign w:val="bottom"/>
          </w:tcPr>
          <w:p>
            <w:pPr>
              <w:ind w:left="260"/>
              <w:spacing w:after="0"/>
              <w:rPr>
                <w:sz w:val="20"/>
                <w:szCs w:val="20"/>
                <w:color w:val="auto"/>
              </w:rPr>
            </w:pPr>
            <w:r>
              <w:rPr>
                <w:rFonts w:ascii="Times New Roman" w:cs="Times New Roman" w:eastAsia="Times New Roman" w:hAnsi="Times New Roman"/>
                <w:sz w:val="25"/>
                <w:szCs w:val="25"/>
                <w:color w:val="auto"/>
              </w:rPr>
              <w:t xml:space="preserve">          </w:t>
            </w:r>
          </w:p>
        </w:tc>
      </w:tr>
      <w:tr>
        <w:trPr>
          <w:trHeight w:val="188"/>
        </w:trPr>
        <w:tc>
          <w:tcPr>
            <w:tcW w:w="60" w:type="dxa"/>
            <w:vAlign w:val="bottom"/>
          </w:tcPr>
          <w:p>
            <w:pPr>
              <w:spacing w:after="0"/>
              <w:rPr>
                <w:sz w:val="20"/>
                <w:szCs w:val="20"/>
                <w:color w:val="auto"/>
              </w:rPr>
            </w:pPr>
            <w:r>
              <w:rPr>
                <w:rFonts w:ascii="Times New Roman" w:cs="Times New Roman" w:eastAsia="Times New Roman" w:hAnsi="Times New Roman"/>
                <w:sz w:val="5"/>
                <w:szCs w:val="5"/>
                <w:color w:val="auto"/>
                <w:w w:val="78"/>
              </w:rPr>
              <w:t> </w:t>
            </w:r>
          </w:p>
        </w:tc>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 Signature [PLEASE SIGN WITHIN BOX]</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Date    </w:t>
            </w:r>
          </w:p>
        </w:tc>
        <w:tc>
          <w:tcPr>
            <w:tcW w:w="178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Signature (Joint Owners)</w:t>
            </w:r>
          </w:p>
        </w:tc>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 xml:space="preserve">             Date            </w:t>
            </w:r>
          </w:p>
        </w:tc>
        <w:tc>
          <w:tcPr>
            <w:tcW w:w="108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color w:val="auto"/>
              </w:rPr>
              <w:t xml:space="preserve">       </w:t>
            </w:r>
          </w:p>
        </w:tc>
      </w:tr>
    </w:tbl>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Special Meeting:</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The Proxy Statement is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 — — — — — — — — — — — — — — — — — — — — — — — — — — — — — — — — — — — — — — — — — — — — — — — — —</w:t>
      </w:r>
    </w:p>
    <w:p>
      <w:pPr>
        <w:spacing w:after="0" w:line="32"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4"/>
          <w:szCs w:val="14"/>
          <w:color w:val="auto"/>
        </w:rPr>
        <w:t xml:space="preserve">V76868-TBD 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4525" cy="3300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452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SPECIAL MEETING OF STOCKHOLDERS</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OCTOBER 7, 2025 1:00 p.m. EASTERN TIME</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187" w:lineRule="exact"/>
        <w:rPr>
          <w:sz w:val="20"/>
          <w:szCs w:val="20"/>
          <w:color w:val="auto"/>
        </w:rPr>
      </w:pPr>
    </w:p>
    <w:p>
      <w:pPr>
        <w:ind w:left="480" w:right="440"/>
        <w:spacing w:after="0" w:line="245" w:lineRule="auto"/>
        <w:rPr>
          <w:sz w:val="20"/>
          <w:szCs w:val="20"/>
          <w:color w:val="auto"/>
        </w:rPr>
      </w:pPr>
      <w:r>
        <w:rPr>
          <w:rFonts w:ascii="Times New Roman" w:cs="Times New Roman" w:eastAsia="Times New Roman" w:hAnsi="Times New Roman"/>
          <w:sz w:val="20"/>
          <w:szCs w:val="20"/>
          <w:color w:val="auto"/>
        </w:rPr>
        <w:t>The stockholder(s) hereby appoint(s) Akshay Naheta, Marc D’Annunzio and Karen Alexander, or any of them, as proxies, each with the power to appoint their substitute, and hereby authorize(s) any of them to represent and to vote, as designated on the reverse side of this ballot, all of the shares of Class A Common Stock or Class V Common Stock of BAKKT HOLDINGS, INC. that the stockholder(s) are entitled to vote at the Special Meeting of Stockholders to be held virtually via a live webcast at www.virtualshareholdermeeting.com/BKKT2025SM2 on October 7, 2025 at 1:00 p.m. Eastern Time, and any adjournment or postponement thereof.</w:t>
      </w:r>
    </w:p>
    <w:p>
      <w:pPr>
        <w:spacing w:after="0" w:line="180" w:lineRule="exact"/>
        <w:rPr>
          <w:sz w:val="20"/>
          <w:szCs w:val="20"/>
          <w:color w:val="auto"/>
        </w:rPr>
      </w:pPr>
    </w:p>
    <w:p>
      <w:pPr>
        <w:ind w:left="480" w:right="480"/>
        <w:spacing w:after="0" w:line="273" w:lineRule="auto"/>
        <w:rPr>
          <w:sz w:val="20"/>
          <w:szCs w:val="20"/>
          <w:color w:val="auto"/>
        </w:rPr>
      </w:pPr>
      <w:r>
        <w:rPr>
          <w:rFonts w:ascii="Times New Roman" w:cs="Times New Roman" w:eastAsia="Times New Roman" w:hAnsi="Times New Roman"/>
          <w:sz w:val="20"/>
          <w:szCs w:val="20"/>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Continued and to be signed on reverse side</w:t>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lowerRoman"/>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lvl w:ilvl="1">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lowerRoman"/>
      <w:start w:val="2"/>
    </w:lvl>
  </w:abstractNum>
  <w:abstractNum w:abstractNumId="21">
    <w:nsid w:val="3A95F87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2">
    <w:nsid w:val="813864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
    <w:nsid w:val="1E7FF52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24">
    <w:nsid w:val="7C3DBD3D"/>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5">
    <w:nsid w:val="737B8DDC"/>
    <w:multiLevelType w:val="hybridMultilevel"/>
    <w:lvl w:ilvl="0">
      <w:lvlJc w:val="left"/>
      <w:lvlText w:val="%1"/>
      <w:numFmt w:val="decimal"/>
      <w:start w:val="1"/>
    </w:lvl>
    <w:lvl w:ilvl="1">
      <w:lvlJc w:val="left"/>
      <w:lvlText w:val="(%2)"/>
      <w:numFmt w:val="lowerLetter"/>
      <w:start w:val="2"/>
    </w:lvl>
  </w:abstractNum>
  <w:abstractNum w:abstractNumId="26">
    <w:nsid w:val="6CEAF087"/>
    <w:multiLevelType w:val="hybridMultilevel"/>
    <w:lvl w:ilvl="0">
      <w:lvlJc w:val="left"/>
      <w:lvlText w:val="%1."/>
      <w:numFmt w:val="decimal"/>
      <w:start w:val="7"/>
    </w:lvl>
    <w:lvl w:ilvl="1">
      <w:lvlJc w:val="left"/>
      <w:lvlText w:val="%2"/>
      <w:numFmt w:val="lowerLetter"/>
      <w:start w:val="1"/>
    </w:lvl>
  </w:abstractNum>
  <w:abstractNum w:abstractNumId="27">
    <w:nsid w:val="22221A70"/>
    <w:multiLevelType w:val="hybridMultilevel"/>
    <w:lvl w:ilvl="0">
      <w:lvlJc w:val="left"/>
      <w:lvlText w:val="%1."/>
      <w:numFmt w:val="decimal"/>
      <w:start w:val="8"/>
    </w:lvl>
    <w:lvl w:ilvl="1">
      <w:lvlJc w:val="left"/>
      <w:lvlText w:val="(%2)"/>
      <w:numFmt w:val="lowerLetter"/>
      <w:start w:val="1"/>
    </w:lvl>
  </w:abstractNum>
  <w:abstractNum w:abstractNumId="28">
    <w:nsid w:val="4516DDE9"/>
    <w:multiLevelType w:val="hybridMultilevel"/>
    <w:lvl w:ilvl="0">
      <w:lvlJc w:val="left"/>
      <w:lvlText w:val="(%1)"/>
      <w:numFmt w:val="lowerLetter"/>
      <w:start w:val="8"/>
    </w:lvl>
  </w:abstractNum>
  <w:abstractNum w:abstractNumId="29">
    <w:nsid w:val="3006C83E"/>
    <w:multiLevelType w:val="hybridMultilevel"/>
    <w:lvl w:ilvl="0">
      <w:lvlJc w:val="left"/>
      <w:lvlText w:val="%1"/>
      <w:numFmt w:val="decimal"/>
      <w:start w:val="1"/>
    </w:lvl>
    <w:lvl w:ilvl="1">
      <w:lvlJc w:val="left"/>
      <w:lvlText w:val="(%2)"/>
      <w:numFmt w:val="lowerRoman"/>
      <w:start w:val="1"/>
    </w:lvl>
  </w:abstractNum>
  <w:abstractNum w:abstractNumId="30">
    <w:nsid w:val="614FD4A1"/>
    <w:multiLevelType w:val="hybridMultilevel"/>
    <w:lvl w:ilvl="0">
      <w:lvlJc w:val="left"/>
      <w:lvlText w:val="%1."/>
      <w:numFmt w:val="decimal"/>
      <w:start w:val="11"/>
    </w:lvl>
    <w:lvl w:ilvl="1">
      <w:lvlJc w:val="left"/>
      <w:lvlText w:val="%2"/>
      <w:numFmt w:val="lowerRoman"/>
      <w:start w:val="1"/>
    </w:lvl>
  </w:abstractNum>
  <w:abstractNum w:abstractNumId="31">
    <w:nsid w:val="419AC241"/>
    <w:multiLevelType w:val="hybridMultilevel"/>
    <w:lvl w:ilvl="0">
      <w:lvlJc w:val="left"/>
      <w:lvlText w:val="%1."/>
      <w:numFmt w:val="decimal"/>
      <w:start w:val="14"/>
    </w:lvl>
  </w:abstractNum>
  <w:abstractNum w:abstractNumId="32">
    <w:nsid w:val="5577F8E1"/>
    <w:multiLevelType w:val="hybridMultilevel"/>
    <w:lvl w:ilvl="0">
      <w:lvlJc w:val="left"/>
      <w:lvlText w:val="%1."/>
      <w:numFmt w:val="decimal"/>
      <w:start w:val="19"/>
    </w:lvl>
  </w:abstractNum>
  <w:abstractNum w:abstractNumId="33">
    <w:nsid w:val="440BADF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34">
    <w:nsid w:val="5072367"/>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35">
    <w:nsid w:val="3804823E"/>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36">
    <w:nsid w:val="77465F01"/>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2025-09-09T16:09:30Z</dcterms:created>
  <dcterms:modified xsi:type="dcterms:W3CDTF">2025-09-09T16:09:30Z</dcterms:modified>
</cp:coreProperties>
</file>