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Naheta Akshay Sudhir</w:t>
              </w:r>
            </w:hyperlink>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Bakkt,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8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INC.</w:t>
            </w:r>
          </w:p>
        </w:tc>
        <w:tc>
          <w:tcPr>
            <w:tcW w:w="1440" w:type="dxa"/>
            <w:vAlign w:val="bottom"/>
          </w:tcPr>
          <w:p>
            <w:pPr>
              <w:spacing w:after="0"/>
              <w:rPr>
                <w:sz w:val="19"/>
                <w:szCs w:val="19"/>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04/30/2026</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3280 PEACHTREE ROAD NE, 7TH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25"/>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43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30305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gridSpan w:val="3"/>
            <w:vMerge w:val="restart"/>
          </w:tcPr>
          <w:p>
            <w:pPr>
              <w:jc w:val="right"/>
              <w:ind w:right="40"/>
              <w:spacing w:after="0"/>
              <w:rPr>
                <w:sz w:val="20"/>
                <w:szCs w:val="20"/>
                <w:color w:val="auto"/>
              </w:rPr>
            </w:pPr>
            <w:r>
              <w:rPr>
                <w:rFonts w:ascii="Arial" w:cs="Arial" w:eastAsia="Arial" w:hAnsi="Arial"/>
                <w:sz w:val="12"/>
                <w:szCs w:val="12"/>
                <w:b w:val="1"/>
                <w:bCs w:val="1"/>
                <w:color w:val="auto"/>
                <w:w w:val="95"/>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4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1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7,927,831</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008000"/>
                <w:w w:val="93"/>
              </w:rPr>
              <w:t>(2)</w:t>
            </w:r>
          </w:p>
        </w:tc>
        <w:tc>
          <w:tcPr>
            <w:tcW w:w="140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9,026,408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issued to the Reporting Person, as a stockholder of Distributed Technologies Research Global Ltd. ("DTR"), as acquisition consideration, upon the completion of the acquisition of DTR on April 30, 2026 (the "Closing Date") by the Issuer (the "Consideration Shares"), pursuant to the Issuer's Share Purchase Agreement (the "Purchase Agreement") dated January 11, 2026. Excluded from the shares reported herein are certain shares of Class A Common Stock held of record by the Reporting Person as nominee and custodian for certain former equity holders of DTR pursuant to certain agreements with such former equity holders of DTR, as to which the Reporting Person disclaims beneficial ownership.</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Issued to the Reporting Person on April 30, 2026 as consideration payable upon the acquisition of DTR pursuant to the Purchase Agreement.</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Akshay</w:t>
        <w:tab/>
        <w:t>05/04/2026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Sudhir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24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2062543"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2026-05-04T18:45:39Z</dcterms:created>
  <dcterms:modified xsi:type="dcterms:W3CDTF">2026-05-04T18:45:39Z</dcterms:modified>
</cp:coreProperties>
</file>